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02C57"/>
          <w:sz w:val="48"/>
        </w:rPr>
        <w:t>PO Backlog Architect Agent — Word-for-Word Demo Script &amp; Visual Timeline</w:t>
      </w:r>
    </w:p>
    <w:p>
      <w:pPr>
        <w:spacing w:after="280"/>
      </w:pPr>
      <w:r>
        <w:rPr>
          <w:rFonts w:ascii="Calibri" w:hAnsi="Calibri"/>
          <w:i/>
          <w:color w:val="646464"/>
          <w:sz w:val="24"/>
        </w:rPr>
        <w:t>Complete Minute-by-Minute Presentation Script ('Lyrics'), Visual Screen Actions, Code Line References, and Tab-by-Tab Demo Walkthrough for Digital T3 Submission</w:t>
      </w:r>
    </w:p>
    <w:p>
      <w:pPr>
        <w:spacing w:after="80" w:line="276" w:lineRule="auto"/>
      </w:pPr>
      <w:r>
        <w:rPr>
          <w:rFonts w:ascii="Calibri" w:hAnsi="Calibri"/>
          <w:b/>
          <w:color w:val="1E1E1E"/>
          <w:sz w:val="21"/>
        </w:rPr>
        <w:t xml:space="preserve">Presentation Setup Instructions: </w:t>
      </w:r>
      <w:r>
        <w:rPr>
          <w:rFonts w:ascii="Calibri" w:hAnsi="Calibri"/>
          <w:i w:val="0"/>
          <w:color w:val="282828"/>
          <w:sz w:val="21"/>
        </w:rPr>
        <w:t>This document is your exact step-by-step script for delivering your live presentation and video demo to Digital T3. It contains what to say ('lyrics'), what to display on screen at every moment, exact VS Code line numbers, and embedded UI screenshots.</w:t>
      </w:r>
    </w:p>
    <w:p>
      <w:pPr>
        <w:pStyle w:val="ListBullet"/>
        <w:spacing w:after="60" w:line="276" w:lineRule="auto"/>
      </w:pPr>
      <w:r>
        <w:rPr>
          <w:rFonts w:ascii="Calibri" w:hAnsi="Calibri"/>
          <w:b/>
          <w:sz w:val="20"/>
        </w:rPr>
        <w:t xml:space="preserve">Visual Setup: </w:t>
      </w:r>
      <w:r>
        <w:rPr>
          <w:rFonts w:ascii="Calibri" w:hAnsi="Calibri"/>
          <w:sz w:val="20"/>
        </w:rPr>
        <w:t>Do NOT use PowerPoint slides. Share your desktop screen with Streamlit UI (http://localhost:8501) on the left half and VS Code on the right half.</w:t>
      </w:r>
    </w:p>
    <w:p>
      <w:pPr>
        <w:pStyle w:val="ListBullet"/>
        <w:spacing w:after="60" w:line="276" w:lineRule="auto"/>
      </w:pPr>
      <w:r>
        <w:rPr>
          <w:rFonts w:ascii="Calibri" w:hAnsi="Calibri"/>
          <w:b/>
          <w:sz w:val="20"/>
        </w:rPr>
        <w:t xml:space="preserve">Pre-Demo Terminals: </w:t>
      </w:r>
      <w:r>
        <w:rPr>
          <w:rFonts w:ascii="Calibri" w:hAnsi="Calibri"/>
          <w:sz w:val="20"/>
        </w:rPr>
        <w:t>FastAPI Server running in Terminal 1 (uvicorn app.main:app --reload) and Streamlit running in Terminal 2 (streamlit run ui/dashboard.py).</w:t>
      </w:r>
    </w:p>
    <w:p>
      <w:pPr>
        <w:keepNext/>
        <w:spacing w:before="320" w:after="100"/>
      </w:pPr>
      <w:r>
        <w:rPr>
          <w:rFonts w:ascii="Calibri" w:hAnsi="Calibri"/>
          <w:b/>
          <w:color w:val="102C57"/>
          <w:sz w:val="30"/>
        </w:rPr>
        <w:t>Part 1: 0:00 – 1:30 | Opening Pitch &amp; Architecture Philosophy</w:t>
      </w:r>
    </w:p>
    <w:tbl>
      <w:tblPr>
        <w:tblW w:type="auto" w:w="0"/>
        <w:jc w:val="center"/>
        <w:tblLayout w:type="fixed"/>
        <w:tblLook w:firstColumn="1" w:firstRow="1" w:lastColumn="0" w:lastRow="0" w:noHBand="0" w:noVBand="1" w:val="04A0"/>
      </w:tblPr>
      <w:tblGrid>
        <w:gridCol w:w="10224"/>
      </w:tblGrid>
      <w:tr>
        <w:tc>
          <w:tcPr>
            <w:tcW w:type="dxa" w:w="9792"/>
            <w:shd w:fill="F4F7FA"/>
            <w:tcMar>
              <w:top w:w="120" w:type="dxa"/>
              <w:bottom w:w="120" w:type="dxa"/>
              <w:left w:w="180" w:type="dxa"/>
              <w:right w:w="180" w:type="dxa"/>
            </w:tcMar>
            <w:tcBorders>
              <w:top w:val="single" w:sz="12" w:space="0" w:color="1E56A0"/>
              <w:left w:val="single" w:sz="36" w:space="0" w:color="1E56A0"/>
              <w:bottom w:val="single" w:sz="12" w:space="0" w:color="1E56A0"/>
              <w:right w:val="single" w:sz="12" w:space="0" w:color="1E56A0"/>
            </w:tcBorders>
          </w:tcPr>
          <w:p>
            <w:pPr>
              <w:spacing w:before="40" w:after="80"/>
            </w:pPr>
            <w:r>
              <w:rPr>
                <w:rFonts w:ascii="Calibri" w:hAnsi="Calibri"/>
                <w:b/>
                <w:color w:val="102C57"/>
                <w:sz w:val="24"/>
              </w:rPr>
              <w:t>⏱️ [0:00 – 1:30] — The Opening Pitch &amp; Governance Philosophy</w:t>
              <w:br/>
            </w:r>
            <w:r>
              <w:rPr>
                <w:rFonts w:ascii="Calibri" w:hAnsi="Calibri"/>
                <w:b/>
                <w:color w:val="1E56A0"/>
                <w:sz w:val="20"/>
              </w:rPr>
              <w:t>🖥️ SCREEN ACTION / WHAT TO SHOW ON SCREEN:</w:t>
              <w:br/>
            </w:r>
            <w:r>
              <w:rPr>
                <w:rFonts w:ascii="Calibri" w:hAnsi="Calibri"/>
                <w:color w:val="282828"/>
                <w:sz w:val="20"/>
              </w:rPr>
              <w:t>1. Start on Streamlit UI homepage (http://localhost:8501). Point out sidebar configuration: Groq (qwen/qwen3.6-27b) and active safeguards.</w:t>
              <w:br/>
              <w:t>2. Switch VS Code window to README.md lines 212-235 (Architecture ASCII Diagram).</w:t>
              <w:br/>
              <w:br/>
            </w:r>
            <w:r>
              <w:rPr>
                <w:rFonts w:ascii="Calibri" w:hAnsi="Calibri"/>
                <w:b/>
                <w:color w:val="B43214"/>
                <w:sz w:val="20"/>
              </w:rPr>
              <w:t>📁 EXACT CODE FILE &amp; LINE NUMBERS TO SHOW IN VS CODE:</w:t>
              <w:br/>
            </w:r>
            <w:r>
              <w:rPr>
                <w:rFonts w:ascii="Calibri" w:hAnsi="Calibri"/>
                <w:b/>
                <w:color w:val="1E1E1E"/>
                <w:sz w:val="19"/>
              </w:rPr>
              <w:t>README.md: L212 - L235 (Architecture Component Boundaries Diagram)</w:t>
              <w:br/>
              <w:br/>
            </w:r>
            <w:r>
              <w:rPr>
                <w:rFonts w:ascii="Calibri" w:hAnsi="Calibri"/>
                <w:b/>
                <w:color w:val="102C57"/>
                <w:sz w:val="21"/>
              </w:rPr>
              <w:t>🎙️ WORD-FOR-WORD SPOKEN SCRIPT ("LYRICS"):</w:t>
              <w:br/>
            </w:r>
            <w:r>
              <w:rPr>
                <w:rFonts w:ascii="Calibri" w:hAnsi="Calibri"/>
                <w:i/>
                <w:color w:val="141414"/>
                <w:sz w:val="21"/>
              </w:rPr>
              <w:t>"Hello everyone! Today I'm presenting the PO Backlog Architect Agent for FlowDesk. When engineering teams try using LLMs to generate user stories and acceptance criteria, three major failure modes occur: First, hallucinated technical requirements—like an AI inventing a 50 MB file size limit when the specification has no exact number. Second, generic story proliferation—vague user stories like 'As a user, I want to manage data efficiently' that fail Definition of Ready. And third, uncontrolled external writes—where an LLM pushes unreviewed items directly into Jira or Azure DevOps as READY. Our core design philosophy is GOVERNANCE OVER GENERATION. The LLM proposes artifacts, but deterministic Python service code validates section-level citations, scores anti-generic specificity across 3 layers, evaluates Definition of Ready rules, and enforces a structural human approval gate with an immutable NOT_READY status floor."</w:t>
              <w:br/>
            </w:r>
          </w:p>
          <w:p>
            <w:pPr>
              <w:spacing w:before="120" w:after="40"/>
              <w:jc w:val="center"/>
            </w:pPr>
            <w:r>
              <w:drawing>
                <wp:inline xmlns:a="http://schemas.openxmlformats.org/drawingml/2006/main" xmlns:pic="http://schemas.openxmlformats.org/drawingml/2006/picture">
                  <wp:extent cx="5486400" cy="2603182"/>
                  <wp:docPr id="1" name="Picture 1"/>
                  <wp:cNvGraphicFramePr>
                    <a:graphicFrameLocks noChangeAspect="1"/>
                  </wp:cNvGraphicFramePr>
                  <a:graphic>
                    <a:graphicData uri="http://schemas.openxmlformats.org/drawingml/2006/picture">
                      <pic:pic>
                        <pic:nvPicPr>
                          <pic:cNvPr id="0" name="tab1_context_search.png"/>
                          <pic:cNvPicPr/>
                        </pic:nvPicPr>
                        <pic:blipFill>
                          <a:blip r:embed="rId9"/>
                          <a:stretch>
                            <a:fillRect/>
                          </a:stretch>
                        </pic:blipFill>
                        <pic:spPr>
                          <a:xfrm>
                            <a:off x="0" y="0"/>
                            <a:ext cx="5486400" cy="2603182"/>
                          </a:xfrm>
                          <a:prstGeom prst="rect"/>
                        </pic:spPr>
                      </pic:pic>
                    </a:graphicData>
                  </a:graphic>
                </wp:inline>
              </w:drawing>
            </w:r>
          </w:p>
        </w:tc>
      </w:tr>
    </w:tbl>
    <w:p>
      <w:pPr>
        <w:spacing w:after="120"/>
      </w:pPr>
    </w:p>
    <w:p>
      <w:pPr>
        <w:keepNext/>
        <w:spacing w:before="320" w:after="100"/>
      </w:pPr>
      <w:r>
        <w:rPr>
          <w:rFonts w:ascii="Calibri" w:hAnsi="Calibri"/>
          <w:b/>
          <w:color w:val="102C57"/>
          <w:sz w:val="30"/>
        </w:rPr>
        <w:t>Part 2: 1:30 – 3:00 | Context Indexing (O1) &amp; Epic Decomposition (O2)</w:t>
      </w:r>
    </w:p>
    <w:tbl>
      <w:tblPr>
        <w:tblW w:type="auto" w:w="0"/>
        <w:jc w:val="center"/>
        <w:tblLayout w:type="fixed"/>
        <w:tblLook w:firstColumn="1" w:firstRow="1" w:lastColumn="0" w:lastRow="0" w:noHBand="0" w:noVBand="1" w:val="04A0"/>
      </w:tblPr>
      <w:tblGrid>
        <w:gridCol w:w="10224"/>
      </w:tblGrid>
      <w:tr>
        <w:tc>
          <w:tcPr>
            <w:tcW w:type="dxa" w:w="9792"/>
            <w:shd w:fill="F4F7FA"/>
            <w:tcMar>
              <w:top w:w="120" w:type="dxa"/>
              <w:bottom w:w="120" w:type="dxa"/>
              <w:left w:w="180" w:type="dxa"/>
              <w:right w:w="180" w:type="dxa"/>
            </w:tcMar>
            <w:tcBorders>
              <w:top w:val="single" w:sz="12" w:space="0" w:color="1E56A0"/>
              <w:left w:val="single" w:sz="36" w:space="0" w:color="1E56A0"/>
              <w:bottom w:val="single" w:sz="12" w:space="0" w:color="1E56A0"/>
              <w:right w:val="single" w:sz="12" w:space="0" w:color="1E56A0"/>
            </w:tcBorders>
          </w:tcPr>
          <w:p>
            <w:pPr>
              <w:spacing w:before="40" w:after="80"/>
            </w:pPr>
            <w:r>
              <w:rPr>
                <w:rFonts w:ascii="Calibri" w:hAnsi="Calibri"/>
                <w:b/>
                <w:color w:val="102C57"/>
                <w:sz w:val="24"/>
              </w:rPr>
              <w:t>⏱️ [1:30 – 3:00] — Context Indexing (O1) &amp; Epic Decomposition (O2)</w:t>
              <w:br/>
            </w:r>
            <w:r>
              <w:rPr>
                <w:rFonts w:ascii="Calibri" w:hAnsi="Calibri"/>
                <w:b/>
                <w:color w:val="1E56A0"/>
                <w:sz w:val="20"/>
              </w:rPr>
              <w:t>🖥️ SCREEN ACTION / WHAT TO SHOW ON SCREEN:</w:t>
              <w:br/>
            </w:r>
            <w:r>
              <w:rPr>
                <w:rFonts w:ascii="Calibri" w:hAnsi="Calibri"/>
                <w:color w:val="282828"/>
                <w:sz w:val="20"/>
              </w:rPr>
              <w:t>1. Click Streamlit Tab 1 (Context Search). Type 'file upload' in search bar, click 'Search Context'. Expand section card [PB-04.1].</w:t>
              <w:br/>
              <w:t>2. Click Streamlit Tab 2 (Epic Decomposer). Select 'EP-001', click 'Decompose Epic'. Show generated stories.</w:t>
              <w:br/>
              <w:t>3. Select 'EP-002' (Thin Epic), click 'Decompose Epic'. Point out the red warning banner and Open Questions surfaced.</w:t>
              <w:br/>
              <w:br/>
            </w:r>
            <w:r>
              <w:rPr>
                <w:rFonts w:ascii="Calibri" w:hAnsi="Calibri"/>
                <w:b/>
                <w:color w:val="B43214"/>
                <w:sz w:val="20"/>
              </w:rPr>
              <w:t>📁 EXACT CODE FILE &amp; LINE NUMBERS TO SHOW IN VS CODE:</w:t>
              <w:br/>
            </w:r>
            <w:r>
              <w:rPr>
                <w:rFonts w:ascii="Calibri" w:hAnsi="Calibri"/>
                <w:b/>
                <w:color w:val="1E1E1E"/>
                <w:sz w:val="19"/>
              </w:rPr>
              <w:t>• Context Indexer: app/services/context_service.py: L15 - L65 (index_markdown_brief)</w:t>
              <w:br/>
              <w:t>• Seed Epics: data/epics.json: L1 - L17 (EP-001 detailed vs EP-002 thin)</w:t>
              <w:br/>
              <w:t>• Decomposer Agent: app/agents/decomposition_agent.py: L20 - L80 (decompose_epic)</w:t>
              <w:br/>
              <w:br/>
            </w:r>
            <w:r>
              <w:rPr>
                <w:rFonts w:ascii="Calibri" w:hAnsi="Calibri"/>
                <w:b/>
                <w:color w:val="102C57"/>
                <w:sz w:val="21"/>
              </w:rPr>
              <w:t>🎙️ WORD-FOR-WORD SPOKEN SCRIPT ("LYRICS"):</w:t>
              <w:br/>
            </w:r>
            <w:r>
              <w:rPr>
                <w:rFonts w:ascii="Calibri" w:hAnsi="Calibri"/>
                <w:i/>
                <w:color w:val="141414"/>
                <w:sz w:val="21"/>
              </w:rPr>
              <w:t>"First, let's look at Context Indexing in Tab 1. We parse the FlowDesk product brief into 15 addressable sections, indexed with SQLite FTS5. If I search 'file upload', the engine retrieves section PB-04.1. This addressable indexing is what enables claim-level citation validation.</w:t>
              <w:br/>
              <w:t>Now let's move to Tab 2: Epic Decomposition. If I select EP-001—a detailed document management epic—the agent generates structured stories with citations.</w:t>
              <w:br/>
              <w:t>However, look at EP-002—a thin, 6-word epic titled 'Automate Approval Overrides'. Instead of fabricating fake requirements, our decomposition agent detects that detail is missing and surfaces Open Questions to the Product Owner first, such as 'What role is authorized to perform overrides?'"</w:t>
              <w:br/>
            </w:r>
          </w:p>
          <w:p>
            <w:pPr>
              <w:spacing w:before="120" w:after="40"/>
              <w:jc w:val="center"/>
            </w:pPr>
            <w:r>
              <w:drawing>
                <wp:inline xmlns:a="http://schemas.openxmlformats.org/drawingml/2006/main" xmlns:pic="http://schemas.openxmlformats.org/drawingml/2006/picture">
                  <wp:extent cx="5486400" cy="2603182"/>
                  <wp:docPr id="2" name="Picture 2"/>
                  <wp:cNvGraphicFramePr>
                    <a:graphicFrameLocks noChangeAspect="1"/>
                  </wp:cNvGraphicFramePr>
                  <a:graphic>
                    <a:graphicData uri="http://schemas.openxmlformats.org/drawingml/2006/picture">
                      <pic:pic>
                        <pic:nvPicPr>
                          <pic:cNvPr id="0" name="tab2_epic_decomposer.png"/>
                          <pic:cNvPicPr/>
                        </pic:nvPicPr>
                        <pic:blipFill>
                          <a:blip r:embed="rId10"/>
                          <a:stretch>
                            <a:fillRect/>
                          </a:stretch>
                        </pic:blipFill>
                        <pic:spPr>
                          <a:xfrm>
                            <a:off x="0" y="0"/>
                            <a:ext cx="5486400" cy="2603182"/>
                          </a:xfrm>
                          <a:prstGeom prst="rect"/>
                        </pic:spPr>
                      </pic:pic>
                    </a:graphicData>
                  </a:graphic>
                </wp:inline>
              </w:drawing>
            </w:r>
          </w:p>
        </w:tc>
      </w:tr>
    </w:tbl>
    <w:p>
      <w:pPr>
        <w:spacing w:after="120"/>
      </w:pPr>
    </w:p>
    <w:p>
      <w:pPr>
        <w:keepNext/>
        <w:spacing w:before="320" w:after="100"/>
      </w:pPr>
      <w:r>
        <w:rPr>
          <w:rFonts w:ascii="Calibri" w:hAnsi="Calibri"/>
          <w:b/>
          <w:color w:val="102C57"/>
          <w:sz w:val="30"/>
        </w:rPr>
        <w:t>Part 3: 3:00 – 4:30 | Acceptance Criteria (O3), Citations (O6) &amp; Anti-Generic Guard (O8)</w:t>
      </w:r>
    </w:p>
    <w:tbl>
      <w:tblPr>
        <w:tblW w:type="auto" w:w="0"/>
        <w:jc w:val="center"/>
        <w:tblLayout w:type="fixed"/>
        <w:tblLook w:firstColumn="1" w:firstRow="1" w:lastColumn="0" w:lastRow="0" w:noHBand="0" w:noVBand="1" w:val="04A0"/>
      </w:tblPr>
      <w:tblGrid>
        <w:gridCol w:w="10224"/>
      </w:tblGrid>
      <w:tr>
        <w:tc>
          <w:tcPr>
            <w:tcW w:type="dxa" w:w="9792"/>
            <w:shd w:fill="F4F7FA"/>
            <w:tcMar>
              <w:top w:w="120" w:type="dxa"/>
              <w:bottom w:w="120" w:type="dxa"/>
              <w:left w:w="180" w:type="dxa"/>
              <w:right w:w="180" w:type="dxa"/>
            </w:tcMar>
            <w:tcBorders>
              <w:top w:val="single" w:sz="12" w:space="0" w:color="1E56A0"/>
              <w:left w:val="single" w:sz="36" w:space="0" w:color="1E56A0"/>
              <w:bottom w:val="single" w:sz="12" w:space="0" w:color="1E56A0"/>
              <w:right w:val="single" w:sz="12" w:space="0" w:color="1E56A0"/>
            </w:tcBorders>
          </w:tcPr>
          <w:p>
            <w:pPr>
              <w:spacing w:before="40" w:after="80"/>
            </w:pPr>
            <w:r>
              <w:rPr>
                <w:rFonts w:ascii="Calibri" w:hAnsi="Calibri"/>
                <w:b/>
                <w:color w:val="102C57"/>
                <w:sz w:val="24"/>
              </w:rPr>
              <w:t>⏱️ [3:00 – 4:30] — Acceptance Criteria, Citation Validation &amp; Anti-Generic Guard</w:t>
              <w:br/>
            </w:r>
            <w:r>
              <w:rPr>
                <w:rFonts w:ascii="Calibri" w:hAnsi="Calibri"/>
                <w:b/>
                <w:color w:val="1E56A0"/>
                <w:sz w:val="20"/>
              </w:rPr>
              <w:t>🖥️ SCREEN ACTION / WHAT TO SHOW ON SCREEN:</w:t>
              <w:br/>
            </w:r>
            <w:r>
              <w:rPr>
                <w:rFonts w:ascii="Calibri" w:hAnsi="Calibri"/>
                <w:color w:val="282828"/>
                <w:sz w:val="20"/>
              </w:rPr>
              <w:t>1. Click Streamlit Tab 3 (Criteria Generator). Select story 'BL-001', click 'Generate Criteria'. Show GWT scenarios &amp; PB-04.1 citation.</w:t>
              <w:br/>
              <w:t>2. Scroll down to Anti-Generic Guard. Type 'Manage my data efficiently' in custom text box, click 'Evaluate Specificity'.</w:t>
              <w:br/>
              <w:t>3. Point out 3-layer diagnostic breakdown (GENERIC, Score 1) and the auto-rewritten story.</w:t>
              <w:br/>
              <w:br/>
            </w:r>
            <w:r>
              <w:rPr>
                <w:rFonts w:ascii="Calibri" w:hAnsi="Calibri"/>
                <w:b/>
                <w:color w:val="B43214"/>
                <w:sz w:val="20"/>
              </w:rPr>
              <w:t>📁 EXACT CODE FILE &amp; LINE NUMBERS TO SHOW IN VS CODE:</w:t>
              <w:br/>
            </w:r>
            <w:r>
              <w:rPr>
                <w:rFonts w:ascii="Calibri" w:hAnsi="Calibri"/>
                <w:b/>
                <w:color w:val="1E1E1E"/>
                <w:sz w:val="19"/>
              </w:rPr>
              <w:t>• Citation Service: app/services/citation_service.py: L30 - L95 (validate_citation_support &amp; numeric term check)</w:t>
              <w:br/>
              <w:t>• Generic Config: config/generic_guard.json: L1 - L35 (forbidden_phrases &amp; vague_verbs)</w:t>
              <w:br/>
              <w:t>• Generic Guard Service: app/services/generic_guard_service.py: L40 - L110 (evaluate_specificity &amp; rewrite)</w:t>
              <w:br/>
              <w:br/>
            </w:r>
            <w:r>
              <w:rPr>
                <w:rFonts w:ascii="Calibri" w:hAnsi="Calibri"/>
                <w:b/>
                <w:color w:val="102C57"/>
                <w:sz w:val="21"/>
              </w:rPr>
              <w:t>🎙️ WORD-FOR-WORD SPOKEN SCRIPT ("LYRICS"):</w:t>
              <w:br/>
            </w:r>
            <w:r>
              <w:rPr>
                <w:rFonts w:ascii="Calibri" w:hAnsi="Calibri"/>
                <w:i/>
                <w:color w:val="141414"/>
                <w:sz w:val="21"/>
              </w:rPr>
              <w:t>"In Tab 3, we generate Given/When/Then acceptance criteria. When I select story BL-001, the agent produces testable GWT scenarios and attaches verified citation PB-04.1. Our CitationService checks both existence and numeric term grounding.</w:t>
              <w:br/>
              <w:t>Below, we have our 3-Layer Anti-Generic Guard. If someone inputs a vague requirement like 'Manage my data efficiently', our guard evaluates 3 layers: Layer 1 exact phrase match ('manage data'), Layer 2 vague verb regex ('manage'), and Layer 3 specificity score.</w:t>
              <w:br/>
              <w:t>It flags the story as GENERIC (Score = 1) and automatically rewrites it into a domain-specific user story with a measurable outcome."</w:t>
              <w:br/>
            </w:r>
          </w:p>
          <w:p>
            <w:pPr>
              <w:spacing w:before="120" w:after="40"/>
              <w:jc w:val="center"/>
            </w:pPr>
            <w:r>
              <w:drawing>
                <wp:inline xmlns:a="http://schemas.openxmlformats.org/drawingml/2006/main" xmlns:pic="http://schemas.openxmlformats.org/drawingml/2006/picture">
                  <wp:extent cx="5486400" cy="2603182"/>
                  <wp:docPr id="3" name="Picture 3"/>
                  <wp:cNvGraphicFramePr>
                    <a:graphicFrameLocks noChangeAspect="1"/>
                  </wp:cNvGraphicFramePr>
                  <a:graphic>
                    <a:graphicData uri="http://schemas.openxmlformats.org/drawingml/2006/picture">
                      <pic:pic>
                        <pic:nvPicPr>
                          <pic:cNvPr id="0" name="tab3_criteria_generator.png"/>
                          <pic:cNvPicPr/>
                        </pic:nvPicPr>
                        <pic:blipFill>
                          <a:blip r:embed="rId11"/>
                          <a:stretch>
                            <a:fillRect/>
                          </a:stretch>
                        </pic:blipFill>
                        <pic:spPr>
                          <a:xfrm>
                            <a:off x="0" y="0"/>
                            <a:ext cx="5486400" cy="2603182"/>
                          </a:xfrm>
                          <a:prstGeom prst="rect"/>
                        </pic:spPr>
                      </pic:pic>
                    </a:graphicData>
                  </a:graphic>
                </wp:inline>
              </w:drawing>
            </w:r>
          </w:p>
        </w:tc>
      </w:tr>
    </w:tbl>
    <w:p>
      <w:pPr>
        <w:spacing w:after="120"/>
      </w:pPr>
    </w:p>
    <w:p>
      <w:pPr>
        <w:keepNext/>
        <w:spacing w:before="320" w:after="100"/>
      </w:pPr>
      <w:r>
        <w:rPr>
          <w:rFonts w:ascii="Calibri" w:hAnsi="Calibri"/>
          <w:b/>
          <w:color w:val="102C57"/>
          <w:sz w:val="30"/>
        </w:rPr>
        <w:t>Part 4: 4:30 – 6:00 | Readiness Gate (O4), Prioritization (O5) &amp; Overlap Detector (O7)</w:t>
      </w:r>
    </w:p>
    <w:tbl>
      <w:tblPr>
        <w:tblW w:type="auto" w:w="0"/>
        <w:jc w:val="center"/>
        <w:tblLayout w:type="fixed"/>
        <w:tblLook w:firstColumn="1" w:firstRow="1" w:lastColumn="0" w:lastRow="0" w:noHBand="0" w:noVBand="1" w:val="04A0"/>
      </w:tblPr>
      <w:tblGrid>
        <w:gridCol w:w="10224"/>
      </w:tblGrid>
      <w:tr>
        <w:tc>
          <w:tcPr>
            <w:tcW w:type="dxa" w:w="9792"/>
            <w:shd w:fill="F4F7FA"/>
            <w:tcMar>
              <w:top w:w="120" w:type="dxa"/>
              <w:bottom w:w="120" w:type="dxa"/>
              <w:left w:w="180" w:type="dxa"/>
              <w:right w:w="180" w:type="dxa"/>
            </w:tcMar>
            <w:tcBorders>
              <w:top w:val="single" w:sz="12" w:space="0" w:color="1E56A0"/>
              <w:left w:val="single" w:sz="36" w:space="0" w:color="1E56A0"/>
              <w:bottom w:val="single" w:sz="12" w:space="0" w:color="1E56A0"/>
              <w:right w:val="single" w:sz="12" w:space="0" w:color="1E56A0"/>
            </w:tcBorders>
          </w:tcPr>
          <w:p>
            <w:pPr>
              <w:spacing w:before="40" w:after="80"/>
            </w:pPr>
            <w:r>
              <w:rPr>
                <w:rFonts w:ascii="Calibri" w:hAnsi="Calibri"/>
                <w:b/>
                <w:color w:val="102C57"/>
                <w:sz w:val="24"/>
              </w:rPr>
              <w:t>⏱️ [4:30 – 6:00] — Definition of Ready Gate, Formula Prioritization &amp; Overlap Detector</w:t>
              <w:br/>
            </w:r>
            <w:r>
              <w:rPr>
                <w:rFonts w:ascii="Calibri" w:hAnsi="Calibri"/>
                <w:b/>
                <w:color w:val="1E56A0"/>
                <w:sz w:val="20"/>
              </w:rPr>
              <w:t>🖥️ SCREEN ACTION / WHAT TO SHOW ON SCREEN:</w:t>
              <w:br/>
            </w:r>
            <w:r>
              <w:rPr>
                <w:rFonts w:ascii="Calibri" w:hAnsi="Calibri"/>
                <w:color w:val="282828"/>
                <w:sz w:val="20"/>
              </w:rPr>
              <w:t>1. Click Streamlit Tab 4 (Readiness Gate). Select 'BL-003', click 'Evaluate Readiness' -&gt; Show BLOCKED. Select 'BL-005' -&gt; Show READY.</w:t>
              <w:br/>
              <w:t>2. Click Streamlit Tab 5 (Prioritization). Click 'Run Prioritization Engine' -&gt; Show sorted priority table &amp; formula breakdown.</w:t>
              <w:br/>
              <w:t>3. Click Streamlit Tab 6 (Overlap Detector). Select 'BL-006', click 'Check Overlap' -&gt; Show SUBSET match with BL-001.</w:t>
              <w:br/>
              <w:br/>
            </w:r>
            <w:r>
              <w:rPr>
                <w:rFonts w:ascii="Calibri" w:hAnsi="Calibri"/>
                <w:b/>
                <w:color w:val="B43214"/>
                <w:sz w:val="20"/>
              </w:rPr>
              <w:t>📁 EXACT CODE FILE &amp; LINE NUMBERS TO SHOW IN VS CODE:</w:t>
              <w:br/>
            </w:r>
            <w:r>
              <w:rPr>
                <w:rFonts w:ascii="Calibri" w:hAnsi="Calibri"/>
                <w:b/>
                <w:color w:val="1E1E1E"/>
                <w:sz w:val="19"/>
              </w:rPr>
              <w:t>• Readiness YAML: config/readiness.yaml: L1 - L32 (6 active rules)</w:t>
              <w:br/>
              <w:t>• Readiness Service: app/services/readiness_service.py: L25 - L75 (evaluate_readiness)</w:t>
              <w:br/>
              <w:t>• Prioritization Service: app/services/prioritization_service.py: L30 - L80 (calculate_priority_score formula)</w:t>
              <w:br/>
              <w:t>• Overlap Service: app/services/overlap_service.py: L20 - L70 (check_overlap)</w:t>
              <w:br/>
              <w:br/>
            </w:r>
            <w:r>
              <w:rPr>
                <w:rFonts w:ascii="Calibri" w:hAnsi="Calibri"/>
                <w:b/>
                <w:color w:val="102C57"/>
                <w:sz w:val="21"/>
              </w:rPr>
              <w:t>🎙️ WORD-FOR-WORD SPOKEN SCRIPT ("LYRICS"):</w:t>
              <w:br/>
            </w:r>
            <w:r>
              <w:rPr>
                <w:rFonts w:ascii="Calibri" w:hAnsi="Calibri"/>
                <w:i/>
                <w:color w:val="141414"/>
                <w:sz w:val="21"/>
              </w:rPr>
              <w:t>"In Tab 4, we evaluate the Definition of Ready. Selecting BL-003—which lacks acceptance criteria—fails rule check 'has_acceptance_criteria' and returns status BLOCKED. Selecting BL-005 passes all 6 YAML rules and returns status READY.</w:t>
              <w:br/>
              <w:t>In Tab 5, our Prioritization Engine calculates scores using a transparent mathematical formula combining Business Value, Urgency, Risk Reduction, Dependency Penalty, and Readiness Factor. We don't ask the LLM for priority; we compute it deterministically.</w:t>
              <w:br/>
              <w:t>In Tab 6, Overlap Detector checks new candidate story BL-006 against existing backlog stories and identifies it as a SUBSET of story BL-001 with 92% confidence, recommending a merge."</w:t>
              <w:br/>
            </w:r>
          </w:p>
          <w:p>
            <w:pPr>
              <w:spacing w:before="120" w:after="40"/>
              <w:jc w:val="center"/>
            </w:pPr>
            <w:r>
              <w:drawing>
                <wp:inline xmlns:a="http://schemas.openxmlformats.org/drawingml/2006/main" xmlns:pic="http://schemas.openxmlformats.org/drawingml/2006/picture">
                  <wp:extent cx="5486400" cy="2603182"/>
                  <wp:docPr id="4" name="Picture 4"/>
                  <wp:cNvGraphicFramePr>
                    <a:graphicFrameLocks noChangeAspect="1"/>
                  </wp:cNvGraphicFramePr>
                  <a:graphic>
                    <a:graphicData uri="http://schemas.openxmlformats.org/drawingml/2006/picture">
                      <pic:pic>
                        <pic:nvPicPr>
                          <pic:cNvPr id="0" name="tab4_readiness_gate.png"/>
                          <pic:cNvPicPr/>
                        </pic:nvPicPr>
                        <pic:blipFill>
                          <a:blip r:embed="rId12"/>
                          <a:stretch>
                            <a:fillRect/>
                          </a:stretch>
                        </pic:blipFill>
                        <pic:spPr>
                          <a:xfrm>
                            <a:off x="0" y="0"/>
                            <a:ext cx="5486400" cy="2603182"/>
                          </a:xfrm>
                          <a:prstGeom prst="rect"/>
                        </pic:spPr>
                      </pic:pic>
                    </a:graphicData>
                  </a:graphic>
                </wp:inline>
              </w:drawing>
            </w:r>
          </w:p>
        </w:tc>
      </w:tr>
    </w:tbl>
    <w:p>
      <w:pPr>
        <w:spacing w:after="120"/>
      </w:pPr>
    </w:p>
    <w:p>
      <w:pPr>
        <w:keepNext/>
        <w:spacing w:before="320" w:after="100"/>
      </w:pPr>
      <w:r>
        <w:rPr>
          <w:rFonts w:ascii="Calibri" w:hAnsi="Calibri"/>
          <w:b/>
          <w:color w:val="102C57"/>
          <w:sz w:val="30"/>
        </w:rPr>
        <w:t>Part 5: 6:00 – 7:30 | ⭐ The Killer Demo: Human Approval Gate &amp; Status Floor (O9)</w:t>
      </w:r>
    </w:p>
    <w:tbl>
      <w:tblPr>
        <w:tblW w:type="auto" w:w="0"/>
        <w:jc w:val="center"/>
        <w:tblLayout w:type="fixed"/>
        <w:tblLook w:firstColumn="1" w:firstRow="1" w:lastColumn="0" w:lastRow="0" w:noHBand="0" w:noVBand="1" w:val="04A0"/>
      </w:tblPr>
      <w:tblGrid>
        <w:gridCol w:w="10224"/>
      </w:tblGrid>
      <w:tr>
        <w:tc>
          <w:tcPr>
            <w:tcW w:type="dxa" w:w="9792"/>
            <w:shd w:fill="F4F7FA"/>
            <w:tcMar>
              <w:top w:w="120" w:type="dxa"/>
              <w:bottom w:w="120" w:type="dxa"/>
              <w:left w:w="180" w:type="dxa"/>
              <w:right w:w="180" w:type="dxa"/>
            </w:tcMar>
            <w:tcBorders>
              <w:top w:val="single" w:sz="12" w:space="0" w:color="1E56A0"/>
              <w:left w:val="single" w:sz="36" w:space="0" w:color="1E56A0"/>
              <w:bottom w:val="single" w:sz="12" w:space="0" w:color="1E56A0"/>
              <w:right w:val="single" w:sz="12" w:space="0" w:color="1E56A0"/>
            </w:tcBorders>
          </w:tcPr>
          <w:p>
            <w:pPr>
              <w:spacing w:before="40" w:after="80"/>
            </w:pPr>
            <w:r>
              <w:rPr>
                <w:rFonts w:ascii="Calibri" w:hAnsi="Calibri"/>
                <w:b/>
                <w:color w:val="102C57"/>
                <w:sz w:val="24"/>
              </w:rPr>
              <w:t>⏱️ [6:00 – 7:30] — The Killer Demo: Human Approval Gate &amp; Status Floor (O9)</w:t>
              <w:br/>
            </w:r>
            <w:r>
              <w:rPr>
                <w:rFonts w:ascii="Calibri" w:hAnsi="Calibri"/>
                <w:b/>
                <w:color w:val="1E56A0"/>
                <w:sz w:val="20"/>
              </w:rPr>
              <w:t>🖥️ SCREEN ACTION / WHAT TO SHOW ON SCREEN:</w:t>
              <w:br/>
            </w:r>
            <w:r>
              <w:rPr>
                <w:rFonts w:ascii="Calibri" w:hAnsi="Calibri"/>
                <w:color w:val="282828"/>
                <w:sz w:val="20"/>
              </w:rPr>
              <w:t>1. Click Streamlit Tab 7 (Approval Queue). Select draft 'DFT-001' (Status: PENDING).</w:t>
              <w:br/>
              <w:t>2. FIRST CLICK: Click 'Write to Tracker' -&gt; Show red error banner 'HTTP 403 Forbidden'. Open VS Code app/services/approval_service.py line 72.</w:t>
              <w:br/>
              <w:t>3. SECOND CLICK: Click 'Approve Draft' -&gt; Show status badge update to APPROVED.</w:t>
              <w:br/>
              <w:t>4. THIRD CLICK: Click 'Write to Tracker' -&gt; Show HTTP 200 OK success banner and MockTracker item with status NOT_READY and tag AI-drafted.</w:t>
              <w:br/>
              <w:br/>
            </w:r>
            <w:r>
              <w:rPr>
                <w:rFonts w:ascii="Calibri" w:hAnsi="Calibri"/>
                <w:b/>
                <w:color w:val="B43214"/>
                <w:sz w:val="20"/>
              </w:rPr>
              <w:t>📁 EXACT CODE FILE &amp; LINE NUMBERS TO SHOW IN VS CODE:</w:t>
              <w:br/>
            </w:r>
            <w:r>
              <w:rPr>
                <w:rFonts w:ascii="Calibri" w:hAnsi="Calibri"/>
                <w:b/>
                <w:color w:val="1E1E1E"/>
                <w:sz w:val="19"/>
              </w:rPr>
              <w:t>• Approval Service Gate: app/services/approval_service.py: L65 - L85 (line 72: if draft.status != ApprovalStatus.APPROVED: raise ApprovalRequiredError)</w:t>
              <w:br/>
              <w:t>• Status Floor Override: app/services/approval_service.py: L90 - L115 (write_draft_to_tracker: forces status=NOT_READY, tags=['AI-drafted'])</w:t>
              <w:br/>
              <w:br/>
            </w:r>
            <w:r>
              <w:rPr>
                <w:rFonts w:ascii="Calibri" w:hAnsi="Calibri"/>
                <w:b/>
                <w:color w:val="102C57"/>
                <w:sz w:val="21"/>
              </w:rPr>
              <w:t>🎙️ WORD-FOR-WORD SPOKEN SCRIPT ("LYRICS"):</w:t>
              <w:br/>
            </w:r>
            <w:r>
              <w:rPr>
                <w:rFonts w:ascii="Calibri" w:hAnsi="Calibri"/>
                <w:i/>
                <w:color w:val="141414"/>
                <w:sz w:val="21"/>
              </w:rPr>
              <w:t>"Now for our core safety control in Tab 7: The Human Approval Gate and Status Floor.</w:t>
              <w:br/>
              <w:t>Notice draft DFT-001 in the queue with status PENDING. If an external system or user attempts to write this unapproved draft directly to MockTracker, watch what happens when I click 'Write to Tracker': The service layer rejects the call and returns HTTP 403 Forbidden: Draft must be APPROVED.</w:t>
              <w:br/>
              <w:t>Now, as the human Product Owner, I click 'Approve Draft'. The status changes to APPROVED.</w:t>
              <w:br/>
              <w:t>Now I click 'Write to Tracker' again. The call succeeds with HTTP 200 OK. But look at MockTracker: Even though the draft was approved, the status is forcibly locked at NOT_READY and tagged 'AI-drafted'. This guarantees that no AI item enters a sprint without final human PO review."</w:t>
              <w:br/>
            </w:r>
          </w:p>
          <w:p>
            <w:pPr>
              <w:spacing w:before="120" w:after="40"/>
              <w:jc w:val="center"/>
            </w:pPr>
            <w:r>
              <w:drawing>
                <wp:inline xmlns:a="http://schemas.openxmlformats.org/drawingml/2006/main" xmlns:pic="http://schemas.openxmlformats.org/drawingml/2006/picture">
                  <wp:extent cx="5486400" cy="2603182"/>
                  <wp:docPr id="5" name="Picture 5"/>
                  <wp:cNvGraphicFramePr>
                    <a:graphicFrameLocks noChangeAspect="1"/>
                  </wp:cNvGraphicFramePr>
                  <a:graphic>
                    <a:graphicData uri="http://schemas.openxmlformats.org/drawingml/2006/picture">
                      <pic:pic>
                        <pic:nvPicPr>
                          <pic:cNvPr id="0" name="tab7_approval_queue.png"/>
                          <pic:cNvPicPr/>
                        </pic:nvPicPr>
                        <pic:blipFill>
                          <a:blip r:embed="rId13"/>
                          <a:stretch>
                            <a:fillRect/>
                          </a:stretch>
                        </pic:blipFill>
                        <pic:spPr>
                          <a:xfrm>
                            <a:off x="0" y="0"/>
                            <a:ext cx="5486400" cy="2603182"/>
                          </a:xfrm>
                          <a:prstGeom prst="rect"/>
                        </pic:spPr>
                      </pic:pic>
                    </a:graphicData>
                  </a:graphic>
                </wp:inline>
              </w:drawing>
            </w:r>
          </w:p>
        </w:tc>
      </w:tr>
    </w:tbl>
    <w:p>
      <w:pPr>
        <w:spacing w:after="120"/>
      </w:pPr>
    </w:p>
    <w:p>
      <w:pPr>
        <w:keepNext/>
        <w:spacing w:before="320" w:after="100"/>
      </w:pPr>
      <w:r>
        <w:rPr>
          <w:rFonts w:ascii="Calibri" w:hAnsi="Calibri"/>
          <w:b/>
          <w:color w:val="102C57"/>
          <w:sz w:val="30"/>
        </w:rPr>
        <w:t>Part 6: 7:30 – 9:00 | Empirical Evaluation Harness &amp; Adversarial Proofs</w:t>
      </w:r>
    </w:p>
    <w:tbl>
      <w:tblPr>
        <w:tblW w:type="auto" w:w="0"/>
        <w:jc w:val="center"/>
        <w:tblLayout w:type="fixed"/>
        <w:tblLook w:firstColumn="1" w:firstRow="1" w:lastColumn="0" w:lastRow="0" w:noHBand="0" w:noVBand="1" w:val="04A0"/>
      </w:tblPr>
      <w:tblGrid>
        <w:gridCol w:w="10224"/>
      </w:tblGrid>
      <w:tr>
        <w:tc>
          <w:tcPr>
            <w:tcW w:type="dxa" w:w="9792"/>
            <w:shd w:fill="F4F7FA"/>
            <w:tcMar>
              <w:top w:w="120" w:type="dxa"/>
              <w:bottom w:w="120" w:type="dxa"/>
              <w:left w:w="180" w:type="dxa"/>
              <w:right w:w="180" w:type="dxa"/>
            </w:tcMar>
            <w:tcBorders>
              <w:top w:val="single" w:sz="12" w:space="0" w:color="1E56A0"/>
              <w:left w:val="single" w:sz="36" w:space="0" w:color="1E56A0"/>
              <w:bottom w:val="single" w:sz="12" w:space="0" w:color="1E56A0"/>
              <w:right w:val="single" w:sz="12" w:space="0" w:color="1E56A0"/>
            </w:tcBorders>
          </w:tcPr>
          <w:p>
            <w:pPr>
              <w:spacing w:before="40" w:after="80"/>
            </w:pPr>
            <w:r>
              <w:rPr>
                <w:rFonts w:ascii="Calibri" w:hAnsi="Calibri"/>
                <w:b/>
                <w:color w:val="102C57"/>
                <w:sz w:val="24"/>
              </w:rPr>
              <w:t>⏱️ [7:30 – 9:00] — Empirical Evaluation Harness &amp; Adversarial Probes</w:t>
              <w:br/>
            </w:r>
            <w:r>
              <w:rPr>
                <w:rFonts w:ascii="Calibri" w:hAnsi="Calibri"/>
                <w:b/>
                <w:color w:val="1E56A0"/>
                <w:sz w:val="20"/>
              </w:rPr>
              <w:t>🖥️ SCREEN ACTION / WHAT TO SHOW ON SCREEN:</w:t>
              <w:br/>
            </w:r>
            <w:r>
              <w:rPr>
                <w:rFonts w:ascii="Calibri" w:hAnsi="Calibri"/>
                <w:color w:val="282828"/>
                <w:sz w:val="20"/>
              </w:rPr>
              <w:t>1. Switch screen focus to Terminal window.</w:t>
              <w:br/>
              <w:t>2. Type: python -m eval.run --provider mock -&gt; Show 10/10 PASS output table.</w:t>
              <w:br/>
              <w:t>3. Type: python eval/compare.py -&gt; Show side-by-side Mock vs Groq benchmark report.</w:t>
              <w:br/>
              <w:t>4. Type: python eval/adversarial_run.py -&gt; Show 7/7 PASS output (pointing out ADV-01 numeric grounding rejection).</w:t>
              <w:br/>
              <w:br/>
            </w:r>
            <w:r>
              <w:rPr>
                <w:rFonts w:ascii="Calibri" w:hAnsi="Calibri"/>
                <w:b/>
                <w:color w:val="B43214"/>
                <w:sz w:val="20"/>
              </w:rPr>
              <w:t>📁 EXACT CODE FILE &amp; LINE NUMBERS TO SHOW IN VS CODE:</w:t>
              <w:br/>
            </w:r>
            <w:r>
              <w:rPr>
                <w:rFonts w:ascii="Calibri" w:hAnsi="Calibri"/>
                <w:b/>
                <w:color w:val="1E1E1E"/>
                <w:sz w:val="19"/>
              </w:rPr>
              <w:t>• Golden Harness: eval/run.py: L20 - L100 (run_eval &amp; provider CLI)</w:t>
              <w:br/>
              <w:t>• Side-by-Side Reporter: eval/compare.py: L10 - L60 (compare_results)</w:t>
              <w:br/>
              <w:t>• Adversarial Runner: eval/adversarial_run.py: L15 - L90 (run_adversarial_suite)</w:t>
              <w:br/>
              <w:br/>
            </w:r>
            <w:r>
              <w:rPr>
                <w:rFonts w:ascii="Calibri" w:hAnsi="Calibri"/>
                <w:b/>
                <w:color w:val="102C57"/>
                <w:sz w:val="21"/>
              </w:rPr>
              <w:t>🎙️ WORD-FOR-WORD SPOKEN SCRIPT ("LYRICS"):</w:t>
              <w:br/>
            </w:r>
            <w:r>
              <w:rPr>
                <w:rFonts w:ascii="Calibri" w:hAnsi="Calibri"/>
                <w:i/>
                <w:color w:val="141414"/>
                <w:sz w:val="21"/>
              </w:rPr>
              <w:t>"To prove our system is robust beyond UI demonstrations, we built an automated evaluation suite.</w:t>
              <w:br/>
              <w:t>In Terminal, I run 'python -m eval.run --provider mock'—achieving 10/10 PASS across all Golden Cases in 0.05 seconds.</w:t>
              <w:br/>
              <w:t>Next, running 'python eval/compare.py' benchmarks our deterministic Mock against live Groq LLM inference with qwen/qwen3.6-27b over 3 repeated runs. Groq achieves 10/10 PASS with 1.45-second average latency, zero retries, and zero schema failures.</w:t>
              <w:br/>
              <w:t>Finally, running 'python eval/adversarial_run.py' executes 7 adversarial probes—achieving 7/7 PASS. For example, ADV-01 injects a hallucinated '50 MB' file limit. CitationService detects that '50 MB' is not in PB-04.2 and rejects the claim."</w:t>
              <w:br/>
            </w:r>
          </w:p>
          <w:p>
            <w:pPr>
              <w:spacing w:before="120" w:after="40"/>
              <w:jc w:val="center"/>
            </w:pPr>
            <w:r>
              <w:drawing>
                <wp:inline xmlns:a="http://schemas.openxmlformats.org/drawingml/2006/main" xmlns:pic="http://schemas.openxmlformats.org/drawingml/2006/picture">
                  <wp:extent cx="5486400" cy="2603182"/>
                  <wp:docPr id="6" name="Picture 6"/>
                  <wp:cNvGraphicFramePr>
                    <a:graphicFrameLocks noChangeAspect="1"/>
                  </wp:cNvGraphicFramePr>
                  <a:graphic>
                    <a:graphicData uri="http://schemas.openxmlformats.org/drawingml/2006/picture">
                      <pic:pic>
                        <pic:nvPicPr>
                          <pic:cNvPr id="0" name="tab5_prioritization.png"/>
                          <pic:cNvPicPr/>
                        </pic:nvPicPr>
                        <pic:blipFill>
                          <a:blip r:embed="rId14"/>
                          <a:stretch>
                            <a:fillRect/>
                          </a:stretch>
                        </pic:blipFill>
                        <pic:spPr>
                          <a:xfrm>
                            <a:off x="0" y="0"/>
                            <a:ext cx="5486400" cy="2603182"/>
                          </a:xfrm>
                          <a:prstGeom prst="rect"/>
                        </pic:spPr>
                      </pic:pic>
                    </a:graphicData>
                  </a:graphic>
                </wp:inline>
              </w:drawing>
            </w:r>
          </w:p>
        </w:tc>
      </w:tr>
    </w:tbl>
    <w:p>
      <w:pPr>
        <w:spacing w:after="120"/>
      </w:pPr>
    </w:p>
    <w:p>
      <w:pPr>
        <w:keepNext/>
        <w:spacing w:before="320" w:after="100"/>
      </w:pPr>
      <w:r>
        <w:rPr>
          <w:rFonts w:ascii="Calibri" w:hAnsi="Calibri"/>
          <w:b/>
          <w:color w:val="102C57"/>
          <w:sz w:val="30"/>
        </w:rPr>
        <w:t>Part 7: 9:00 – 10:00 | Architectural Trade-offs &amp; Q&amp;A Defense Strategy</w:t>
      </w:r>
    </w:p>
    <w:tbl>
      <w:tblPr>
        <w:tblW w:type="auto" w:w="0"/>
        <w:jc w:val="center"/>
        <w:tblLayout w:type="fixed"/>
        <w:tblLook w:firstColumn="1" w:firstRow="1" w:lastColumn="0" w:lastRow="0" w:noHBand="0" w:noVBand="1" w:val="04A0"/>
      </w:tblPr>
      <w:tblGrid>
        <w:gridCol w:w="10224"/>
      </w:tblGrid>
      <w:tr>
        <w:tc>
          <w:tcPr>
            <w:tcW w:type="dxa" w:w="9792"/>
            <w:shd w:fill="F4F7FA"/>
            <w:tcMar>
              <w:top w:w="120" w:type="dxa"/>
              <w:bottom w:w="120" w:type="dxa"/>
              <w:left w:w="180" w:type="dxa"/>
              <w:right w:w="180" w:type="dxa"/>
            </w:tcMar>
            <w:tcBorders>
              <w:top w:val="single" w:sz="12" w:space="0" w:color="1E56A0"/>
              <w:left w:val="single" w:sz="36" w:space="0" w:color="1E56A0"/>
              <w:bottom w:val="single" w:sz="12" w:space="0" w:color="1E56A0"/>
              <w:right w:val="single" w:sz="12" w:space="0" w:color="1E56A0"/>
            </w:tcBorders>
          </w:tcPr>
          <w:p>
            <w:pPr>
              <w:spacing w:before="40" w:after="80"/>
            </w:pPr>
            <w:r>
              <w:rPr>
                <w:rFonts w:ascii="Calibri" w:hAnsi="Calibri"/>
                <w:b/>
                <w:color w:val="102C57"/>
                <w:sz w:val="24"/>
              </w:rPr>
              <w:t>⏱️ [9:00 – 10:00] — Architectural Trade-offs &amp; Q&amp;A Defense</w:t>
              <w:br/>
            </w:r>
            <w:r>
              <w:rPr>
                <w:rFonts w:ascii="Calibri" w:hAnsi="Calibri"/>
                <w:b/>
                <w:color w:val="1E56A0"/>
                <w:sz w:val="20"/>
              </w:rPr>
              <w:t>🖥️ SCREEN ACTION / WHAT TO SHOW ON SCREEN:</w:t>
              <w:br/>
            </w:r>
            <w:r>
              <w:rPr>
                <w:rFonts w:ascii="Calibri" w:hAnsi="Calibri"/>
                <w:color w:val="282828"/>
                <w:sz w:val="20"/>
              </w:rPr>
              <w:t>1. Switch VS Code window to docs/decision-log.md (ADR-002, ADR-004, ADR-006, ADR-008).</w:t>
              <w:br/>
              <w:t>2. End presentation with full confidence.</w:t>
              <w:br/>
              <w:br/>
            </w:r>
            <w:r>
              <w:rPr>
                <w:rFonts w:ascii="Calibri" w:hAnsi="Calibri"/>
                <w:b/>
                <w:color w:val="B43214"/>
                <w:sz w:val="20"/>
              </w:rPr>
              <w:t>📁 EXACT CODE FILE &amp; LINE NUMBERS TO SHOW IN VS CODE:</w:t>
              <w:br/>
            </w:r>
            <w:r>
              <w:rPr>
                <w:rFonts w:ascii="Calibri" w:hAnsi="Calibri"/>
                <w:b/>
                <w:color w:val="1E1E1E"/>
                <w:sz w:val="19"/>
              </w:rPr>
              <w:t>docs/decision-log.md: L1 - L150 (ADR-001 through ADR-008 Architecture Decision Records)</w:t>
              <w:br/>
              <w:br/>
            </w:r>
            <w:r>
              <w:rPr>
                <w:rFonts w:ascii="Calibri" w:hAnsi="Calibri"/>
                <w:b/>
                <w:color w:val="102C57"/>
                <w:sz w:val="21"/>
              </w:rPr>
              <w:t>🎙️ WORD-FOR-WORD SPOKEN SCRIPT ("LYRICS"):</w:t>
              <w:br/>
            </w:r>
            <w:r>
              <w:rPr>
                <w:rFonts w:ascii="Calibri" w:hAnsi="Calibri"/>
                <w:i/>
                <w:color w:val="141414"/>
                <w:sz w:val="21"/>
              </w:rPr>
              <w:t>"In conclusion, our project evolved from a feature prototype into a governed AI Product Owner system.</w:t>
              <w:br/>
              <w:t>We made three key architectural decisions documented in our ADR log:</w:t>
              <w:br/>
              <w:t>First, we chose SQLite FTS5 over Vector DBs because our product brief is structured into addressable sections (PB-01 to PB-15). FTS5 provides 100% deterministic lookup with zero vector infrastructure overhead.</w:t>
              <w:br/>
              <w:t>Second, we built MockProvider alongside GroqProvider to enable fast, reproducible CI regression testing.</w:t>
              <w:br/>
              <w:t>And third, we enforced approval gating and status floors in Python service objects rather than complex graph frameworks, keeping the codebase clean, maintainable, and robust.</w:t>
              <w:br/>
              <w:t>Thank you! I am now ready for any technical questions."</w:t>
              <w:br/>
            </w:r>
          </w:p>
          <w:p>
            <w:pPr>
              <w:spacing w:before="120" w:after="40"/>
              <w:jc w:val="center"/>
            </w:pPr>
            <w:r>
              <w:drawing>
                <wp:inline xmlns:a="http://schemas.openxmlformats.org/drawingml/2006/main" xmlns:pic="http://schemas.openxmlformats.org/drawingml/2006/picture">
                  <wp:extent cx="5486400" cy="2603182"/>
                  <wp:docPr id="7" name="Picture 7"/>
                  <wp:cNvGraphicFramePr>
                    <a:graphicFrameLocks noChangeAspect="1"/>
                  </wp:cNvGraphicFramePr>
                  <a:graphic>
                    <a:graphicData uri="http://schemas.openxmlformats.org/drawingml/2006/picture">
                      <pic:pic>
                        <pic:nvPicPr>
                          <pic:cNvPr id="0" name="tab6_overlap_detector.png"/>
                          <pic:cNvPicPr/>
                        </pic:nvPicPr>
                        <pic:blipFill>
                          <a:blip r:embed="rId15"/>
                          <a:stretch>
                            <a:fillRect/>
                          </a:stretch>
                        </pic:blipFill>
                        <pic:spPr>
                          <a:xfrm>
                            <a:off x="0" y="0"/>
                            <a:ext cx="5486400" cy="2603182"/>
                          </a:xfrm>
                          <a:prstGeom prst="rect"/>
                        </pic:spPr>
                      </pic:pic>
                    </a:graphicData>
                  </a:graphic>
                </wp:inline>
              </w:drawing>
            </w:r>
          </w:p>
        </w:tc>
      </w:tr>
    </w:tbl>
    <w:p>
      <w:pPr>
        <w:spacing w:after="120"/>
      </w:pP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