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02C57"/>
          <w:sz w:val="48"/>
        </w:rPr>
        <w:t>PO Backlog Architect Agent — Final Engineering &amp; Architecture Report</w:t>
      </w:r>
    </w:p>
    <w:p>
      <w:pPr>
        <w:spacing w:after="280"/>
      </w:pPr>
      <w:r>
        <w:rPr>
          <w:rFonts w:ascii="Calibri" w:hAnsi="Calibri"/>
          <w:i/>
          <w:color w:val="646464"/>
          <w:sz w:val="24"/>
        </w:rPr>
        <w:t>Comprehensive Submission Report: 4-Day Development Lifecycle, Decision Log, AI Tools Stack, Architecture Invariants, Benchmark Evidence &amp; 7-Day Extension Roadmap</w:t>
      </w:r>
    </w:p>
    <w:p>
      <w:pPr>
        <w:spacing w:after="80" w:line="276" w:lineRule="auto"/>
      </w:pPr>
      <w:r>
        <w:rPr>
          <w:rFonts w:ascii="Calibri" w:hAnsi="Calibri"/>
          <w:b/>
          <w:color w:val="1E1E1E"/>
          <w:sz w:val="21"/>
        </w:rPr>
        <w:t xml:space="preserve">Executive Summary: </w:t>
      </w:r>
      <w:r>
        <w:rPr>
          <w:rFonts w:ascii="Calibri" w:hAnsi="Calibri"/>
          <w:i w:val="0"/>
          <w:color w:val="282828"/>
          <w:sz w:val="21"/>
        </w:rPr>
        <w:t>This report presents the complete engineering log, architectural design decisions, benchmark test evidence, and future extension roadmap for the FlowDesk PO Backlog Architect Agent. The system was designed around the core philosophy of GOVERNANCE OVER GENERATION—ensuring LLMs propose backlog items while deterministic Python service code validates section citations, scores anti-generic specificity across 3 layers, enforces Definition of Ready rules, and blocks unapproved external tracker writes with an immutable NOT_READY status floor.</w:t>
      </w:r>
    </w:p>
    <w:p>
      <w:pPr>
        <w:keepNext/>
        <w:spacing w:before="320" w:after="100"/>
      </w:pPr>
      <w:r>
        <w:rPr>
          <w:rFonts w:ascii="Calibri" w:hAnsi="Calibri"/>
          <w:b/>
          <w:color w:val="102C57"/>
          <w:sz w:val="30"/>
        </w:rPr>
        <w:t>1. 4-Day Development Timeline &amp; AI Tools Stack</w:t>
      </w:r>
    </w:p>
    <w:p>
      <w:pPr>
        <w:spacing w:after="80" w:line="276" w:lineRule="auto"/>
      </w:pPr>
      <w:r>
        <w:rPr>
          <w:rFonts w:ascii="Calibri" w:hAnsi="Calibri"/>
          <w:i w:val="0"/>
          <w:color w:val="282828"/>
          <w:sz w:val="21"/>
        </w:rPr>
        <w:t>The project was executed across 4 intensive engineering days, balancing rigorous domain research, architectural modeling, deterministic service implementation, evaluation harness construction, and UI demonstration recording.</w:t>
      </w:r>
    </w:p>
    <w:p>
      <w:pPr>
        <w:keepNext/>
        <w:spacing w:before="240" w:after="80"/>
      </w:pPr>
      <w:r>
        <w:rPr>
          <w:rFonts w:ascii="Calibri" w:hAnsi="Calibri"/>
          <w:b/>
          <w:color w:val="1E56A0"/>
          <w:sz w:val="24"/>
        </w:rPr>
        <w:t>🗓️ 4-Day Execution Log</w:t>
      </w:r>
    </w:p>
    <w:p>
      <w:pPr>
        <w:pStyle w:val="ListBullet"/>
        <w:spacing w:after="60" w:line="276" w:lineRule="auto"/>
      </w:pPr>
      <w:r>
        <w:rPr>
          <w:rFonts w:ascii="Calibri" w:hAnsi="Calibri"/>
          <w:b/>
          <w:sz w:val="20"/>
        </w:rPr>
        <w:t xml:space="preserve">Days 1 – 2 (Research, Architecture &amp; Foundation): </w:t>
      </w:r>
      <w:r>
        <w:rPr>
          <w:rFonts w:ascii="Calibri" w:hAnsi="Calibri"/>
          <w:sz w:val="20"/>
        </w:rPr>
        <w:t>Research, Problem Domain Framing &amp; Tech Stack Selection: Conducted deep analysis of standard LLM failure modes in Product Ownership (hallucinated constraints, generic user stories, uncontrolled Jira writes). Research tools utilized included Antigravity IDE for repository modeling, along with ChatGPT, Gemini, Perplexity, Manus, and Claude for architectural research, decision validation, and prompt engineering strategy. Selected Groq Free API (qwen/qwen3.6-27b) for live LLM inference and created MockProvider for 0.05s offline regression testing. Standardized product brief parsing into 15 addressable sections (PB-01..PB-15) stored in SQLite FTS5.</w:t>
      </w:r>
    </w:p>
    <w:p>
      <w:pPr>
        <w:pStyle w:val="ListBullet"/>
        <w:spacing w:after="60" w:line="276" w:lineRule="auto"/>
      </w:pPr>
      <w:r>
        <w:rPr>
          <w:rFonts w:ascii="Calibri" w:hAnsi="Calibri"/>
          <w:b/>
          <w:sz w:val="20"/>
        </w:rPr>
        <w:t xml:space="preserve">Days 3 – 4 (Implementation, Governance, Testing &amp; Recording): </w:t>
      </w:r>
      <w:r>
        <w:rPr>
          <w:rFonts w:ascii="Calibri" w:hAnsi="Calibri"/>
          <w:sz w:val="20"/>
        </w:rPr>
        <w:t>Service Implementation, UI Integration, Harness &amp; Video Walkthrough: Implemented 6 core Python service modules (ContextService, CitationService, DecompositionAgent, CriteriaAgent, GenericGuardService, ReadinessService, PrioritizationService, OverlapService, ApprovalService). Constructed Streamlit 7-tab dashboard (ui/dashboard.py), FastAPI REST API (app/main.py), 24/24 unit test suite (tests/test_e2e_pipeline.py), and 10/10 Golden + 7/7 Adversarial evaluation harness (eval/run.py, eval/compare.py, eval/adversarial_run.py). Recorded 10-minute end-to-end presentation video.</w:t>
      </w:r>
    </w:p>
    <w:p>
      <w:pPr>
        <w:keepNext/>
        <w:spacing w:before="240" w:after="80"/>
      </w:pPr>
      <w:r>
        <w:rPr>
          <w:rFonts w:ascii="Calibri" w:hAnsi="Calibri"/>
          <w:b/>
          <w:color w:val="1E56A0"/>
          <w:sz w:val="24"/>
        </w:rPr>
        <w:t>🤖 AI Tools &amp; IDE Ecosystem Used</w:t>
      </w:r>
    </w:p>
    <w:p>
      <w:pPr>
        <w:pStyle w:val="ListBullet"/>
        <w:spacing w:after="60" w:line="276" w:lineRule="auto"/>
      </w:pPr>
      <w:r>
        <w:rPr>
          <w:rFonts w:ascii="Calibri" w:hAnsi="Calibri"/>
          <w:b/>
          <w:sz w:val="20"/>
        </w:rPr>
        <w:t xml:space="preserve">Antigravity IDE: </w:t>
      </w:r>
      <w:r>
        <w:rPr>
          <w:rFonts w:ascii="Calibri" w:hAnsi="Calibri"/>
          <w:sz w:val="20"/>
        </w:rPr>
        <w:t>Google Antigravity IDE — Primary Agentic Coding &amp; Development IDE used for pair programming, repository refactoring, automated testing, browser subagent UI testing, and artifact generation.</w:t>
      </w:r>
    </w:p>
    <w:p>
      <w:pPr>
        <w:pStyle w:val="ListBullet"/>
        <w:spacing w:after="60" w:line="276" w:lineRule="auto"/>
      </w:pPr>
      <w:r>
        <w:rPr>
          <w:rFonts w:ascii="Calibri" w:hAnsi="Calibri"/>
          <w:b/>
          <w:sz w:val="20"/>
        </w:rPr>
        <w:t xml:space="preserve">Groq Provider: </w:t>
      </w:r>
      <w:r>
        <w:rPr>
          <w:rFonts w:ascii="Calibri" w:hAnsi="Calibri"/>
          <w:sz w:val="20"/>
        </w:rPr>
        <w:t>Groq Free API (qwen/qwen3.6-27b) — Primary open-weights LLM provider for live, low-latency structured JSON generation.</w:t>
      </w:r>
    </w:p>
    <w:p>
      <w:pPr>
        <w:pStyle w:val="ListBullet"/>
        <w:spacing w:after="60" w:line="276" w:lineRule="auto"/>
      </w:pPr>
      <w:r>
        <w:rPr>
          <w:rFonts w:ascii="Calibri" w:hAnsi="Calibri"/>
          <w:b/>
          <w:sz w:val="20"/>
        </w:rPr>
        <w:t xml:space="preserve">Research LLM Stack: </w:t>
      </w:r>
      <w:r>
        <w:rPr>
          <w:rFonts w:ascii="Calibri" w:hAnsi="Calibri"/>
          <w:sz w:val="20"/>
        </w:rPr>
        <w:t>ChatGPT, Gemini, Perplexity, Manus, Claude — Used during Days 1-2 for competitive research, prompt guard design, FTS5 retrieval modeling, and decision log validation.</w:t>
      </w:r>
    </w:p>
    <w:p>
      <w:pPr>
        <w:keepNext/>
        <w:spacing w:before="320" w:after="100"/>
      </w:pPr>
      <w:r>
        <w:rPr>
          <w:rFonts w:ascii="Calibri" w:hAnsi="Calibri"/>
          <w:b/>
          <w:color w:val="102C57"/>
          <w:sz w:val="30"/>
        </w:rPr>
        <w:t>2. Architectural Decision Log (ADRs)</w:t>
      </w:r>
    </w:p>
    <w:p>
      <w:pPr>
        <w:spacing w:after="80" w:line="276" w:lineRule="auto"/>
      </w:pPr>
      <w:r>
        <w:rPr>
          <w:rFonts w:ascii="Calibri" w:hAnsi="Calibri"/>
          <w:i w:val="0"/>
          <w:color w:val="282828"/>
          <w:sz w:val="21"/>
        </w:rPr>
        <w:t>Key architectural decisions were documented in docs/decision-log.md to maintain full technical transparency:</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440"/>
            <w:shd w:fill="102C57"/>
            <w:tcMar>
              <w:top w:w="120" w:type="dxa"/>
              <w:bottom w:w="120" w:type="dxa"/>
              <w:left w:w="150" w:type="dxa"/>
              <w:right w:w="150" w:type="dxa"/>
            </w:tcMar>
          </w:tcPr>
          <w:p>
            <w:pPr>
              <w:jc w:val="left"/>
            </w:pPr>
            <w:r>
              <w:rPr>
                <w:rFonts w:ascii="Calibri" w:hAnsi="Calibri"/>
                <w:b/>
                <w:color w:val="FFFFFF"/>
                <w:sz w:val="20"/>
              </w:rPr>
              <w:t>ADR ID</w:t>
            </w:r>
          </w:p>
        </w:tc>
        <w:tc>
          <w:tcPr>
            <w:tcW w:type="dxa" w:w="2592"/>
            <w:shd w:fill="102C57"/>
            <w:tcMar>
              <w:top w:w="120" w:type="dxa"/>
              <w:bottom w:w="120" w:type="dxa"/>
              <w:left w:w="150" w:type="dxa"/>
              <w:right w:w="150" w:type="dxa"/>
            </w:tcMar>
          </w:tcPr>
          <w:p>
            <w:pPr>
              <w:jc w:val="left"/>
            </w:pPr>
            <w:r>
              <w:rPr>
                <w:rFonts w:ascii="Calibri" w:hAnsi="Calibri"/>
                <w:b/>
                <w:color w:val="FFFFFF"/>
                <w:sz w:val="20"/>
              </w:rPr>
              <w:t>Decision Title</w:t>
            </w:r>
          </w:p>
        </w:tc>
        <w:tc>
          <w:tcPr>
            <w:tcW w:type="dxa" w:w="3168"/>
            <w:shd w:fill="102C57"/>
            <w:tcMar>
              <w:top w:w="120" w:type="dxa"/>
              <w:bottom w:w="120" w:type="dxa"/>
              <w:left w:w="150" w:type="dxa"/>
              <w:right w:w="150" w:type="dxa"/>
            </w:tcMar>
          </w:tcPr>
          <w:p>
            <w:pPr>
              <w:jc w:val="left"/>
            </w:pPr>
            <w:r>
              <w:rPr>
                <w:rFonts w:ascii="Calibri" w:hAnsi="Calibri"/>
                <w:b/>
                <w:color w:val="FFFFFF"/>
                <w:sz w:val="20"/>
              </w:rPr>
              <w:t>Choice Made &amp; Rationale</w:t>
            </w:r>
          </w:p>
        </w:tc>
        <w:tc>
          <w:tcPr>
            <w:tcW w:type="dxa" w:w="2592"/>
            <w:shd w:fill="102C57"/>
            <w:tcMar>
              <w:top w:w="120" w:type="dxa"/>
              <w:bottom w:w="120" w:type="dxa"/>
              <w:left w:w="150" w:type="dxa"/>
              <w:right w:w="150" w:type="dxa"/>
            </w:tcMar>
          </w:tcPr>
          <w:p>
            <w:pPr>
              <w:jc w:val="left"/>
            </w:pPr>
            <w:r>
              <w:rPr>
                <w:rFonts w:ascii="Calibri" w:hAnsi="Calibri"/>
                <w:b/>
                <w:color w:val="FFFFFF"/>
                <w:sz w:val="20"/>
              </w:rPr>
              <w:t>Alternative Rejected &amp; Why</w:t>
            </w:r>
          </w:p>
        </w:tc>
      </w:tr>
      <w:tr>
        <w:tc>
          <w:tcPr>
            <w:tcW w:type="dxa" w:w="1440"/>
            <w:tcMar>
              <w:top w:w="80" w:type="dxa"/>
              <w:bottom w:w="80" w:type="dxa"/>
              <w:left w:w="150" w:type="dxa"/>
              <w:right w:w="150" w:type="dxa"/>
            </w:tcMar>
          </w:tcPr>
          <w:p>
            <w:pPr>
              <w:jc w:val="left"/>
            </w:pPr>
            <w:r>
              <w:rPr>
                <w:rFonts w:ascii="Calibri" w:hAnsi="Calibri"/>
                <w:color w:val="282828"/>
                <w:sz w:val="19"/>
              </w:rPr>
              <w:t>ADR-001</w:t>
            </w:r>
          </w:p>
        </w:tc>
        <w:tc>
          <w:tcPr>
            <w:tcW w:type="dxa" w:w="2592"/>
            <w:tcMar>
              <w:top w:w="80" w:type="dxa"/>
              <w:bottom w:w="80" w:type="dxa"/>
              <w:left w:w="150" w:type="dxa"/>
              <w:right w:w="150" w:type="dxa"/>
            </w:tcMar>
          </w:tcPr>
          <w:p>
            <w:pPr>
              <w:jc w:val="left"/>
            </w:pPr>
            <w:r>
              <w:rPr>
                <w:rFonts w:ascii="Calibri" w:hAnsi="Calibri"/>
                <w:color w:val="282828"/>
                <w:sz w:val="19"/>
              </w:rPr>
              <w:t>Service-Layer Gating over Prompt Instruction</w:t>
            </w:r>
          </w:p>
        </w:tc>
        <w:tc>
          <w:tcPr>
            <w:tcW w:type="dxa" w:w="3168"/>
            <w:tcMar>
              <w:top w:w="80" w:type="dxa"/>
              <w:bottom w:w="80" w:type="dxa"/>
              <w:left w:w="150" w:type="dxa"/>
              <w:right w:w="150" w:type="dxa"/>
            </w:tcMar>
          </w:tcPr>
          <w:p>
            <w:pPr>
              <w:jc w:val="left"/>
            </w:pPr>
            <w:r>
              <w:rPr>
                <w:rFonts w:ascii="Calibri" w:hAnsi="Calibri"/>
                <w:color w:val="282828"/>
                <w:sz w:val="19"/>
              </w:rPr>
              <w:t>Enforced approval checks in Python service code (`ApprovalService`), raising HTTP 403 if unapproved.</w:t>
            </w:r>
          </w:p>
        </w:tc>
        <w:tc>
          <w:tcPr>
            <w:tcW w:type="dxa" w:w="2592"/>
            <w:tcMar>
              <w:top w:w="80" w:type="dxa"/>
              <w:bottom w:w="80" w:type="dxa"/>
              <w:left w:w="150" w:type="dxa"/>
              <w:right w:w="150" w:type="dxa"/>
            </w:tcMar>
          </w:tcPr>
          <w:p>
            <w:pPr>
              <w:jc w:val="left"/>
            </w:pPr>
            <w:r>
              <w:rPr>
                <w:rFonts w:ascii="Calibri" w:hAnsi="Calibri"/>
                <w:color w:val="282828"/>
                <w:sz w:val="19"/>
              </w:rPr>
              <w:t>Relying on system prompts ('do not write unless approved'). Prompt instructions can be bypassed via prompt injection.</w:t>
            </w:r>
          </w:p>
        </w:tc>
      </w:tr>
      <w:tr>
        <w:tc>
          <w:tcPr>
            <w:tcW w:type="dxa" w:w="1440"/>
            <w:shd w:fill="F4F7FA"/>
            <w:tcMar>
              <w:top w:w="80" w:type="dxa"/>
              <w:bottom w:w="80" w:type="dxa"/>
              <w:left w:w="150" w:type="dxa"/>
              <w:right w:w="150" w:type="dxa"/>
            </w:tcMar>
          </w:tcPr>
          <w:p>
            <w:pPr>
              <w:jc w:val="left"/>
            </w:pPr>
            <w:r>
              <w:rPr>
                <w:rFonts w:ascii="Calibri" w:hAnsi="Calibri"/>
                <w:color w:val="282828"/>
                <w:sz w:val="19"/>
              </w:rPr>
              <w:t>ADR-002</w:t>
            </w:r>
          </w:p>
        </w:tc>
        <w:tc>
          <w:tcPr>
            <w:tcW w:type="dxa" w:w="2592"/>
            <w:shd w:fill="F4F7FA"/>
            <w:tcMar>
              <w:top w:w="80" w:type="dxa"/>
              <w:bottom w:w="80" w:type="dxa"/>
              <w:left w:w="150" w:type="dxa"/>
              <w:right w:w="150" w:type="dxa"/>
            </w:tcMar>
          </w:tcPr>
          <w:p>
            <w:pPr>
              <w:jc w:val="left"/>
            </w:pPr>
            <w:r>
              <w:rPr>
                <w:rFonts w:ascii="Calibri" w:hAnsi="Calibri"/>
                <w:color w:val="282828"/>
                <w:sz w:val="19"/>
              </w:rPr>
              <w:t>SQLite FTS5 Retrieval over Vector DB</w:t>
            </w:r>
          </w:p>
        </w:tc>
        <w:tc>
          <w:tcPr>
            <w:tcW w:type="dxa" w:w="3168"/>
            <w:shd w:fill="F4F7FA"/>
            <w:tcMar>
              <w:top w:w="80" w:type="dxa"/>
              <w:bottom w:w="80" w:type="dxa"/>
              <w:left w:w="150" w:type="dxa"/>
              <w:right w:w="150" w:type="dxa"/>
            </w:tcMar>
          </w:tcPr>
          <w:p>
            <w:pPr>
              <w:jc w:val="left"/>
            </w:pPr>
            <w:r>
              <w:rPr>
                <w:rFonts w:ascii="Calibri" w:hAnsi="Calibri"/>
                <w:color w:val="282828"/>
                <w:sz w:val="19"/>
              </w:rPr>
              <w:t>Used SQLite FTS5 BM25 search over 15 addressable sections (`PB-01`..`PB-15`).</w:t>
            </w:r>
          </w:p>
        </w:tc>
        <w:tc>
          <w:tcPr>
            <w:tcW w:type="dxa" w:w="2592"/>
            <w:shd w:fill="F4F7FA"/>
            <w:tcMar>
              <w:top w:w="80" w:type="dxa"/>
              <w:bottom w:w="80" w:type="dxa"/>
              <w:left w:w="150" w:type="dxa"/>
              <w:right w:w="150" w:type="dxa"/>
            </w:tcMar>
          </w:tcPr>
          <w:p>
            <w:pPr>
              <w:jc w:val="left"/>
            </w:pPr>
            <w:r>
              <w:rPr>
                <w:rFonts w:ascii="Calibri" w:hAnsi="Calibri"/>
                <w:color w:val="282828"/>
                <w:sz w:val="19"/>
              </w:rPr>
              <w:t>External Vector DB (Pinecone/Chroma). FTS5 provides 100% deterministic lookup with 0 infrastructure overhead.</w:t>
            </w:r>
          </w:p>
        </w:tc>
      </w:tr>
      <w:tr>
        <w:tc>
          <w:tcPr>
            <w:tcW w:type="dxa" w:w="1440"/>
            <w:tcMar>
              <w:top w:w="80" w:type="dxa"/>
              <w:bottom w:w="80" w:type="dxa"/>
              <w:left w:w="150" w:type="dxa"/>
              <w:right w:w="150" w:type="dxa"/>
            </w:tcMar>
          </w:tcPr>
          <w:p>
            <w:pPr>
              <w:jc w:val="left"/>
            </w:pPr>
            <w:r>
              <w:rPr>
                <w:rFonts w:ascii="Calibri" w:hAnsi="Calibri"/>
                <w:color w:val="282828"/>
                <w:sz w:val="19"/>
              </w:rPr>
              <w:t>ADR-003</w:t>
            </w:r>
          </w:p>
        </w:tc>
        <w:tc>
          <w:tcPr>
            <w:tcW w:type="dxa" w:w="2592"/>
            <w:tcMar>
              <w:top w:w="80" w:type="dxa"/>
              <w:bottom w:w="80" w:type="dxa"/>
              <w:left w:w="150" w:type="dxa"/>
              <w:right w:w="150" w:type="dxa"/>
            </w:tcMar>
          </w:tcPr>
          <w:p>
            <w:pPr>
              <w:jc w:val="left"/>
            </w:pPr>
            <w:r>
              <w:rPr>
                <w:rFonts w:ascii="Calibri" w:hAnsi="Calibri"/>
                <w:color w:val="282828"/>
                <w:sz w:val="19"/>
              </w:rPr>
              <w:t>3-Layer Specificity Scoring for Generic Guard</w:t>
            </w:r>
          </w:p>
        </w:tc>
        <w:tc>
          <w:tcPr>
            <w:tcW w:type="dxa" w:w="3168"/>
            <w:tcMar>
              <w:top w:w="80" w:type="dxa"/>
              <w:bottom w:w="80" w:type="dxa"/>
              <w:left w:w="150" w:type="dxa"/>
              <w:right w:w="150" w:type="dxa"/>
            </w:tcMar>
          </w:tcPr>
          <w:p>
            <w:pPr>
              <w:jc w:val="left"/>
            </w:pPr>
            <w:r>
              <w:rPr>
                <w:rFonts w:ascii="Calibri" w:hAnsi="Calibri"/>
                <w:color w:val="282828"/>
                <w:sz w:val="19"/>
              </w:rPr>
              <w:t>Combined exact phrase match, vague verb regex, and 6-dimension metric scoring (score 1-6).</w:t>
            </w:r>
          </w:p>
        </w:tc>
        <w:tc>
          <w:tcPr>
            <w:tcW w:type="dxa" w:w="2592"/>
            <w:tcMar>
              <w:top w:w="80" w:type="dxa"/>
              <w:bottom w:w="80" w:type="dxa"/>
              <w:left w:w="150" w:type="dxa"/>
              <w:right w:w="150" w:type="dxa"/>
            </w:tcMar>
          </w:tcPr>
          <w:p>
            <w:pPr>
              <w:jc w:val="left"/>
            </w:pPr>
            <w:r>
              <w:rPr>
                <w:rFonts w:ascii="Calibri" w:hAnsi="Calibri"/>
                <w:color w:val="282828"/>
                <w:sz w:val="19"/>
              </w:rPr>
              <w:t>LLM-only sentiment/vague classifier. Rule-based 3-layer guard ensures reproducible, explainable scoring.</w:t>
            </w:r>
          </w:p>
        </w:tc>
      </w:tr>
      <w:tr>
        <w:tc>
          <w:tcPr>
            <w:tcW w:type="dxa" w:w="1440"/>
            <w:shd w:fill="F4F7FA"/>
            <w:tcMar>
              <w:top w:w="80" w:type="dxa"/>
              <w:bottom w:w="80" w:type="dxa"/>
              <w:left w:w="150" w:type="dxa"/>
              <w:right w:w="150" w:type="dxa"/>
            </w:tcMar>
          </w:tcPr>
          <w:p>
            <w:pPr>
              <w:jc w:val="left"/>
            </w:pPr>
            <w:r>
              <w:rPr>
                <w:rFonts w:ascii="Calibri" w:hAnsi="Calibri"/>
                <w:color w:val="282828"/>
                <w:sz w:val="19"/>
              </w:rPr>
              <w:t>ADR-004</w:t>
            </w:r>
          </w:p>
        </w:tc>
        <w:tc>
          <w:tcPr>
            <w:tcW w:type="dxa" w:w="2592"/>
            <w:shd w:fill="F4F7FA"/>
            <w:tcMar>
              <w:top w:w="80" w:type="dxa"/>
              <w:bottom w:w="80" w:type="dxa"/>
              <w:left w:w="150" w:type="dxa"/>
              <w:right w:w="150" w:type="dxa"/>
            </w:tcMar>
          </w:tcPr>
          <w:p>
            <w:pPr>
              <w:jc w:val="left"/>
            </w:pPr>
            <w:r>
              <w:rPr>
                <w:rFonts w:ascii="Calibri" w:hAnsi="Calibri"/>
                <w:color w:val="282828"/>
                <w:sz w:val="19"/>
              </w:rPr>
              <w:t>Dual Provider Architecture (Mock + Groq)</w:t>
            </w:r>
          </w:p>
        </w:tc>
        <w:tc>
          <w:tcPr>
            <w:tcW w:type="dxa" w:w="3168"/>
            <w:shd w:fill="F4F7FA"/>
            <w:tcMar>
              <w:top w:w="80" w:type="dxa"/>
              <w:bottom w:w="80" w:type="dxa"/>
              <w:left w:w="150" w:type="dxa"/>
              <w:right w:w="150" w:type="dxa"/>
            </w:tcMar>
          </w:tcPr>
          <w:p>
            <w:pPr>
              <w:jc w:val="left"/>
            </w:pPr>
            <w:r>
              <w:rPr>
                <w:rFonts w:ascii="Calibri" w:hAnsi="Calibri"/>
                <w:color w:val="282828"/>
                <w:sz w:val="19"/>
              </w:rPr>
              <w:t>Built abstract `LLMProvider` protocol supporting deterministic `MockProvider` and live `GroqProvider` (`qwen/qwen3.6-27b`).</w:t>
            </w:r>
          </w:p>
        </w:tc>
        <w:tc>
          <w:tcPr>
            <w:tcW w:type="dxa" w:w="2592"/>
            <w:shd w:fill="F4F7FA"/>
            <w:tcMar>
              <w:top w:w="80" w:type="dxa"/>
              <w:bottom w:w="80" w:type="dxa"/>
              <w:left w:w="150" w:type="dxa"/>
              <w:right w:w="150" w:type="dxa"/>
            </w:tcMar>
          </w:tcPr>
          <w:p>
            <w:pPr>
              <w:jc w:val="left"/>
            </w:pPr>
            <w:r>
              <w:rPr>
                <w:rFonts w:ascii="Calibri" w:hAnsi="Calibri"/>
                <w:color w:val="282828"/>
                <w:sz w:val="19"/>
              </w:rPr>
              <w:t>Single live provider. Dual provider enables 0.05-second offline CI regression testing alongside live AI evaluation.</w:t>
            </w:r>
          </w:p>
        </w:tc>
      </w:tr>
      <w:tr>
        <w:tc>
          <w:tcPr>
            <w:tcW w:type="dxa" w:w="1440"/>
            <w:tcMar>
              <w:top w:w="80" w:type="dxa"/>
              <w:bottom w:w="80" w:type="dxa"/>
              <w:left w:w="150" w:type="dxa"/>
              <w:right w:w="150" w:type="dxa"/>
            </w:tcMar>
          </w:tcPr>
          <w:p>
            <w:pPr>
              <w:jc w:val="left"/>
            </w:pPr>
            <w:r>
              <w:rPr>
                <w:rFonts w:ascii="Calibri" w:hAnsi="Calibri"/>
                <w:color w:val="282828"/>
                <w:sz w:val="19"/>
              </w:rPr>
              <w:t>ADR-005</w:t>
            </w:r>
          </w:p>
        </w:tc>
        <w:tc>
          <w:tcPr>
            <w:tcW w:type="dxa" w:w="2592"/>
            <w:tcMar>
              <w:top w:w="80" w:type="dxa"/>
              <w:bottom w:w="80" w:type="dxa"/>
              <w:left w:w="150" w:type="dxa"/>
              <w:right w:w="150" w:type="dxa"/>
            </w:tcMar>
          </w:tcPr>
          <w:p>
            <w:pPr>
              <w:jc w:val="left"/>
            </w:pPr>
            <w:r>
              <w:rPr>
                <w:rFonts w:ascii="Calibri" w:hAnsi="Calibri"/>
                <w:color w:val="282828"/>
                <w:sz w:val="19"/>
              </w:rPr>
              <w:t>Structural NOT_READY Status Floor</w:t>
            </w:r>
          </w:p>
        </w:tc>
        <w:tc>
          <w:tcPr>
            <w:tcW w:type="dxa" w:w="3168"/>
            <w:tcMar>
              <w:top w:w="80" w:type="dxa"/>
              <w:bottom w:w="80" w:type="dxa"/>
              <w:left w:w="150" w:type="dxa"/>
              <w:right w:w="150" w:type="dxa"/>
            </w:tcMar>
          </w:tcPr>
          <w:p>
            <w:pPr>
              <w:jc w:val="left"/>
            </w:pPr>
            <w:r>
              <w:rPr>
                <w:rFonts w:ascii="Calibri" w:hAnsi="Calibri"/>
                <w:color w:val="282828"/>
                <w:sz w:val="19"/>
              </w:rPr>
              <w:t>Forced MockTracker write adapter to set `status='NOT_READY'` and tag `'AI-drafted'` on all AI items.</w:t>
            </w:r>
          </w:p>
        </w:tc>
        <w:tc>
          <w:tcPr>
            <w:tcW w:type="dxa" w:w="2592"/>
            <w:tcMar>
              <w:top w:w="80" w:type="dxa"/>
              <w:bottom w:w="80" w:type="dxa"/>
              <w:left w:w="150" w:type="dxa"/>
              <w:right w:w="150" w:type="dxa"/>
            </w:tcMar>
          </w:tcPr>
          <w:p>
            <w:pPr>
              <w:jc w:val="left"/>
            </w:pPr>
            <w:r>
              <w:rPr>
                <w:rFonts w:ascii="Calibri" w:hAnsi="Calibri"/>
                <w:color w:val="282828"/>
                <w:sz w:val="19"/>
              </w:rPr>
              <w:t>Allowing AI to push directly to `READY` status. Ensures human PO review before sprint commitment.</w:t>
            </w:r>
          </w:p>
        </w:tc>
      </w:tr>
    </w:tbl>
    <w:p>
      <w:pPr>
        <w:keepNext/>
        <w:spacing w:before="320" w:after="100"/>
      </w:pPr>
      <w:r>
        <w:rPr>
          <w:rFonts w:ascii="Calibri" w:hAnsi="Calibri"/>
          <w:b/>
          <w:color w:val="102C57"/>
          <w:sz w:val="30"/>
        </w:rPr>
        <w:t>3. System Architecture &amp; Governance Invariants</w:t>
      </w:r>
    </w:p>
    <w:p>
      <w:pPr>
        <w:spacing w:after="80" w:line="276" w:lineRule="auto"/>
      </w:pPr>
      <w:r>
        <w:rPr>
          <w:rFonts w:ascii="Calibri" w:hAnsi="Calibri"/>
          <w:i w:val="0"/>
          <w:color w:val="282828"/>
          <w:sz w:val="21"/>
        </w:rPr>
        <w:t>The system architecture guarantees governance through strict layer boundaries:</w:t>
      </w:r>
    </w:p>
    <w:p>
      <w:pPr>
        <w:spacing w:after="80" w:line="276" w:lineRule="auto"/>
      </w:pPr>
      <w:r>
        <w:rPr>
          <w:rFonts w:ascii="Calibri" w:hAnsi="Calibri"/>
          <w:i/>
          <w:color w:val="282828"/>
          <w:sz w:val="21"/>
        </w:rPr>
        <w:t>+-----------------------------------------------------------------------+</w:t>
        <w:br/>
        <w:t>|                   STREAMLIT UI / FASTAPI REST API                     |</w:t>
        <w:br/>
        <w:t>|  Tab 1: Search | Tab 2: Decompose | Tab 3: Criteria | Tab 4: Readiness  |</w:t>
        <w:br/>
        <w:t>|  Tab 5: Priority | Tab 6: Overlap  | Tab 7: Approval | Tab 8: Eval       |</w:t>
        <w:br/>
        <w:t>+-----------------------------------------------------------------------+</w:t>
        <w:br/>
        <w:t xml:space="preserve">                                   |</w:t>
        <w:br/>
        <w:t xml:space="preserve">                                   v</w:t>
        <w:br/>
        <w:t>+-----------------------------------------------------------------------+</w:t>
        <w:br/>
        <w:t>|                    DETERMINISTIC PYTHON SERVICE LAYER                 |</w:t>
        <w:br/>
        <w:t>|  • ContextService (FTS5 BM25)    • CitationService (Grounding Check)|</w:t>
        <w:br/>
        <w:t>|  • GenericGuardService (3-Layer) • ReadinessService (YAML DoR)      |</w:t>
        <w:br/>
        <w:t>|  • PrioritizationService (Math)  • OverlapService (Jaccard Match)   |</w:t>
        <w:br/>
        <w:t>|  • ApprovalService (HTTP 403 Gate &amp; NOT_READY Status Floor)        |</w:t>
        <w:br/>
        <w:t>+-----------------------------------------------------------------------+</w:t>
        <w:br/>
        <w:t xml:space="preserve">                                   |</w:t>
        <w:br/>
        <w:t xml:space="preserve">                 +-----------------+-----------------+</w:t>
        <w:br/>
        <w:t xml:space="preserve">                 |                                   |</w:t>
        <w:br/>
        <w:t xml:space="preserve">                 v                                   v</w:t>
        <w:br/>
        <w:t>+---------------------------------+ +---------------------------------+</w:t>
        <w:br/>
        <w:t>|   ABSTRACT LLM PROVIDER LAYER   | |    EXTERNAL TRACKER ADAPTER     |</w:t>
        <w:br/>
        <w:t>| • GroqProvider (qwen3.6-27b)    | | • MockTracker Adapter           |</w:t>
        <w:br/>
        <w:t>| • MockProvider (0.05s Offline)  | |   Forces: NOT_READY +           |</w:t>
        <w:br/>
        <w:t>+---------------------------------+ |           tag=['AI-drafted']    |</w:t>
        <w:br/>
        <w:t xml:space="preserve">                                    +---------------------------------+</w:t>
      </w:r>
    </w:p>
    <w:p>
      <w:pPr>
        <w:keepNext/>
        <w:spacing w:before="320" w:after="100"/>
      </w:pPr>
      <w:r>
        <w:rPr>
          <w:rFonts w:ascii="Calibri" w:hAnsi="Calibri"/>
          <w:b/>
          <w:color w:val="102C57"/>
          <w:sz w:val="30"/>
        </w:rPr>
        <w:t>4. Verification &amp; Evaluation Scorecard</w:t>
      </w:r>
    </w:p>
    <w:p>
      <w:pPr>
        <w:spacing w:after="80" w:line="276" w:lineRule="auto"/>
      </w:pPr>
      <w:r>
        <w:rPr>
          <w:rFonts w:ascii="Calibri" w:hAnsi="Calibri"/>
          <w:i w:val="0"/>
          <w:color w:val="282828"/>
          <w:sz w:val="21"/>
        </w:rPr>
        <w:t>The application was verified using a comprehensive multi-tier test suite:</w:t>
      </w:r>
    </w:p>
    <w:p>
      <w:pPr>
        <w:pStyle w:val="ListBullet"/>
        <w:spacing w:after="60" w:line="276" w:lineRule="auto"/>
      </w:pPr>
      <w:r>
        <w:rPr>
          <w:rFonts w:ascii="Calibri" w:hAnsi="Calibri"/>
          <w:b/>
          <w:sz w:val="20"/>
        </w:rPr>
        <w:t xml:space="preserve">Automated Unit &amp; Integration Tests: </w:t>
      </w:r>
      <w:r>
        <w:rPr>
          <w:rFonts w:ascii="Calibri" w:hAnsi="Calibri"/>
          <w:sz w:val="20"/>
        </w:rPr>
        <w:t>24 / 24 PASSED (100%) across service-level approval enforcement, HTTP integration endpoints, and E2E governance scenarios.</w:t>
      </w:r>
    </w:p>
    <w:p>
      <w:pPr>
        <w:pStyle w:val="ListBullet"/>
        <w:spacing w:after="60" w:line="276" w:lineRule="auto"/>
      </w:pPr>
      <w:r>
        <w:rPr>
          <w:rFonts w:ascii="Calibri" w:hAnsi="Calibri"/>
          <w:b/>
          <w:sz w:val="20"/>
        </w:rPr>
        <w:t xml:space="preserve">Golden Suite Evaluation: </w:t>
      </w:r>
      <w:r>
        <w:rPr>
          <w:rFonts w:ascii="Calibri" w:hAnsi="Calibri"/>
          <w:sz w:val="20"/>
        </w:rPr>
        <w:t>10 / 10 PASSED (100%) in 0.05s using MockProvider and 1.45s using GroqProvider (qwen/qwen3.6-27b) over 3 repeated runs.</w:t>
      </w:r>
    </w:p>
    <w:p>
      <w:pPr>
        <w:pStyle w:val="ListBullet"/>
        <w:spacing w:after="60" w:line="276" w:lineRule="auto"/>
      </w:pPr>
      <w:r>
        <w:rPr>
          <w:rFonts w:ascii="Calibri" w:hAnsi="Calibri"/>
          <w:b/>
          <w:sz w:val="20"/>
        </w:rPr>
        <w:t xml:space="preserve">Adversarial Probes Suite: </w:t>
      </w:r>
      <w:r>
        <w:rPr>
          <w:rFonts w:ascii="Calibri" w:hAnsi="Calibri"/>
          <w:sz w:val="20"/>
        </w:rPr>
        <w:t>7 / 7 PASSED (100%) across 7 adversarial probes (Hallucinated 50MB limit rejected, prompt injection resisted, thin epic surfaced open questions, unapproved write returned HTTP 403).</w:t>
      </w:r>
    </w:p>
    <w:p>
      <w:pPr>
        <w:keepNext/>
        <w:spacing w:before="320" w:after="100"/>
      </w:pPr>
      <w:r>
        <w:rPr>
          <w:rFonts w:ascii="Calibri" w:hAnsi="Calibri"/>
          <w:b/>
          <w:color w:val="102C57"/>
          <w:sz w:val="30"/>
        </w:rPr>
        <w:t>5. 7-Day Extension Roadmap (Future Enhancements)</w:t>
      </w:r>
    </w:p>
    <w:p>
      <w:pPr>
        <w:spacing w:after="80" w:line="276" w:lineRule="auto"/>
      </w:pPr>
      <w:r>
        <w:rPr>
          <w:rFonts w:ascii="Calibri" w:hAnsi="Calibri"/>
          <w:i w:val="0"/>
          <w:color w:val="282828"/>
          <w:sz w:val="21"/>
        </w:rPr>
        <w:t>If granted 7 additional engineering days, the system would be expanded with the following enterprise capabilities:</w:t>
      </w:r>
    </w:p>
    <w:p>
      <w:pPr>
        <w:pStyle w:val="ListBullet"/>
        <w:spacing w:after="60" w:line="276" w:lineRule="auto"/>
      </w:pPr>
      <w:r>
        <w:rPr>
          <w:rFonts w:ascii="Calibri" w:hAnsi="Calibri"/>
          <w:b/>
          <w:sz w:val="20"/>
        </w:rPr>
        <w:t xml:space="preserve">Day 8: </w:t>
      </w:r>
      <w:r>
        <w:rPr>
          <w:rFonts w:ascii="Calibri" w:hAnsi="Calibri"/>
          <w:sz w:val="20"/>
        </w:rPr>
        <w:t>Real Jira &amp; Azure DevOps Webhook Integration — Replace MockTracker with full REST API OAuth2 integration for live Jira Cloud and Azure DevOps Board sync with bidirectional webhooks.</w:t>
      </w:r>
    </w:p>
    <w:p>
      <w:pPr>
        <w:pStyle w:val="ListBullet"/>
        <w:spacing w:after="60" w:line="276" w:lineRule="auto"/>
      </w:pPr>
      <w:r>
        <w:rPr>
          <w:rFonts w:ascii="Calibri" w:hAnsi="Calibri"/>
          <w:b/>
          <w:sz w:val="20"/>
        </w:rPr>
        <w:t xml:space="preserve">Day 9: </w:t>
      </w:r>
      <w:r>
        <w:rPr>
          <w:rFonts w:ascii="Calibri" w:hAnsi="Calibri"/>
          <w:sz w:val="20"/>
        </w:rPr>
        <w:t>Hybrid Vector &amp; Lexical Context Retrieval — Upgrade FTS5 BM25 search to a hybrid retrieval architecture combining SQLite FTS5 with dense BGE-Large vector embeddings for semantic context search.</w:t>
      </w:r>
    </w:p>
    <w:p>
      <w:pPr>
        <w:pStyle w:val="ListBullet"/>
        <w:spacing w:after="60" w:line="276" w:lineRule="auto"/>
      </w:pPr>
      <w:r>
        <w:rPr>
          <w:rFonts w:ascii="Calibri" w:hAnsi="Calibri"/>
          <w:b/>
          <w:sz w:val="20"/>
        </w:rPr>
        <w:t xml:space="preserve">Day 10: </w:t>
      </w:r>
      <w:r>
        <w:rPr>
          <w:rFonts w:ascii="Calibri" w:hAnsi="Calibri"/>
          <w:sz w:val="20"/>
        </w:rPr>
        <w:t>Multi-Role PO Collaboration &amp; Approval Delegation — Implement RBAC (Role-Based Access Control) allowing Lead POs, Product Managers, and Scrum Masters to review, comment on, and co-sign AI drafts.</w:t>
      </w:r>
    </w:p>
    <w:p>
      <w:pPr>
        <w:pStyle w:val="ListBullet"/>
        <w:spacing w:after="60" w:line="276" w:lineRule="auto"/>
      </w:pPr>
      <w:r>
        <w:rPr>
          <w:rFonts w:ascii="Calibri" w:hAnsi="Calibri"/>
          <w:b/>
          <w:sz w:val="20"/>
        </w:rPr>
        <w:t xml:space="preserve">Day 11: </w:t>
      </w:r>
      <w:r>
        <w:rPr>
          <w:rFonts w:ascii="Calibri" w:hAnsi="Calibri"/>
          <w:sz w:val="20"/>
        </w:rPr>
        <w:t>Automated Sprint Velocity &amp; Story Point Predictor — Integrate Monte Carlo simulation model to predict story point effort and sprint capacity based on historical velocity.</w:t>
      </w:r>
    </w:p>
    <w:p>
      <w:pPr>
        <w:pStyle w:val="ListBullet"/>
        <w:spacing w:after="60" w:line="276" w:lineRule="auto"/>
      </w:pPr>
      <w:r>
        <w:rPr>
          <w:rFonts w:ascii="Calibri" w:hAnsi="Calibri"/>
          <w:b/>
          <w:sz w:val="20"/>
        </w:rPr>
        <w:t xml:space="preserve">Day 12: </w:t>
      </w:r>
      <w:r>
        <w:rPr>
          <w:rFonts w:ascii="Calibri" w:hAnsi="Calibri"/>
          <w:sz w:val="20"/>
        </w:rPr>
        <w:t>Automated Acceptance Test Code Generator — Automatically convert Given/When/Then acceptance criteria into executable Playwright E2E and PyTest feature files.</w:t>
      </w:r>
    </w:p>
    <w:p>
      <w:pPr>
        <w:pStyle w:val="ListBullet"/>
        <w:spacing w:after="60" w:line="276" w:lineRule="auto"/>
      </w:pPr>
      <w:r>
        <w:rPr>
          <w:rFonts w:ascii="Calibri" w:hAnsi="Calibri"/>
          <w:b/>
          <w:sz w:val="20"/>
        </w:rPr>
        <w:t xml:space="preserve">Day 13: </w:t>
      </w:r>
      <w:r>
        <w:rPr>
          <w:rFonts w:ascii="Calibri" w:hAnsi="Calibri"/>
          <w:sz w:val="20"/>
        </w:rPr>
        <w:t>Real-Time Slack &amp; Microsoft Teams Bot — Post pending AI story drafts directly to Slack/Teams channels with 1-click PO approval buttons.</w:t>
      </w:r>
    </w:p>
    <w:p>
      <w:pPr>
        <w:pStyle w:val="ListBullet"/>
        <w:spacing w:after="60" w:line="276" w:lineRule="auto"/>
      </w:pPr>
      <w:r>
        <w:rPr>
          <w:rFonts w:ascii="Calibri" w:hAnsi="Calibri"/>
          <w:b/>
          <w:sz w:val="20"/>
        </w:rPr>
        <w:t xml:space="preserve">Day 14: </w:t>
      </w:r>
      <w:r>
        <w:rPr>
          <w:rFonts w:ascii="Calibri" w:hAnsi="Calibri"/>
          <w:sz w:val="20"/>
        </w:rPr>
        <w:t>Production Containerization &amp; CI/CD Pipeline — Package application into Docker Compose and Kubernetes Helm charts with Prometheus metrics and Grafana dashboard monitoring.</w:t>
      </w:r>
    </w:p>
    <w:p>
      <w:pPr>
        <w:keepNext/>
        <w:spacing w:before="320" w:after="100"/>
      </w:pPr>
      <w:r>
        <w:rPr>
          <w:rFonts w:ascii="Calibri" w:hAnsi="Calibri"/>
          <w:b/>
          <w:color w:val="102C57"/>
          <w:sz w:val="30"/>
        </w:rPr>
        <w:t>6. Competitive Differentiators (Why This Submission Stands Out)</w:t>
      </w:r>
    </w:p>
    <w:p>
      <w:pPr>
        <w:pStyle w:val="ListBullet"/>
        <w:spacing w:after="60" w:line="276" w:lineRule="auto"/>
      </w:pPr>
      <w:r>
        <w:rPr>
          <w:rFonts w:ascii="Calibri" w:hAnsi="Calibri"/>
          <w:b/>
          <w:sz w:val="20"/>
        </w:rPr>
        <w:t xml:space="preserve">1. Structural Governance: </w:t>
      </w:r>
      <w:r>
        <w:rPr>
          <w:rFonts w:ascii="Calibri" w:hAnsi="Calibri"/>
          <w:sz w:val="20"/>
        </w:rPr>
        <w:t>100% Code-Enforced Safety Gate — While other submissions rely on LLM prompts to control writes, our ApprovalService strictly enforces HTTP 403 Forbidden in Python code.</w:t>
      </w:r>
    </w:p>
    <w:p>
      <w:pPr>
        <w:pStyle w:val="ListBullet"/>
        <w:spacing w:after="60" w:line="276" w:lineRule="auto"/>
      </w:pPr>
      <w:r>
        <w:rPr>
          <w:rFonts w:ascii="Calibri" w:hAnsi="Calibri"/>
          <w:b/>
          <w:sz w:val="20"/>
        </w:rPr>
        <w:t xml:space="preserve">2. Status Floor Safety: </w:t>
      </w:r>
      <w:r>
        <w:rPr>
          <w:rFonts w:ascii="Calibri" w:hAnsi="Calibri"/>
          <w:sz w:val="20"/>
        </w:rPr>
        <w:t>Immutable Status Floor — Approved AI items are forcibly locked at NOT_READY status and tagged AI-drafted, preventing raw AI content from slipping into sprints.</w:t>
      </w:r>
    </w:p>
    <w:p>
      <w:pPr>
        <w:pStyle w:val="ListBullet"/>
        <w:spacing w:after="60" w:line="276" w:lineRule="auto"/>
      </w:pPr>
      <w:r>
        <w:rPr>
          <w:rFonts w:ascii="Calibri" w:hAnsi="Calibri"/>
          <w:b/>
          <w:sz w:val="20"/>
        </w:rPr>
        <w:t xml:space="preserve">3. Transparent Scoring: </w:t>
      </w:r>
      <w:r>
        <w:rPr>
          <w:rFonts w:ascii="Calibri" w:hAnsi="Calibri"/>
          <w:sz w:val="20"/>
        </w:rPr>
        <w:t>Deterministic Math Prioritization — Priority scores are calculated using a transparent weighted formula rather than subjective LLM generation.</w:t>
      </w:r>
    </w:p>
    <w:p>
      <w:pPr>
        <w:pStyle w:val="ListBullet"/>
        <w:spacing w:after="60" w:line="276" w:lineRule="auto"/>
      </w:pPr>
      <w:r>
        <w:rPr>
          <w:rFonts w:ascii="Calibri" w:hAnsi="Calibri"/>
          <w:b/>
          <w:sz w:val="20"/>
        </w:rPr>
        <w:t xml:space="preserve">4. Anti-Generic Specificity: </w:t>
      </w:r>
      <w:r>
        <w:rPr>
          <w:rFonts w:ascii="Calibri" w:hAnsi="Calibri"/>
          <w:sz w:val="20"/>
        </w:rPr>
        <w:t>3-Layer Anti-Generic Guard — Combines exact phrase matching, vague verb regex, and 6-dimension specificity scoring with automated domain story rewriting.</w:t>
      </w:r>
    </w:p>
    <w:p>
      <w:pPr>
        <w:pStyle w:val="ListBullet"/>
        <w:spacing w:after="60" w:line="276" w:lineRule="auto"/>
      </w:pPr>
      <w:r>
        <w:rPr>
          <w:rFonts w:ascii="Calibri" w:hAnsi="Calibri"/>
          <w:b/>
          <w:sz w:val="20"/>
        </w:rPr>
        <w:t xml:space="preserve">5. Empirical Evaluation: </w:t>
      </w:r>
      <w:r>
        <w:rPr>
          <w:rFonts w:ascii="Calibri" w:hAnsi="Calibri"/>
          <w:sz w:val="20"/>
        </w:rPr>
        <w:t>Rigorous Benchmark Evidence — Verified against 10 Golden Cases and 7 Adversarial Probes with 100% PASS rates committed to the repository.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