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8979" w14:textId="77777777" w:rsidR="006B620C" w:rsidRDefault="00BC69B1">
      <w:pPr>
        <w:pStyle w:val="Heading1"/>
        <w:jc w:val="center"/>
        <w:rPr>
          <w:b/>
        </w:rPr>
      </w:pPr>
      <w:bookmarkStart w:id="0" w:name="_rtjpsg9cfrru" w:colFirst="0" w:colLast="0"/>
      <w:bookmarkEnd w:id="0"/>
      <w:r>
        <w:rPr>
          <w:b/>
        </w:rPr>
        <w:t>Repaso – Examen 1 (Sección 92249)</w:t>
      </w:r>
    </w:p>
    <w:p w14:paraId="08BC897A" w14:textId="77777777" w:rsidR="006B620C" w:rsidRPr="00CF6042" w:rsidRDefault="00BC69B1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seguridad informática aplica controles físicos, técnicos y administrativos para proteger la confidencialidad, integridad y disponibilidad de los activos digitales.</w:t>
      </w:r>
      <w:r w:rsidRPr="00CF6042">
        <w:rPr>
          <w:sz w:val="24"/>
          <w:szCs w:val="24"/>
          <w:lang w:val="es-ES"/>
        </w:rPr>
        <w:br/>
      </w:r>
    </w:p>
    <w:p w14:paraId="08BC897B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 xml:space="preserve">Una vulnerabilidad es una debilidad en un sistema que puede ser explotada por una amenaza. </w:t>
      </w:r>
      <w:r w:rsidRPr="00CF6042">
        <w:rPr>
          <w:sz w:val="24"/>
          <w:szCs w:val="24"/>
          <w:lang w:val="es-ES"/>
        </w:rPr>
        <w:br/>
      </w:r>
    </w:p>
    <w:p w14:paraId="08BC897C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riesgo es la probabilidad de que una amenaza explote una vulnerabilidad y cause un impacto negativo en los activos de la organización.</w:t>
      </w:r>
      <w:r w:rsidRPr="00CF6042">
        <w:rPr>
          <w:sz w:val="24"/>
          <w:szCs w:val="24"/>
          <w:lang w:val="es-ES"/>
        </w:rPr>
        <w:br/>
      </w:r>
    </w:p>
    <w:p w14:paraId="08BC897D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estándar NIST SP 800-53 provee un catálogo completo de controles de seguridad y privacidad para sistemas de información.</w:t>
      </w:r>
      <w:r w:rsidRPr="00CF6042">
        <w:rPr>
          <w:sz w:val="24"/>
          <w:szCs w:val="24"/>
          <w:lang w:val="es-ES"/>
        </w:rPr>
        <w:br/>
      </w:r>
    </w:p>
    <w:p w14:paraId="08BC897E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modelo Zero Trust se basa en el principio: “Nunca confíe, siempre verifique.”</w:t>
      </w:r>
      <w:r w:rsidRPr="00CF6042">
        <w:rPr>
          <w:sz w:val="24"/>
          <w:szCs w:val="24"/>
          <w:lang w:val="es-ES"/>
        </w:rPr>
        <w:br/>
      </w:r>
    </w:p>
    <w:p w14:paraId="08BC897F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 token OTP es un ejemplo de factor de posesión en autenticación.</w:t>
      </w:r>
      <w:r w:rsidRPr="00CF6042">
        <w:rPr>
          <w:sz w:val="24"/>
          <w:szCs w:val="24"/>
          <w:lang w:val="es-ES"/>
        </w:rPr>
        <w:br/>
      </w:r>
    </w:p>
    <w:p w14:paraId="08BC8980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cifrado simétrico utiliza la misma clave para cifrar y descifrar información.</w:t>
      </w:r>
      <w:r w:rsidRPr="00CF6042">
        <w:rPr>
          <w:sz w:val="24"/>
          <w:szCs w:val="24"/>
          <w:lang w:val="es-ES"/>
        </w:rPr>
        <w:br/>
      </w:r>
    </w:p>
    <w:p w14:paraId="08BC8981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confidencialidad protege la información contra accesos no autorizados.</w:t>
      </w:r>
      <w:r w:rsidRPr="00CF6042">
        <w:rPr>
          <w:sz w:val="24"/>
          <w:szCs w:val="24"/>
          <w:lang w:val="es-ES"/>
        </w:rPr>
        <w:br/>
      </w:r>
    </w:p>
    <w:p w14:paraId="08BC8982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En el modelo DAC, el propietario del recurso es quien decide los permisos de acceso.</w:t>
      </w:r>
      <w:r w:rsidRPr="00CF6042">
        <w:rPr>
          <w:sz w:val="24"/>
          <w:szCs w:val="24"/>
          <w:lang w:val="es-ES"/>
        </w:rPr>
        <w:br/>
      </w:r>
    </w:p>
    <w:p w14:paraId="08BC8983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 ataque de interrupción puede ser un DDoS que deja a un sistema fuera de servicio.</w:t>
      </w:r>
      <w:r w:rsidRPr="00CF6042">
        <w:rPr>
          <w:sz w:val="24"/>
          <w:szCs w:val="24"/>
          <w:lang w:val="es-ES"/>
        </w:rPr>
        <w:br/>
      </w:r>
    </w:p>
    <w:p w14:paraId="08BC8984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lastRenderedPageBreak/>
        <w:t>El riesgo cuantitativo se calcula multiplicando probabilidad × impacto en valores monetarios.</w:t>
      </w:r>
      <w:r w:rsidRPr="00CF6042">
        <w:rPr>
          <w:sz w:val="24"/>
          <w:szCs w:val="24"/>
          <w:lang w:val="es-ES"/>
        </w:rPr>
        <w:br/>
      </w:r>
    </w:p>
    <w:p w14:paraId="08BC8985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 falso positivo en biometría significa aceptar a un impostor como usuario legítimo.</w:t>
      </w:r>
      <w:r w:rsidRPr="00CF6042">
        <w:rPr>
          <w:sz w:val="24"/>
          <w:szCs w:val="24"/>
          <w:lang w:val="es-ES"/>
        </w:rPr>
        <w:br/>
      </w:r>
    </w:p>
    <w:p w14:paraId="08BC8986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En el modelo RBAC, los permisos se asignan a roles predefinidos que luego heredan los usuarios.</w:t>
      </w:r>
      <w:r w:rsidRPr="00CF6042">
        <w:rPr>
          <w:sz w:val="24"/>
          <w:szCs w:val="24"/>
          <w:lang w:val="es-ES"/>
        </w:rPr>
        <w:br/>
      </w:r>
    </w:p>
    <w:p w14:paraId="08BC8987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autenticación multifactor (MFA) verifica la identidad combinando dos o más factores: algo que el usuario sabe, posee o es.</w:t>
      </w:r>
      <w:r w:rsidRPr="00CF6042">
        <w:rPr>
          <w:sz w:val="24"/>
          <w:szCs w:val="24"/>
          <w:lang w:val="es-ES"/>
        </w:rPr>
        <w:br/>
      </w:r>
    </w:p>
    <w:p w14:paraId="08BC8988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criptografía asimétrica emplea un par de claves, una pública y una privada, para cifrar y descifrar información.</w:t>
      </w:r>
      <w:r w:rsidRPr="00CF6042">
        <w:rPr>
          <w:sz w:val="24"/>
          <w:szCs w:val="24"/>
          <w:lang w:val="es-ES"/>
        </w:rPr>
        <w:br/>
      </w:r>
    </w:p>
    <w:p w14:paraId="08BC8989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cifrado AES-GCM garantiza simultáneamente confidencialidad, integridad y autenticidad.</w:t>
      </w:r>
      <w:r w:rsidRPr="00CF6042">
        <w:rPr>
          <w:sz w:val="24"/>
          <w:szCs w:val="24"/>
          <w:lang w:val="es-ES"/>
        </w:rPr>
        <w:br/>
      </w:r>
    </w:p>
    <w:p w14:paraId="08BC898A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integridad asegura que los datos no sean alterados de forma indebida.</w:t>
      </w:r>
      <w:r w:rsidRPr="00CF6042">
        <w:rPr>
          <w:sz w:val="24"/>
          <w:szCs w:val="24"/>
          <w:lang w:val="es-ES"/>
        </w:rPr>
        <w:br/>
      </w:r>
    </w:p>
    <w:p w14:paraId="08BC898B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En programación defensiva, validar entradas significa comprobar los datos antes de procesarlos, aplicando reglas estrictas.</w:t>
      </w:r>
      <w:r w:rsidRPr="00CF6042">
        <w:rPr>
          <w:sz w:val="24"/>
          <w:szCs w:val="24"/>
          <w:lang w:val="es-ES"/>
        </w:rPr>
        <w:br/>
      </w:r>
    </w:p>
    <w:p w14:paraId="08BC898C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defensa en profundidad consiste en aplicar múltiples capas de controles de seguridad.</w:t>
      </w:r>
      <w:r w:rsidRPr="00CF6042">
        <w:rPr>
          <w:sz w:val="24"/>
          <w:szCs w:val="24"/>
          <w:lang w:val="es-ES"/>
        </w:rPr>
        <w:br/>
      </w:r>
    </w:p>
    <w:p w14:paraId="08BC898D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El SLE (</w:t>
      </w:r>
      <w:proofErr w:type="gramStart"/>
      <w:r w:rsidRPr="00CF6042">
        <w:rPr>
          <w:sz w:val="24"/>
          <w:szCs w:val="24"/>
          <w:lang w:val="es-ES"/>
        </w:rPr>
        <w:t>Single</w:t>
      </w:r>
      <w:proofErr w:type="gramEnd"/>
      <w:r w:rsidRPr="00CF6042">
        <w:rPr>
          <w:sz w:val="24"/>
          <w:szCs w:val="24"/>
          <w:lang w:val="es-ES"/>
        </w:rPr>
        <w:t xml:space="preserve"> </w:t>
      </w:r>
      <w:proofErr w:type="spellStart"/>
      <w:r w:rsidRPr="00CF6042">
        <w:rPr>
          <w:sz w:val="24"/>
          <w:szCs w:val="24"/>
          <w:lang w:val="es-ES"/>
        </w:rPr>
        <w:t>Loss</w:t>
      </w:r>
      <w:proofErr w:type="spellEnd"/>
      <w:r w:rsidRPr="00CF6042">
        <w:rPr>
          <w:sz w:val="24"/>
          <w:szCs w:val="24"/>
          <w:lang w:val="es-ES"/>
        </w:rPr>
        <w:t xml:space="preserve"> </w:t>
      </w:r>
      <w:proofErr w:type="spellStart"/>
      <w:r w:rsidRPr="00CF6042">
        <w:rPr>
          <w:sz w:val="24"/>
          <w:szCs w:val="24"/>
          <w:lang w:val="es-ES"/>
        </w:rPr>
        <w:t>Expectancy</w:t>
      </w:r>
      <w:proofErr w:type="spellEnd"/>
      <w:r w:rsidRPr="00CF6042">
        <w:rPr>
          <w:sz w:val="24"/>
          <w:szCs w:val="24"/>
          <w:lang w:val="es-ES"/>
        </w:rPr>
        <w:t>) es el valor monetario de una pérdida por un único incidente.</w:t>
      </w:r>
      <w:r w:rsidRPr="00CF6042">
        <w:rPr>
          <w:sz w:val="24"/>
          <w:szCs w:val="24"/>
          <w:lang w:val="es-ES"/>
        </w:rPr>
        <w:br/>
      </w:r>
    </w:p>
    <w:p w14:paraId="08BC898E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lastRenderedPageBreak/>
        <w:t>Una vulnerabilidad explotada por SQL Injection afecta principalmente a bases de datos y aplicaciones web.</w:t>
      </w:r>
      <w:r w:rsidRPr="00CF6042">
        <w:rPr>
          <w:sz w:val="24"/>
          <w:szCs w:val="24"/>
          <w:lang w:val="es-ES"/>
        </w:rPr>
        <w:br/>
      </w:r>
    </w:p>
    <w:p w14:paraId="08BC898F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La disponibilidad asegura que los sistemas y recursos estén accesibles a los usuarios autorizados cuando los necesiten.</w:t>
      </w:r>
      <w:r w:rsidRPr="00CF6042">
        <w:rPr>
          <w:sz w:val="24"/>
          <w:szCs w:val="24"/>
          <w:lang w:val="es-ES"/>
        </w:rPr>
        <w:br/>
      </w:r>
    </w:p>
    <w:p w14:paraId="08BC8990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 ejemplo de riesgo cuantitativo es estimar una pérdida anual de $500,000 debido a ataques de ransomware.</w:t>
      </w:r>
      <w:r w:rsidRPr="00CF6042">
        <w:rPr>
          <w:sz w:val="24"/>
          <w:szCs w:val="24"/>
          <w:lang w:val="es-ES"/>
        </w:rPr>
        <w:br/>
      </w:r>
    </w:p>
    <w:p w14:paraId="08BC8991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 spear-phishing dirigido a un gerente financiero es un ejemplo de ataque dirigido.</w:t>
      </w:r>
      <w:r w:rsidRPr="00CF6042">
        <w:rPr>
          <w:sz w:val="24"/>
          <w:szCs w:val="24"/>
          <w:lang w:val="es-ES"/>
        </w:rPr>
        <w:br/>
      </w:r>
    </w:p>
    <w:p w14:paraId="08BC8992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Para garantizar la disponibilidad de un sistema se pueden usar controles como servidores redundantes, copias de seguridad frecuentes y balanceo de carga.</w:t>
      </w:r>
      <w:r w:rsidRPr="00CF6042">
        <w:rPr>
          <w:sz w:val="24"/>
          <w:szCs w:val="24"/>
          <w:lang w:val="es-ES"/>
        </w:rPr>
        <w:br/>
      </w:r>
    </w:p>
    <w:p w14:paraId="08BC8993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En el análisis de riesgos cuantitativo se aplican métricas como SLE (pérdida única esperada), ARO (tasa anual de ocurrencia) y ALE (pérdida anual esperada).</w:t>
      </w:r>
      <w:r w:rsidRPr="00CF6042">
        <w:rPr>
          <w:sz w:val="24"/>
          <w:szCs w:val="24"/>
          <w:lang w:val="es-ES"/>
        </w:rPr>
        <w:br/>
      </w:r>
    </w:p>
    <w:p w14:paraId="08BC8994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Una matriz de riesgo 3×3 clasifica riesgos en Bajo, Medio, Alto o Crítico según probabilidad e impacto.</w:t>
      </w:r>
      <w:r w:rsidRPr="00CF6042">
        <w:rPr>
          <w:sz w:val="24"/>
          <w:szCs w:val="24"/>
          <w:lang w:val="es-ES"/>
        </w:rPr>
        <w:br/>
      </w:r>
    </w:p>
    <w:p w14:paraId="08BC8995" w14:textId="77777777" w:rsidR="006B620C" w:rsidRPr="00CF6042" w:rsidRDefault="00BC69B1">
      <w:pPr>
        <w:numPr>
          <w:ilvl w:val="0"/>
          <w:numId w:val="1"/>
        </w:numPr>
        <w:spacing w:line="360" w:lineRule="auto"/>
        <w:rPr>
          <w:sz w:val="24"/>
          <w:szCs w:val="24"/>
          <w:lang w:val="es-ES"/>
        </w:rPr>
      </w:pPr>
      <w:r w:rsidRPr="00CF6042">
        <w:rPr>
          <w:sz w:val="24"/>
          <w:szCs w:val="24"/>
          <w:lang w:val="es-ES"/>
        </w:rPr>
        <w:t>En un escenario de ransomware contra un servidor crítico, los controles recomendados incluyen copias de seguridad inmutables y soluciones EDR o segmentación de red.</w:t>
      </w:r>
    </w:p>
    <w:p w14:paraId="08BC8997" w14:textId="7621BB0E" w:rsidR="006B620C" w:rsidRPr="00383567" w:rsidRDefault="00BC69B1" w:rsidP="00383567">
      <w:pPr>
        <w:numPr>
          <w:ilvl w:val="0"/>
          <w:numId w:val="1"/>
        </w:numPr>
        <w:spacing w:before="240" w:after="240" w:line="360" w:lineRule="auto"/>
        <w:rPr>
          <w:sz w:val="24"/>
          <w:szCs w:val="24"/>
          <w:lang w:val="es-ES"/>
        </w:rPr>
      </w:pPr>
      <w:r w:rsidRPr="00383567">
        <w:rPr>
          <w:sz w:val="24"/>
          <w:szCs w:val="24"/>
          <w:lang w:val="es-ES"/>
        </w:rPr>
        <w:t>Favor Practicar los Ejercicios de Análisis Cuantitativo y Cualitativo a nivel de riesgo y amenazas, los ejercicios que discutimos en clase.</w:t>
      </w:r>
      <w:r w:rsidR="00CF6042" w:rsidRPr="00383567">
        <w:rPr>
          <w:sz w:val="24"/>
          <w:szCs w:val="24"/>
          <w:lang w:val="es-ES"/>
        </w:rPr>
        <w:t xml:space="preserve"> </w:t>
      </w:r>
      <w:r w:rsidR="00CF6042" w:rsidRPr="00383567">
        <w:rPr>
          <w:b/>
          <w:sz w:val="24"/>
          <w:szCs w:val="24"/>
          <w:lang w:val="es-ES"/>
        </w:rPr>
        <w:t xml:space="preserve">Si tiene calculadora favor de tenerla en su día de examen, de lo contrario podrá utilizar una </w:t>
      </w:r>
      <w:r w:rsidR="00383567" w:rsidRPr="00383567">
        <w:rPr>
          <w:b/>
          <w:sz w:val="24"/>
          <w:szCs w:val="24"/>
          <w:lang w:val="es-ES"/>
        </w:rPr>
        <w:t>computadora,</w:t>
      </w:r>
      <w:r w:rsidR="00CF6042" w:rsidRPr="00383567">
        <w:rPr>
          <w:b/>
          <w:sz w:val="24"/>
          <w:szCs w:val="24"/>
          <w:lang w:val="es-ES"/>
        </w:rPr>
        <w:t xml:space="preserve"> pero solo con la calculadora abierta, no material u otras ventanas abiertas.  </w:t>
      </w:r>
    </w:p>
    <w:sectPr w:rsidR="006B620C" w:rsidRPr="00383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24D96"/>
    <w:multiLevelType w:val="multilevel"/>
    <w:tmpl w:val="69F07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F22910"/>
    <w:multiLevelType w:val="multilevel"/>
    <w:tmpl w:val="85F2F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0410144">
    <w:abstractNumId w:val="0"/>
  </w:num>
  <w:num w:numId="2" w16cid:durableId="35535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20C"/>
    <w:rsid w:val="00194FCE"/>
    <w:rsid w:val="00383567"/>
    <w:rsid w:val="006B620C"/>
    <w:rsid w:val="00BC69B1"/>
    <w:rsid w:val="00CF6042"/>
    <w:rsid w:val="00FF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8979"/>
  <w15:docId w15:val="{74232D3D-25B7-4F1E-9CE5-829374A8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 Samuel Quintana Quintana</cp:lastModifiedBy>
  <cp:revision>9</cp:revision>
  <dcterms:created xsi:type="dcterms:W3CDTF">2025-10-04T02:48:00Z</dcterms:created>
  <dcterms:modified xsi:type="dcterms:W3CDTF">2025-10-04T03:00:00Z</dcterms:modified>
</cp:coreProperties>
</file>