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9172" w14:textId="77777777" w:rsidR="00063952" w:rsidRDefault="00000000">
      <w:pPr>
        <w:pStyle w:val="Title"/>
        <w:jc w:val="center"/>
      </w:pPr>
      <w:r>
        <w:t>ListenBrainz Data Warehouse Design Document</w:t>
      </w:r>
    </w:p>
    <w:p w14:paraId="47A4BC79" w14:textId="77777777" w:rsidR="00063952" w:rsidRDefault="00000000">
      <w:pPr>
        <w:jc w:val="center"/>
      </w:pPr>
      <w:r>
        <w:rPr>
          <w:b/>
        </w:rPr>
        <w:t>Scalable Capital – Senior Data Engineer Assignment</w:t>
      </w:r>
      <w:r>
        <w:rPr>
          <w:b/>
        </w:rPr>
        <w:br/>
      </w:r>
      <w:r>
        <w:t>Author: Benzihar Stanley</w:t>
      </w:r>
      <w:r>
        <w:br/>
        <w:t>Version: 1.0</w:t>
      </w:r>
    </w:p>
    <w:p w14:paraId="75A3B70B" w14:textId="77777777" w:rsidR="00CF524C" w:rsidRDefault="00CF524C">
      <w:pPr>
        <w:jc w:val="center"/>
      </w:pPr>
    </w:p>
    <w:p w14:paraId="5E6EAD58" w14:textId="77777777" w:rsidR="00CF524C" w:rsidRDefault="00CF524C">
      <w:pPr>
        <w:jc w:val="center"/>
      </w:pPr>
    </w:p>
    <w:p w14:paraId="3E42949F" w14:textId="77777777" w:rsidR="00CF524C" w:rsidRDefault="00CF524C">
      <w:pPr>
        <w:jc w:val="center"/>
      </w:pPr>
    </w:p>
    <w:p w14:paraId="5F474BC3" w14:textId="77777777" w:rsidR="00CF524C" w:rsidRDefault="00CF524C">
      <w:pPr>
        <w:jc w:val="center"/>
      </w:pPr>
    </w:p>
    <w:p w14:paraId="20265E5B" w14:textId="77777777" w:rsidR="00CF524C" w:rsidRDefault="00CF524C">
      <w:pPr>
        <w:jc w:val="center"/>
      </w:pPr>
    </w:p>
    <w:p w14:paraId="1466129F" w14:textId="77777777" w:rsidR="00CF524C" w:rsidRDefault="00CF524C">
      <w:pPr>
        <w:jc w:val="center"/>
      </w:pPr>
    </w:p>
    <w:p w14:paraId="2F85B1D6" w14:textId="77777777" w:rsidR="00CF524C" w:rsidRDefault="00CF524C">
      <w:pPr>
        <w:jc w:val="center"/>
      </w:pPr>
    </w:p>
    <w:p w14:paraId="15DF5AAE" w14:textId="77777777" w:rsidR="00063952" w:rsidRDefault="00000000">
      <w:pPr>
        <w:pStyle w:val="Heading1"/>
      </w:pPr>
      <w:r>
        <w:t>Document Purpose</w:t>
      </w:r>
    </w:p>
    <w:p w14:paraId="34A68E31" w14:textId="46E5B2FB" w:rsidR="00063952" w:rsidRDefault="00000000">
      <w:r>
        <w:t xml:space="preserve">The purpose of this document is to explain the architectural decisions, assumptions, dimensional model, ETL design and implementation strategy used to build a data warehouse for the ListenBrainz dataset using </w:t>
      </w:r>
      <w:proofErr w:type="spellStart"/>
      <w:r>
        <w:t>DuckDB</w:t>
      </w:r>
      <w:proofErr w:type="spellEnd"/>
      <w:r w:rsidR="00F55563">
        <w:t xml:space="preserve"> for the Senior Data Engineer position with Scalable Capital.</w:t>
      </w:r>
    </w:p>
    <w:p w14:paraId="00AC5530" w14:textId="77777777" w:rsidR="00CF524C" w:rsidRDefault="00CF524C"/>
    <w:p w14:paraId="109C8757" w14:textId="77777777" w:rsidR="00CF524C" w:rsidRDefault="00CF524C"/>
    <w:p w14:paraId="1C94F670" w14:textId="77777777" w:rsidR="00CF524C" w:rsidRDefault="00CF524C"/>
    <w:p w14:paraId="4A038C16" w14:textId="77777777" w:rsidR="00CF524C" w:rsidRDefault="00CF524C"/>
    <w:p w14:paraId="028532E3" w14:textId="77777777" w:rsidR="00CF524C" w:rsidRDefault="00CF524C"/>
    <w:p w14:paraId="069885D6" w14:textId="77777777" w:rsidR="00CF524C" w:rsidRDefault="00CF524C"/>
    <w:p w14:paraId="21B65D75" w14:textId="77777777" w:rsidR="00CF524C" w:rsidRDefault="00CF524C"/>
    <w:p w14:paraId="748D8BE4" w14:textId="77777777" w:rsidR="00CF524C" w:rsidRDefault="00CF524C"/>
    <w:p w14:paraId="2F8272A0" w14:textId="77777777" w:rsidR="00CF524C" w:rsidRDefault="00CF524C"/>
    <w:p w14:paraId="74A9C47D" w14:textId="74870776" w:rsidR="00063952" w:rsidRDefault="00000000">
      <w:pPr>
        <w:pStyle w:val="Heading1"/>
      </w:pPr>
      <w:r>
        <w:lastRenderedPageBreak/>
        <w:t>Table of Contents</w:t>
      </w:r>
    </w:p>
    <w:p w14:paraId="2FE3F5AF" w14:textId="4C8555B2" w:rsidR="00063952" w:rsidRDefault="00000000" w:rsidP="00CF524C">
      <w:pPr>
        <w:pStyle w:val="ListParagraph"/>
        <w:numPr>
          <w:ilvl w:val="0"/>
          <w:numId w:val="10"/>
        </w:numPr>
      </w:pPr>
      <w:r>
        <w:t>Objective</w:t>
      </w:r>
      <w:r>
        <w:br/>
        <w:t>2. Scope</w:t>
      </w:r>
      <w:r w:rsidR="00CF524C">
        <w:br/>
        <w:t xml:space="preserve">3. </w:t>
      </w:r>
      <w:r w:rsidR="00CF524C" w:rsidRPr="00CF524C">
        <w:t>Overall Solution Architectur</w:t>
      </w:r>
      <w:r w:rsidR="00CF524C">
        <w:t>e</w:t>
      </w:r>
      <w:r>
        <w:br/>
      </w:r>
      <w:r w:rsidR="00CF524C">
        <w:t>4</w:t>
      </w:r>
      <w:r>
        <w:t>. Source System Overview</w:t>
      </w:r>
      <w:r>
        <w:br/>
      </w:r>
      <w:r w:rsidR="00CF524C">
        <w:t>5</w:t>
      </w:r>
      <w:r>
        <w:t>. Source Data Analysis</w:t>
      </w:r>
      <w:r>
        <w:br/>
        <w:t>5. Assumptions</w:t>
      </w:r>
      <w:r>
        <w:br/>
        <w:t>6. Architecture</w:t>
      </w:r>
      <w:r>
        <w:br/>
        <w:t>7. Bronze Layer</w:t>
      </w:r>
      <w:r>
        <w:br/>
        <w:t>8. Silver Layer</w:t>
      </w:r>
      <w:r>
        <w:br/>
        <w:t>9. Gold Layer</w:t>
      </w:r>
      <w:r>
        <w:br/>
        <w:t>10. Dimensional Model</w:t>
      </w:r>
      <w:r>
        <w:br/>
        <w:t>11. Fact Design</w:t>
      </w:r>
      <w:r>
        <w:br/>
        <w:t>12. Key Strategy</w:t>
      </w:r>
      <w:r>
        <w:br/>
        <w:t>13. ETL Flow</w:t>
      </w:r>
      <w:r>
        <w:br/>
        <w:t>14. Data Quality</w:t>
      </w:r>
      <w:r>
        <w:br/>
        <w:t>15. Performance Considerations</w:t>
      </w:r>
      <w:r>
        <w:br/>
        <w:t>16. Future Enhancements</w:t>
      </w:r>
      <w:r>
        <w:br/>
        <w:t>17. Conclusion</w:t>
      </w:r>
    </w:p>
    <w:p w14:paraId="34D0E246" w14:textId="77777777" w:rsidR="00CF524C" w:rsidRDefault="00CF524C" w:rsidP="00CF524C"/>
    <w:p w14:paraId="57E95FE8" w14:textId="77777777" w:rsidR="00CF524C" w:rsidRDefault="00CF524C" w:rsidP="00CF524C"/>
    <w:p w14:paraId="6FC5ED7A" w14:textId="77777777" w:rsidR="00CF524C" w:rsidRDefault="00CF524C" w:rsidP="00CF524C"/>
    <w:p w14:paraId="4AF95831" w14:textId="77777777" w:rsidR="00CF524C" w:rsidRDefault="00CF524C" w:rsidP="00CF524C"/>
    <w:p w14:paraId="0C7C6A62" w14:textId="77777777" w:rsidR="00CF524C" w:rsidRDefault="00CF524C" w:rsidP="00CF524C"/>
    <w:p w14:paraId="4332DB9A" w14:textId="77777777" w:rsidR="00CF524C" w:rsidRDefault="00CF524C" w:rsidP="00CF524C"/>
    <w:p w14:paraId="7E6DAEEC" w14:textId="77777777" w:rsidR="00CF524C" w:rsidRDefault="00CF524C" w:rsidP="00CF524C"/>
    <w:p w14:paraId="39EA86F0" w14:textId="77777777" w:rsidR="00CF524C" w:rsidRDefault="00CF524C" w:rsidP="00CF524C"/>
    <w:p w14:paraId="50713D47" w14:textId="77777777" w:rsidR="00CF524C" w:rsidRDefault="00CF524C" w:rsidP="00CF524C"/>
    <w:p w14:paraId="36E8129C" w14:textId="77777777" w:rsidR="00CF524C" w:rsidRDefault="00CF524C" w:rsidP="00CF524C"/>
    <w:p w14:paraId="34354BFE" w14:textId="77777777" w:rsidR="00CF524C" w:rsidRDefault="00CF524C" w:rsidP="00CF524C"/>
    <w:p w14:paraId="5755013B" w14:textId="77777777" w:rsidR="00063952" w:rsidRDefault="00000000">
      <w:pPr>
        <w:pStyle w:val="Heading1"/>
      </w:pPr>
      <w:r>
        <w:lastRenderedPageBreak/>
        <w:t>1. Objective</w:t>
      </w:r>
    </w:p>
    <w:p w14:paraId="731D1949" w14:textId="77777777" w:rsidR="00063952" w:rsidRDefault="00000000">
      <w:r>
        <w:t>Design a scalable analytical warehouse that ingests raw ListenBrainz events, preserves source fidelity, transforms the data into reusable business entities, and exposes analytical datasets suitable for reporting.</w:t>
      </w:r>
    </w:p>
    <w:p w14:paraId="3E5FF217" w14:textId="77777777" w:rsidR="00063952" w:rsidRDefault="00000000">
      <w:pPr>
        <w:pStyle w:val="Heading1"/>
      </w:pPr>
      <w:r>
        <w:t>2. Scope</w:t>
      </w:r>
    </w:p>
    <w:p w14:paraId="01D73DD7" w14:textId="77777777" w:rsidR="00063952" w:rsidRDefault="00000000">
      <w:r>
        <w:t>- Ingest NDJSON files</w:t>
      </w:r>
      <w:r>
        <w:br/>
        <w:t>- Store raw data in Bronze</w:t>
      </w:r>
      <w:r>
        <w:br/>
        <w:t>- Parse and validate JSON</w:t>
      </w:r>
      <w:r>
        <w:br/>
        <w:t>- Build dimensions and fact tables</w:t>
      </w:r>
      <w:r>
        <w:br/>
        <w:t>- Support analytical SQL queries</w:t>
      </w:r>
      <w:r>
        <w:br/>
        <w:t>- Maintain auditability through load metadata</w:t>
      </w:r>
    </w:p>
    <w:p w14:paraId="396C20A5" w14:textId="77777777" w:rsidR="00063952" w:rsidRDefault="00000000">
      <w:pPr>
        <w:pStyle w:val="Heading1"/>
      </w:pPr>
      <w:r>
        <w:t>3. Source System Overview</w:t>
      </w:r>
    </w:p>
    <w:p w14:paraId="042D34FC" w14:textId="77777777" w:rsidR="00063952" w:rsidRDefault="00000000">
      <w:r>
        <w:t>Each JSON document represents one listening event. The event contains transactional information (user and timestamp) together with descriptive music metadata such as artist, release and recording.</w:t>
      </w:r>
    </w:p>
    <w:p w14:paraId="18C4A41B" w14:textId="77777777" w:rsidR="00CF524C" w:rsidRDefault="00CF524C" w:rsidP="00CF524C">
      <w:pPr>
        <w:pStyle w:val="Heading1"/>
      </w:pPr>
      <w:r>
        <w:t>4. Source Data Analysis</w:t>
      </w:r>
    </w:p>
    <w:p w14:paraId="4AD869D6" w14:textId="77777777" w:rsidR="00CF524C" w:rsidRDefault="00CF524C" w:rsidP="00CF524C">
      <w:r>
        <w:t>Key observations:</w:t>
      </w:r>
      <w:r>
        <w:br/>
        <w:t>• Every JSON record represents a listening event.</w:t>
      </w:r>
      <w:r>
        <w:br/>
        <w:t xml:space="preserve">• </w:t>
      </w:r>
      <w:proofErr w:type="spellStart"/>
      <w:r>
        <w:t>recording_msid</w:t>
      </w:r>
      <w:proofErr w:type="spellEnd"/>
      <w:r>
        <w:t xml:space="preserve">, </w:t>
      </w:r>
      <w:proofErr w:type="spellStart"/>
      <w:r>
        <w:t>artist_msid</w:t>
      </w:r>
      <w:proofErr w:type="spellEnd"/>
      <w:r>
        <w:t xml:space="preserve"> and </w:t>
      </w:r>
      <w:proofErr w:type="spellStart"/>
      <w:r>
        <w:t>release_msid</w:t>
      </w:r>
      <w:proofErr w:type="spellEnd"/>
      <w:r>
        <w:t xml:space="preserve"> behave as stable business identifiers.</w:t>
      </w:r>
      <w:r>
        <w:br/>
        <w:t>• MBIDs are optional and frequently null.</w:t>
      </w:r>
      <w:r>
        <w:br/>
        <w:t>• Artist names are not reliable identifiers because formatting varies.</w:t>
      </w:r>
      <w:r>
        <w:br/>
        <w:t>• One release contains many recordings.</w:t>
      </w:r>
      <w:r>
        <w:br/>
        <w:t>• One recording appears in many listening events.</w:t>
      </w:r>
      <w:r>
        <w:br/>
        <w:t>Business Grain:</w:t>
      </w:r>
      <w:r>
        <w:br/>
        <w:t>One row = One user listening to one recording at one timestamp.</w:t>
      </w:r>
    </w:p>
    <w:p w14:paraId="3C917E2F" w14:textId="31D682A1" w:rsidR="00063952" w:rsidRDefault="00CF524C">
      <w:pPr>
        <w:pStyle w:val="Heading1"/>
      </w:pPr>
      <w:r>
        <w:t>5. Assumptions</w:t>
      </w:r>
    </w:p>
    <w:p w14:paraId="34A2B135" w14:textId="77777777" w:rsidR="00063952" w:rsidRDefault="00000000">
      <w:r>
        <w:t>• Source timestamps are UTC.</w:t>
      </w:r>
      <w:r>
        <w:br/>
        <w:t>• A recording belongs to one artist and one release.</w:t>
      </w:r>
      <w:r>
        <w:br/>
        <w:t>• Surrogate keys are generated inside the warehouse.</w:t>
      </w:r>
      <w:r>
        <w:br/>
        <w:t>• Duplicate events are detected during ETL.</w:t>
      </w:r>
      <w:r>
        <w:br/>
        <w:t>• Source files are immutable after ingestion.</w:t>
      </w:r>
    </w:p>
    <w:p w14:paraId="607519D1" w14:textId="77777777" w:rsidR="00063952" w:rsidRDefault="00000000">
      <w:pPr>
        <w:pStyle w:val="Heading1"/>
      </w:pPr>
      <w:r>
        <w:lastRenderedPageBreak/>
        <w:t>6. Solution Architecture</w:t>
      </w:r>
    </w:p>
    <w:p w14:paraId="6FA607BB" w14:textId="77777777" w:rsidR="00CF524C" w:rsidRDefault="00CF524C">
      <w:pPr>
        <w:pStyle w:val="Heading1"/>
      </w:pPr>
      <w:r>
        <w:rPr>
          <w:noProof/>
        </w:rPr>
        <w:drawing>
          <wp:inline distT="0" distB="0" distL="0" distR="0" wp14:anchorId="3CE396FE" wp14:editId="022462A6">
            <wp:extent cx="3438525" cy="7343775"/>
            <wp:effectExtent l="0" t="0" r="0" b="9525"/>
            <wp:docPr id="72314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5786" name="Picture 723145786"/>
                    <pic:cNvPicPr/>
                  </pic:nvPicPr>
                  <pic:blipFill>
                    <a:blip r:embed="rId6"/>
                    <a:stretch>
                      <a:fillRect/>
                    </a:stretch>
                  </pic:blipFill>
                  <pic:spPr>
                    <a:xfrm>
                      <a:off x="0" y="0"/>
                      <a:ext cx="3438525" cy="7343775"/>
                    </a:xfrm>
                    <a:prstGeom prst="rect">
                      <a:avLst/>
                    </a:prstGeom>
                  </pic:spPr>
                </pic:pic>
              </a:graphicData>
            </a:graphic>
          </wp:inline>
        </w:drawing>
      </w:r>
    </w:p>
    <w:p w14:paraId="5EC9B334" w14:textId="0D5E245F" w:rsidR="00063952" w:rsidRDefault="00000000">
      <w:pPr>
        <w:pStyle w:val="Heading1"/>
      </w:pPr>
      <w:r>
        <w:lastRenderedPageBreak/>
        <w:t>7. Bronze Layer</w:t>
      </w:r>
    </w:p>
    <w:p w14:paraId="7AECA8BB" w14:textId="77777777" w:rsidR="00063952" w:rsidRDefault="00000000">
      <w:r>
        <w:t>Purpose: preserve raw data exactly as received. Raw JSON, file metadata, load_id and load_timestamp are stored without transformation. This supports lineage, replayability and troubleshooting.</w:t>
      </w:r>
    </w:p>
    <w:p w14:paraId="6411FBC7" w14:textId="77777777" w:rsidR="00063952" w:rsidRDefault="00000000">
      <w:pPr>
        <w:pStyle w:val="Heading1"/>
      </w:pPr>
      <w:r>
        <w:t>8. Silver Layer</w:t>
      </w:r>
    </w:p>
    <w:p w14:paraId="20F4E639" w14:textId="77777777" w:rsidR="00063952" w:rsidRDefault="00000000">
      <w:r>
        <w:t>Purpose: transform JSON into structured entities. Perform validation, extract business keys, populate dimensions and generate surrogate keys before loading the fact table.</w:t>
      </w:r>
    </w:p>
    <w:p w14:paraId="6E30E5E1" w14:textId="77777777" w:rsidR="00063952" w:rsidRDefault="00000000">
      <w:pPr>
        <w:pStyle w:val="Heading1"/>
      </w:pPr>
      <w:r>
        <w:t>9. Gold Layer</w:t>
      </w:r>
    </w:p>
    <w:p w14:paraId="64EFEC63" w14:textId="77777777" w:rsidR="00063952" w:rsidRDefault="00000000">
      <w:r>
        <w:t>Purpose: provide business-facing datasets and SQL views such as Daily Active Users, Top Songs, Top Artists, Listening Trends and User Behaviour.</w:t>
      </w:r>
    </w:p>
    <w:p w14:paraId="634C7159" w14:textId="5435F11C" w:rsidR="00063952" w:rsidRDefault="00000000">
      <w:pPr>
        <w:pStyle w:val="Heading1"/>
      </w:pPr>
      <w:r>
        <w:t>10. Dimensional Model</w:t>
      </w:r>
      <w:r w:rsidR="00CF524C">
        <w:t xml:space="preserve"> (Preferred Snowflake)</w:t>
      </w:r>
    </w:p>
    <w:p w14:paraId="11DF0C4F" w14:textId="3EC3E60A" w:rsidR="00155DC5" w:rsidRPr="00155DC5" w:rsidRDefault="00155DC5" w:rsidP="00155DC5">
      <w:r>
        <w:rPr>
          <w:noProof/>
        </w:rPr>
        <w:drawing>
          <wp:inline distT="0" distB="0" distL="0" distR="0" wp14:anchorId="7C5CD9FB" wp14:editId="3350043E">
            <wp:extent cx="3640554" cy="4701540"/>
            <wp:effectExtent l="0" t="0" r="0" b="3810"/>
            <wp:docPr id="1410784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4860" name="Picture 1410784860"/>
                    <pic:cNvPicPr/>
                  </pic:nvPicPr>
                  <pic:blipFill>
                    <a:blip r:embed="rId7"/>
                    <a:stretch>
                      <a:fillRect/>
                    </a:stretch>
                  </pic:blipFill>
                  <pic:spPr>
                    <a:xfrm>
                      <a:off x="0" y="0"/>
                      <a:ext cx="3649699" cy="4713350"/>
                    </a:xfrm>
                    <a:prstGeom prst="rect">
                      <a:avLst/>
                    </a:prstGeom>
                  </pic:spPr>
                </pic:pic>
              </a:graphicData>
            </a:graphic>
          </wp:inline>
        </w:drawing>
      </w:r>
    </w:p>
    <w:p w14:paraId="0D78E387" w14:textId="77777777" w:rsidR="00063952" w:rsidRDefault="00000000">
      <w:pPr>
        <w:pStyle w:val="Heading1"/>
      </w:pPr>
      <w:r>
        <w:lastRenderedPageBreak/>
        <w:t>11. Business Keys vs Surrogate Keys</w:t>
      </w:r>
    </w:p>
    <w:p w14:paraId="71BD75A0" w14:textId="77777777" w:rsidR="00063952" w:rsidRDefault="00000000">
      <w:r>
        <w:t>Business keys uniquely identify source entities. Surrogate keys are generated to ensure warehouse stability, improve join performance and isolate the warehouse from changes in source identifiers.</w:t>
      </w:r>
    </w:p>
    <w:p w14:paraId="0C567530" w14:textId="77777777" w:rsidR="00063952" w:rsidRDefault="00000000">
      <w:pPr>
        <w:pStyle w:val="Heading1"/>
      </w:pPr>
      <w:r>
        <w:t>12. ETL Flow</w:t>
      </w:r>
    </w:p>
    <w:p w14:paraId="08B867C4" w14:textId="10E90B9D" w:rsidR="000A4EDD" w:rsidRPr="000A4EDD" w:rsidRDefault="000A4EDD" w:rsidP="000A4EDD">
      <w:r>
        <w:rPr>
          <w:noProof/>
        </w:rPr>
        <w:drawing>
          <wp:inline distT="0" distB="0" distL="0" distR="0" wp14:anchorId="576F4D84" wp14:editId="0AAFE849">
            <wp:extent cx="3840480" cy="6452245"/>
            <wp:effectExtent l="0" t="0" r="7620" b="5715"/>
            <wp:docPr id="972489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89597" name="Picture 972489597"/>
                    <pic:cNvPicPr/>
                  </pic:nvPicPr>
                  <pic:blipFill>
                    <a:blip r:embed="rId8"/>
                    <a:stretch>
                      <a:fillRect/>
                    </a:stretch>
                  </pic:blipFill>
                  <pic:spPr>
                    <a:xfrm>
                      <a:off x="0" y="0"/>
                      <a:ext cx="3843135" cy="6456706"/>
                    </a:xfrm>
                    <a:prstGeom prst="rect">
                      <a:avLst/>
                    </a:prstGeom>
                  </pic:spPr>
                </pic:pic>
              </a:graphicData>
            </a:graphic>
          </wp:inline>
        </w:drawing>
      </w:r>
    </w:p>
    <w:p w14:paraId="33E95AAA" w14:textId="77777777" w:rsidR="00063952" w:rsidRDefault="00000000">
      <w:pPr>
        <w:pStyle w:val="Heading1"/>
      </w:pPr>
      <w:r>
        <w:lastRenderedPageBreak/>
        <w:t>13. Data Quality Rules</w:t>
      </w:r>
    </w:p>
    <w:p w14:paraId="1A47FD82" w14:textId="77777777" w:rsidR="00063952" w:rsidRDefault="00000000">
      <w:r>
        <w:t>Mandatory fields:</w:t>
      </w:r>
      <w:r>
        <w:br/>
        <w:t>• user_name</w:t>
      </w:r>
      <w:r>
        <w:br/>
        <w:t>• listened_at</w:t>
      </w:r>
      <w:r>
        <w:br/>
        <w:t>• recording_msid</w:t>
      </w:r>
      <w:r>
        <w:br/>
      </w:r>
      <w:r>
        <w:br/>
        <w:t>Validation:</w:t>
      </w:r>
      <w:r>
        <w:br/>
        <w:t>• JSON structure</w:t>
      </w:r>
      <w:r>
        <w:br/>
        <w:t>• Timestamp format</w:t>
      </w:r>
      <w:r>
        <w:br/>
        <w:t>• Duplicate detection</w:t>
      </w:r>
      <w:r>
        <w:br/>
        <w:t>• Null handling</w:t>
      </w:r>
      <w:r>
        <w:br/>
        <w:t>• ETL audit logging</w:t>
      </w:r>
    </w:p>
    <w:p w14:paraId="56D51E38" w14:textId="77777777" w:rsidR="00063952" w:rsidRDefault="00000000">
      <w:pPr>
        <w:pStyle w:val="Heading1"/>
      </w:pPr>
      <w:r>
        <w:t>14. Performance Considerations</w:t>
      </w:r>
    </w:p>
    <w:p w14:paraId="48F53AD0" w14:textId="77777777" w:rsidR="00063952" w:rsidRDefault="00000000">
      <w:r>
        <w:t>• Batch loading</w:t>
      </w:r>
      <w:r>
        <w:br/>
        <w:t>• Surrogate key lookups</w:t>
      </w:r>
      <w:r>
        <w:br/>
        <w:t>• Reusable SQL</w:t>
      </w:r>
      <w:r>
        <w:br/>
        <w:t>• Incremental processing</w:t>
      </w:r>
      <w:r>
        <w:br/>
        <w:t>• Partitioning strategy for large datasets</w:t>
      </w:r>
      <w:r>
        <w:br/>
        <w:t>• Appropriate indexing if migrated to enterprise databases</w:t>
      </w:r>
    </w:p>
    <w:p w14:paraId="02DE09B2" w14:textId="77777777" w:rsidR="00063952" w:rsidRDefault="00000000">
      <w:pPr>
        <w:pStyle w:val="Heading1"/>
      </w:pPr>
      <w:r>
        <w:t>15. Risks and Mitigations</w:t>
      </w:r>
    </w:p>
    <w:p w14:paraId="1B2693C2" w14:textId="77777777" w:rsidR="00063952" w:rsidRDefault="00000000">
      <w:r>
        <w:t>Risk: Duplicate source events.</w:t>
      </w:r>
      <w:r>
        <w:br/>
        <w:t>Mitigation: Business key validation.</w:t>
      </w:r>
      <w:r>
        <w:br/>
      </w:r>
      <w:r>
        <w:br/>
        <w:t>Risk: Missing metadata.</w:t>
      </w:r>
      <w:r>
        <w:br/>
        <w:t>Mitigation: Unknown dimension members.</w:t>
      </w:r>
      <w:r>
        <w:br/>
      </w:r>
      <w:r>
        <w:br/>
        <w:t>Risk: Schema evolution.</w:t>
      </w:r>
      <w:r>
        <w:br/>
        <w:t>Mitigation: Versioned ETL and metadata-driven mapping.</w:t>
      </w:r>
    </w:p>
    <w:p w14:paraId="31FF45C2" w14:textId="77777777" w:rsidR="00063952" w:rsidRDefault="00000000">
      <w:pPr>
        <w:pStyle w:val="Heading1"/>
      </w:pPr>
      <w:r>
        <w:t>16. Future Enhancements</w:t>
      </w:r>
    </w:p>
    <w:p w14:paraId="2923EA83" w14:textId="77777777" w:rsidR="00063952" w:rsidRDefault="00000000">
      <w:r>
        <w:t>• Slowly Changing Dimensions</w:t>
      </w:r>
      <w:r>
        <w:br/>
        <w:t>• Airflow orchestration</w:t>
      </w:r>
      <w:r>
        <w:br/>
        <w:t>• Automated data quality monitoring</w:t>
      </w:r>
      <w:r>
        <w:br/>
        <w:t>• Unit testing</w:t>
      </w:r>
      <w:r>
        <w:br/>
        <w:t>• CI/CD pipeline</w:t>
      </w:r>
      <w:r>
        <w:br/>
        <w:t>• Cloud deployment</w:t>
      </w:r>
      <w:r>
        <w:br/>
        <w:t>• Metadata catalog and lineage</w:t>
      </w:r>
    </w:p>
    <w:p w14:paraId="61E85E8F" w14:textId="77777777" w:rsidR="00063952" w:rsidRDefault="00000000">
      <w:pPr>
        <w:pStyle w:val="Heading1"/>
      </w:pPr>
      <w:r>
        <w:lastRenderedPageBreak/>
        <w:t>17. Conclusion</w:t>
      </w:r>
    </w:p>
    <w:p w14:paraId="2A806BEB" w14:textId="77777777" w:rsidR="00063952" w:rsidRDefault="00000000">
      <w:r>
        <w:t>The proposed solution follows common enterprise data warehousing practices by separating raw ingestion, transformation and analytical presentation. The model is scalable, maintainable and supports future extension while preserving data lineage and auditability.</w:t>
      </w:r>
    </w:p>
    <w:p w14:paraId="1BB8D34A" w14:textId="77777777" w:rsidR="00063952" w:rsidRDefault="00000000">
      <w:r>
        <w:br w:type="page"/>
      </w:r>
    </w:p>
    <w:p w14:paraId="1C8E8B36" w14:textId="77777777" w:rsidR="00063952" w:rsidRDefault="00000000">
      <w:pPr>
        <w:pStyle w:val="Heading1"/>
      </w:pPr>
      <w:r>
        <w:lastRenderedPageBreak/>
        <w:t>Appendix A - Snowflake Schema</w:t>
      </w:r>
    </w:p>
    <w:p w14:paraId="237F5B7A" w14:textId="77777777" w:rsidR="00063952" w:rsidRDefault="00000000">
      <w:r>
        <w:t xml:space="preserve">                 DIM_USER</w:t>
      </w:r>
      <w:r>
        <w:br/>
        <w:t xml:space="preserve">                     │</w:t>
      </w:r>
      <w:r>
        <w:br/>
        <w:t xml:space="preserve">                FACT_LISTEN</w:t>
      </w:r>
      <w:r>
        <w:br/>
        <w:t xml:space="preserve">                     │</w:t>
      </w:r>
      <w:r>
        <w:br/>
        <w:t xml:space="preserve">              DIM_RECORDING</w:t>
      </w:r>
      <w:r>
        <w:br/>
        <w:t xml:space="preserve">               /         \</w:t>
      </w:r>
      <w:r>
        <w:br/>
        <w:t xml:space="preserve">      DIM_ARTIST     DIM_RELEASE</w:t>
      </w:r>
    </w:p>
    <w:p w14:paraId="67E52E63" w14:textId="77777777" w:rsidR="00063952" w:rsidRDefault="00000000">
      <w:pPr>
        <w:pStyle w:val="Heading1"/>
      </w:pPr>
      <w:r>
        <w:t>Appendix B - ETL Pipeline</w:t>
      </w:r>
    </w:p>
    <w:p w14:paraId="5E31685A" w14:textId="77777777" w:rsidR="00063952" w:rsidRDefault="00000000">
      <w:r>
        <w:t>JSON Files</w:t>
      </w:r>
      <w:r>
        <w:br/>
        <w:t xml:space="preserve">   ↓</w:t>
      </w:r>
      <w:r>
        <w:br/>
        <w:t>Bronze</w:t>
      </w:r>
      <w:r>
        <w:br/>
        <w:t xml:space="preserve">   ↓</w:t>
      </w:r>
      <w:r>
        <w:br/>
        <w:t>Validation</w:t>
      </w:r>
      <w:r>
        <w:br/>
        <w:t xml:space="preserve">   ↓</w:t>
      </w:r>
      <w:r>
        <w:br/>
        <w:t>Dimensions</w:t>
      </w:r>
      <w:r>
        <w:br/>
        <w:t xml:space="preserve">   ↓</w:t>
      </w:r>
      <w:r>
        <w:br/>
        <w:t>Fact</w:t>
      </w:r>
      <w:r>
        <w:br/>
        <w:t xml:space="preserve">   ↓</w:t>
      </w:r>
      <w:r>
        <w:br/>
        <w:t>Gold</w:t>
      </w:r>
    </w:p>
    <w:sectPr w:rsidR="000639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D05C63"/>
    <w:multiLevelType w:val="hybridMultilevel"/>
    <w:tmpl w:val="87A44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2625572">
    <w:abstractNumId w:val="8"/>
  </w:num>
  <w:num w:numId="2" w16cid:durableId="1805731874">
    <w:abstractNumId w:val="6"/>
  </w:num>
  <w:num w:numId="3" w16cid:durableId="1973905222">
    <w:abstractNumId w:val="5"/>
  </w:num>
  <w:num w:numId="4" w16cid:durableId="1670134261">
    <w:abstractNumId w:val="4"/>
  </w:num>
  <w:num w:numId="5" w16cid:durableId="920404840">
    <w:abstractNumId w:val="7"/>
  </w:num>
  <w:num w:numId="6" w16cid:durableId="1388604017">
    <w:abstractNumId w:val="3"/>
  </w:num>
  <w:num w:numId="7" w16cid:durableId="1748922303">
    <w:abstractNumId w:val="2"/>
  </w:num>
  <w:num w:numId="8" w16cid:durableId="1007557047">
    <w:abstractNumId w:val="1"/>
  </w:num>
  <w:num w:numId="9" w16cid:durableId="1818958332">
    <w:abstractNumId w:val="0"/>
  </w:num>
  <w:num w:numId="10" w16cid:durableId="10956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52"/>
    <w:rsid w:val="000A4EDD"/>
    <w:rsid w:val="0015074B"/>
    <w:rsid w:val="00155DC5"/>
    <w:rsid w:val="0029639D"/>
    <w:rsid w:val="00326F90"/>
    <w:rsid w:val="00765AF4"/>
    <w:rsid w:val="00AA1D8D"/>
    <w:rsid w:val="00B47730"/>
    <w:rsid w:val="00C20F95"/>
    <w:rsid w:val="00CB0664"/>
    <w:rsid w:val="00CF524C"/>
    <w:rsid w:val="00F55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AE86D"/>
  <w14:defaultImageDpi w14:val="300"/>
  <w15:docId w15:val="{3877AA31-B653-41F6-9537-83F46356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BENZIHAR S</cp:lastModifiedBy>
  <cp:revision>3</cp:revision>
  <dcterms:created xsi:type="dcterms:W3CDTF">2013-12-23T23:15:00Z</dcterms:created>
  <dcterms:modified xsi:type="dcterms:W3CDTF">2026-07-31T01:10:00Z</dcterms:modified>
  <cp:category/>
</cp:coreProperties>
</file>