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34767">
      <w:pPr>
        <w:pStyle w:val="4"/>
        <w:keepNext w:val="0"/>
        <w:keepLines w:val="0"/>
        <w:widowControl/>
        <w:suppressLineNumbers w:val="0"/>
      </w:pPr>
      <w:r>
        <w:rPr>
          <w:rStyle w:val="7"/>
        </w:rPr>
        <w:t>右美沙芬的结构改造及其受体活性变化分析：从多靶点作用到</w:t>
      </w:r>
      <w:r>
        <w:rPr>
          <w:rStyle w:val="7"/>
          <w:rFonts w:hint="eastAsia"/>
        </w:rPr>
        <w:t>1-(2-phenylethyl)-4-[3-(trifluoromethyl)phenyl]piperidine</w:t>
      </w:r>
      <w:r>
        <w:rPr>
          <w:rStyle w:val="7"/>
        </w:rPr>
        <w:t>的药理探索</w:t>
      </w:r>
    </w:p>
    <w:p w14:paraId="2A7CE318">
      <w:pPr>
        <w:keepNext w:val="0"/>
        <w:keepLines w:val="0"/>
        <w:widowControl/>
        <w:suppressLineNumbers w:val="0"/>
      </w:pPr>
      <w:r>
        <w:t>摘要：</w:t>
      </w:r>
    </w:p>
    <w:p w14:paraId="2E69E5C1">
      <w:pPr>
        <w:pStyle w:val="4"/>
        <w:keepNext w:val="0"/>
        <w:keepLines w:val="0"/>
        <w:widowControl/>
        <w:suppressLineNumbers w:val="0"/>
        <w:rPr>
          <w:rFonts w:hint="eastAsia" w:eastAsia="宋体"/>
          <w:lang w:eastAsia="zh-CN"/>
        </w:rPr>
      </w:pPr>
      <w:r>
        <w:t>右美沙芬（DXM）是一种常用的镇咳药，广泛研究表明其对多种受体具有亲和力，包括血清素转运体（SERT）、sigma</w:t>
      </w:r>
      <w:r>
        <w:rPr>
          <w:rFonts w:hint="eastAsia"/>
          <w:lang w:val="en-US" w:eastAsia="zh-CN"/>
        </w:rPr>
        <w:t>阿片</w:t>
      </w:r>
      <w:r>
        <w:t>受体和多巴胺D2受体。本文探讨了通过结构改造将右美沙芬转化为</w:t>
      </w:r>
      <w:r>
        <w:rPr>
          <w:rStyle w:val="7"/>
          <w:rFonts w:hint="eastAsia" w:ascii="宋体" w:hAnsi="宋体" w:eastAsia="宋体" w:cs="宋体"/>
          <w:b w:val="0"/>
          <w:bCs/>
        </w:rPr>
        <w:t>1-(2-phenylethyl)-4-[3-(trifluoromethyl)phenyl]piperidine</w:t>
      </w:r>
      <w:r>
        <w:t>的过程，并分析了其与sigma</w:t>
      </w:r>
      <w:r>
        <w:rPr>
          <w:rFonts w:hint="eastAsia"/>
          <w:lang w:val="en-US" w:eastAsia="zh-CN"/>
        </w:rPr>
        <w:t>阿片</w:t>
      </w:r>
      <w:r>
        <w:t>受体、多巴胺D2受体</w:t>
      </w:r>
      <w:r>
        <w:rPr>
          <w:rFonts w:hint="eastAsia"/>
          <w:lang w:val="en-US" w:eastAsia="zh-CN"/>
        </w:rPr>
        <w:t>及</w:t>
      </w:r>
      <w:r>
        <w:t>血清素2C受体的作用转变</w:t>
      </w:r>
      <w:r>
        <w:rPr>
          <w:rFonts w:hint="eastAsia"/>
          <w:lang w:eastAsia="zh-CN"/>
        </w:rPr>
        <w:t>。</w:t>
      </w:r>
      <w:r>
        <w:rPr>
          <w:rFonts w:ascii="宋体" w:hAnsi="宋体" w:eastAsia="宋体" w:cs="宋体"/>
          <w:sz w:val="24"/>
          <w:szCs w:val="24"/>
        </w:rPr>
        <w:t>本研究旨在通过结构修饰，设计一种新的右美沙芬衍生物1-(2-Phenylethyl)-4-[3-(trifluoromethyl)phenyl]piperidine，以探索其药理学潜力。本文结合SwissADME和SwissTargetPrediction等工具，分析了该新化合物的物化性质、药代动力学特征及潜在靶点。结果表明，经过多重结构改造后，该化合物在亲脂性和靶点亲和力方面具备独特优势，尤其是对Sigma受体、D2多巴胺受体和5-HT2C受体的高亲和力，表明其可能具备神经调节和抗抑郁作用。本文为新型右美沙芬衍生物的药物开发提供了理论依据。</w:t>
      </w:r>
    </w:p>
    <w:p w14:paraId="7E3F5EBA">
      <w:pPr>
        <w:pStyle w:val="2"/>
        <w:keepNext w:val="0"/>
        <w:keepLines w:val="0"/>
        <w:widowControl/>
        <w:suppressLineNumbers w:val="0"/>
      </w:pPr>
      <w:r>
        <w:t>关键词：</w:t>
      </w:r>
    </w:p>
    <w:p w14:paraId="125AA85F">
      <w:pPr>
        <w:pStyle w:val="4"/>
        <w:keepNext w:val="0"/>
        <w:keepLines w:val="0"/>
        <w:widowControl/>
        <w:suppressLineNumbers w:val="0"/>
      </w:pPr>
      <w:r>
        <w:t>右美沙芬，</w:t>
      </w:r>
      <w:r>
        <w:rPr>
          <w:rStyle w:val="7"/>
          <w:rFonts w:hint="eastAsia" w:ascii="宋体" w:hAnsi="宋体" w:eastAsia="宋体" w:cs="宋体"/>
          <w:b w:val="0"/>
          <w:bCs/>
        </w:rPr>
        <w:t>1-(2-phenylethyl)-4-[3-(trifluoromethyl)phenyl]piperidine</w:t>
      </w:r>
      <w:r>
        <w:t>，血清素转运体，sigma</w:t>
      </w:r>
      <w:r>
        <w:rPr>
          <w:rFonts w:hint="eastAsia"/>
          <w:lang w:val="en-US" w:eastAsia="zh-CN"/>
        </w:rPr>
        <w:t>阿片</w:t>
      </w:r>
      <w:r>
        <w:t>受体，多巴胺D2受体，血清素2C受体</w:t>
      </w:r>
    </w:p>
    <w:p w14:paraId="5511A6B8">
      <w:pPr>
        <w:pStyle w:val="2"/>
        <w:keepNext w:val="0"/>
        <w:keepLines w:val="0"/>
        <w:widowControl/>
        <w:suppressLineNumbers w:val="0"/>
      </w:pPr>
      <w:r>
        <w:t>引言</w:t>
      </w:r>
    </w:p>
    <w:p w14:paraId="5AF8C386">
      <w:pPr>
        <w:pStyle w:val="4"/>
        <w:keepNext w:val="0"/>
        <w:keepLines w:val="0"/>
        <w:widowControl/>
        <w:suppressLineNumbers w:val="0"/>
      </w:pPr>
      <w:r>
        <w:t>右美沙芬（Dextromethorphan，DXM）是一种常见的镇咳药，具有丰富的药理活性，超出了其传统的镇咳作用。研究表明，DXM不仅对血清素转运体（SERT）有显著的抑制作用，还具有sigma-1受体激动效应，并且在高剂量下对多巴胺D2受体产生一定的作用。然而，通过结构改造将右美沙芬转变为其他分子，可以在保持其药理作用的基础上，探索新的受体活性和代谢机制。</w:t>
      </w:r>
      <w:r>
        <w:rPr>
          <w:rFonts w:ascii="宋体" w:hAnsi="宋体" w:eastAsia="宋体" w:cs="宋体"/>
          <w:sz w:val="24"/>
          <w:szCs w:val="24"/>
        </w:rPr>
        <w:t>本文提出了通过结构改造设计一种新的右美沙芬衍生物，以探索其潜在的神经精神药理活性。新设计的化合物1-(2-Phenylethyl)-4-[3-(trifluoromethyl)phenyl]piperidine通过对右美沙芬进行三步结构修饰获得：1) 拓展苯环骨架；2) 将甲氧基替换为三氟甲基；3) 将N-甲基取代为苯乙基。随后，我们采用SwissADME和SwissTargetPrediction等计算工具，对该新化合物的药理学性质进行了系统预测。</w:t>
      </w:r>
    </w:p>
    <w:p w14:paraId="4AB284AA">
      <w:pPr>
        <w:pStyle w:val="2"/>
        <w:keepNext w:val="0"/>
        <w:keepLines w:val="0"/>
        <w:widowControl/>
        <w:suppressLineNumbers w:val="0"/>
      </w:pPr>
      <w:r>
        <w:t>1. 右美沙芬的受体活性</w:t>
      </w:r>
    </w:p>
    <w:p w14:paraId="63AB3428">
      <w:pPr>
        <w:pStyle w:val="4"/>
        <w:keepNext w:val="0"/>
        <w:keepLines w:val="0"/>
        <w:widowControl/>
        <w:suppressLineNumbers w:val="0"/>
      </w:pPr>
      <w:r>
        <w:t>右美沙芬的药理作用涉及多种受体。首先，DXM通过抑制血清素转运体（SERT），影响5-HT（5-羟色胺）的再摄取，表现出类抗抑郁的作用。其次，右美沙芬是sigma-1受体的激动剂，其作用涉及神经保护、应激反应和精神调控等。此外，DXM对多巴胺D2受体有一定的亲和力，尽管其效力较低，但在高剂量下可能影响多巴胺能系统。</w:t>
      </w:r>
    </w:p>
    <w:p w14:paraId="02CA0FE4">
      <w:pPr>
        <w:pStyle w:val="4"/>
        <w:keepNext w:val="0"/>
        <w:keepLines w:val="0"/>
        <w:widowControl/>
        <w:suppressLineNumbers w:val="0"/>
      </w:pPr>
    </w:p>
    <w:p w14:paraId="1D5268AA">
      <w:pPr>
        <w:pStyle w:val="4"/>
        <w:keepNext w:val="0"/>
        <w:keepLines w:val="0"/>
        <w:widowControl/>
        <w:suppressLineNumbers w:val="0"/>
      </w:pPr>
      <w:r>
        <w:t>右美沙芬是</w:t>
      </w:r>
      <w:r>
        <w:rPr>
          <w:rStyle w:val="7"/>
        </w:rPr>
        <w:t>NMDA受体的非竞争性拮抗剂</w:t>
      </w:r>
      <w:r>
        <w:t>，它能够阻断NMDA受体介导的谷氨酸能神经传递。NMDA受体参与中枢神经系统的突触可塑性、记忆和学习，而右美沙芬通过抑制该受体，可以减少兴奋性神经毒性。这一特性使其具有</w:t>
      </w:r>
      <w:r>
        <w:rPr>
          <w:rStyle w:val="7"/>
        </w:rPr>
        <w:t>神经保护</w:t>
      </w:r>
      <w:r>
        <w:t>作用，可能对一些神经退行性疾病（如阿尔茨海默病、帕金森病）具有潜在的治疗意义</w:t>
      </w:r>
      <w:r>
        <w:rPr>
          <w:rFonts w:hint="eastAsia"/>
          <w:lang w:eastAsia="zh-CN"/>
        </w:rPr>
        <w:t>。</w:t>
      </w:r>
      <w:r>
        <w:t>右美沙芬能够抑制</w:t>
      </w:r>
      <w:r>
        <w:rPr>
          <w:rStyle w:val="7"/>
        </w:rPr>
        <w:t>血清素转运体（SERT）</w:t>
      </w:r>
      <w:r>
        <w:t>，从而减少5-羟色胺（5-HT）的再摄取。这与选择性5-羟色胺再摄取抑制剂（SSRIs）的作用机制类似，可能赋予右美沙芬</w:t>
      </w:r>
      <w:r>
        <w:rPr>
          <w:rStyle w:val="7"/>
        </w:rPr>
        <w:t>抗抑郁</w:t>
      </w:r>
      <w:r>
        <w:t>和</w:t>
      </w:r>
      <w:r>
        <w:rPr>
          <w:rStyle w:val="7"/>
        </w:rPr>
        <w:t>情绪调节</w:t>
      </w:r>
      <w:r>
        <w:t>的潜力。由于其对血清素系统的影响，右美沙芬在高剂量下可能导致血清素综合征，这是多种药物联合使用时的一种潜在危及生命的病理状态。右美沙芬对</w:t>
      </w:r>
      <w:r>
        <w:rPr>
          <w:rStyle w:val="7"/>
        </w:rPr>
        <w:t>sigma-1受体</w:t>
      </w:r>
      <w:r>
        <w:t>具有较强的亲和力，是其</w:t>
      </w:r>
      <w:r>
        <w:rPr>
          <w:rStyle w:val="7"/>
        </w:rPr>
        <w:t>部分激动剂</w:t>
      </w:r>
      <w:r>
        <w:t>。Sigma-1受体是一种位于内质网的蛋白质，参与调节细胞的钙离子稳态、细胞凋亡以及应激反应。右美沙芬通过激活sigma-1受体可以产生</w:t>
      </w:r>
      <w:r>
        <w:rPr>
          <w:rStyle w:val="7"/>
        </w:rPr>
        <w:t>神经保护作用</w:t>
      </w:r>
      <w:r>
        <w:t>，尤其是在抗抑郁、抗焦虑、认知增强和抗炎等方面有潜力。此外，sigma-1受体在精神药理学中的作用，使得右美沙芬被认为可能具有</w:t>
      </w:r>
      <w:r>
        <w:rPr>
          <w:rStyle w:val="7"/>
        </w:rPr>
        <w:t>精神分裂症的治疗潜力</w:t>
      </w:r>
      <w:r>
        <w:t>。虽然右美沙芬主要通过其他途径发挥作用，但在高剂量下，它对</w:t>
      </w:r>
      <w:r>
        <w:rPr>
          <w:rStyle w:val="7"/>
        </w:rPr>
        <w:t>多巴胺D2受体</w:t>
      </w:r>
      <w:r>
        <w:t>也表现出一定的亲和力。D2受体是中枢神经系统中多巴胺能信号传递的关键受体，主要与</w:t>
      </w:r>
      <w:r>
        <w:rPr>
          <w:rStyle w:val="7"/>
        </w:rPr>
        <w:t>运动控制</w:t>
      </w:r>
      <w:r>
        <w:t>、</w:t>
      </w:r>
      <w:r>
        <w:rPr>
          <w:rStyle w:val="7"/>
        </w:rPr>
        <w:t>认知功能</w:t>
      </w:r>
      <w:r>
        <w:t>和</w:t>
      </w:r>
      <w:r>
        <w:rPr>
          <w:rStyle w:val="7"/>
        </w:rPr>
        <w:t>精神病</w:t>
      </w:r>
      <w:r>
        <w:t>症状相关。右美沙芬在D2受体上表现出</w:t>
      </w:r>
      <w:r>
        <w:rPr>
          <w:rStyle w:val="7"/>
        </w:rPr>
        <w:t>部分激动</w:t>
      </w:r>
      <w:r>
        <w:t>，这一特性可能解释其在高剂量下产生的</w:t>
      </w:r>
      <w:r>
        <w:rPr>
          <w:rStyle w:val="7"/>
        </w:rPr>
        <w:t>精神错乱</w:t>
      </w:r>
      <w:r>
        <w:t>和</w:t>
      </w:r>
      <w:r>
        <w:rPr>
          <w:rStyle w:val="7"/>
        </w:rPr>
        <w:t>欣快感</w:t>
      </w:r>
      <w:r>
        <w:t>。虽然右美沙芬的结构与某些阿片类药物类似，但它几乎不与经典的</w:t>
      </w:r>
      <w:r>
        <w:rPr>
          <w:rStyle w:val="7"/>
        </w:rPr>
        <w:t>μ-阿片受体</w:t>
      </w:r>
      <w:r>
        <w:t>结合，因此不具备阿片类药物的镇痛效应。然而，右美沙芬在高剂量时能与</w:t>
      </w:r>
      <w:r>
        <w:rPr>
          <w:rStyle w:val="7"/>
        </w:rPr>
        <w:t>sigma受体</w:t>
      </w:r>
      <w:r>
        <w:t>和其他阿片类受体亚型产生轻微的结合，这可能是其在某些情况下表现出轻度镇痛作用的原因。</w:t>
      </w:r>
    </w:p>
    <w:p w14:paraId="701D3702">
      <w:pPr>
        <w:keepNext w:val="0"/>
        <w:keepLines w:val="0"/>
        <w:widowControl/>
        <w:suppressLineNumbers w:val="0"/>
      </w:pPr>
    </w:p>
    <w:p w14:paraId="5A0CFC17">
      <w:pPr>
        <w:pStyle w:val="2"/>
        <w:keepNext w:val="0"/>
        <w:keepLines w:val="0"/>
        <w:widowControl/>
        <w:suppressLineNumbers w:val="0"/>
      </w:pPr>
      <w:r>
        <w:t>2. 结构改造：从右美沙芬到</w:t>
      </w:r>
      <w:r>
        <w:rPr>
          <w:rStyle w:val="7"/>
          <w:rFonts w:hint="eastAsia" w:ascii="宋体" w:hAnsi="宋体" w:eastAsia="宋体" w:cs="宋体"/>
          <w:b/>
        </w:rPr>
        <w:t>1-(2-phenylethyl)-4-[3-(trifluoromethyl)phenyl]piperidine</w:t>
      </w:r>
    </w:p>
    <w:p w14:paraId="1E124657">
      <w:pPr>
        <w:pStyle w:val="4"/>
        <w:keepNext w:val="0"/>
        <w:keepLines w:val="0"/>
        <w:widowControl/>
        <w:suppressLineNumbers w:val="0"/>
      </w:pPr>
      <w:r>
        <w:rPr>
          <w:rStyle w:val="7"/>
          <w:rFonts w:hint="eastAsia" w:ascii="宋体" w:hAnsi="宋体" w:eastAsia="宋体" w:cs="宋体"/>
        </w:rPr>
        <w:t>1-(2-phenylethyl)-4-[3-(trifluoromethyl)phenyl]piperidine</w:t>
      </w:r>
      <w:r>
        <w:t>是通过对右美沙芬的化学骨架进行改造而得。右美沙芬的结构包括一个甲氧基苯基环和一个哌啶环，通过保留甲氧基苯基和哌啶的核心结构，可以生成</w:t>
      </w:r>
      <w:r>
        <w:rPr>
          <w:rStyle w:val="7"/>
          <w:rFonts w:hint="eastAsia" w:ascii="宋体" w:hAnsi="宋体" w:eastAsia="宋体" w:cs="宋体"/>
        </w:rPr>
        <w:t>1-(2-phenylethyl)-4-[3-(trifluoromethyl)phenyl]piperidine</w:t>
      </w:r>
      <w:r>
        <w:t>。该改造的目的是增强化合物对特定受体的亲和力，特别是多巴胺D2受体和血清素2C受体。</w:t>
      </w:r>
    </w:p>
    <w:p w14:paraId="6174D26D">
      <w:pPr>
        <w:pStyle w:val="4"/>
        <w:keepNext w:val="0"/>
        <w:keepLines w:val="0"/>
        <w:widowControl/>
        <w:suppressLineNumbers w:val="0"/>
      </w:pPr>
      <w:r>
        <w:drawing>
          <wp:inline distT="0" distB="0" distL="114300" distR="114300">
            <wp:extent cx="5269230" cy="2423795"/>
            <wp:effectExtent l="0" t="0" r="3810" b="1460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4"/>
                    <a:stretch>
                      <a:fillRect/>
                    </a:stretch>
                  </pic:blipFill>
                  <pic:spPr>
                    <a:xfrm>
                      <a:off x="0" y="0"/>
                      <a:ext cx="5269230" cy="2423795"/>
                    </a:xfrm>
                    <a:prstGeom prst="rect">
                      <a:avLst/>
                    </a:prstGeom>
                    <a:noFill/>
                    <a:ln>
                      <a:noFill/>
                    </a:ln>
                  </pic:spPr>
                </pic:pic>
              </a:graphicData>
            </a:graphic>
          </wp:inline>
        </w:drawing>
      </w:r>
    </w:p>
    <w:p w14:paraId="6DD91D9D">
      <w:pPr>
        <w:pStyle w:val="4"/>
        <w:keepNext w:val="0"/>
        <w:keepLines w:val="0"/>
        <w:widowControl/>
        <w:numPr>
          <w:ilvl w:val="0"/>
          <w:numId w:val="0"/>
        </w:numPr>
        <w:suppressLineNumbers w:val="0"/>
        <w:ind w:right="0" w:rightChars="0"/>
        <w:rPr>
          <w:rStyle w:val="7"/>
          <w:rFonts w:hint="eastAsia" w:ascii="Times New Roman" w:hAnsi="Times New Roman"/>
          <w:lang w:val="en-US" w:eastAsia="zh-CN"/>
        </w:rPr>
      </w:pPr>
      <w:r>
        <w:rPr>
          <w:rStyle w:val="7"/>
          <w:rFonts w:hint="eastAsia"/>
          <w:lang w:val="en-US" w:eastAsia="zh-CN"/>
        </w:rPr>
        <w:t>1.</w:t>
      </w:r>
      <w:r>
        <w:rPr>
          <w:rStyle w:val="7"/>
        </w:rPr>
        <w:t>去除三环骨架</w:t>
      </w:r>
      <w:r>
        <w:t>： 右美沙芬的结构中，最显著的部分是其三环骨架，该骨架与阿片类药物具有一定的相似性，并与其sigma</w:t>
      </w:r>
      <w:r>
        <w:rPr>
          <w:rFonts w:hint="eastAsia"/>
          <w:lang w:val="en-US" w:eastAsia="zh-CN"/>
        </w:rPr>
        <w:t>阿片</w:t>
      </w:r>
      <w:r>
        <w:t>受体、NMDA受体和血清素转运体的</w:t>
      </w:r>
      <w:r>
        <w:rPr>
          <w:rFonts w:hint="default" w:eastAsia="宋体"/>
          <w:lang w:val="en-US" w:eastAsia="zh-CN"/>
        </w:rPr>
        <w:t>结合有关。为了简化分子并改变受体亲和性，首先需要去除右美沙芬的三环结构，</w:t>
      </w:r>
      <w:r>
        <w:t>只保留基苯基环和哌啶环。</w:t>
      </w:r>
    </w:p>
    <w:p w14:paraId="4F9689E5">
      <w:pPr>
        <w:pStyle w:val="4"/>
        <w:keepNext w:val="0"/>
        <w:keepLines w:val="0"/>
        <w:widowControl/>
        <w:suppressLineNumbers w:val="0"/>
        <w:rPr>
          <w:rFonts w:hint="eastAsia"/>
          <w:lang w:eastAsia="zh-CN"/>
        </w:rPr>
      </w:pPr>
      <w:r>
        <w:rPr>
          <w:rStyle w:val="7"/>
          <w:rFonts w:hint="eastAsia" w:ascii="Times New Roman" w:hAnsi="Times New Roman"/>
          <w:lang w:val="en-US" w:eastAsia="zh-CN"/>
        </w:rPr>
        <w:t>2.将甲氧基修饰为三氟甲基：</w:t>
      </w:r>
      <w:r>
        <w:t>在右美沙芬的结构中，甲氧基（-OCH₃）是一个重要的取代基，影响其药理活性和生物分布。本研究旨在探讨将甲氧基改为三氟甲基（-CF₃）以提高化合物的亲脂性和生物利用度的影响。三氟甲基具有较强的疏水性，可能增强化合物在脂质环境中的溶解性。通过增强亲脂性，改善化合物的细胞膜穿透能力，</w:t>
      </w:r>
      <w:r>
        <w:rPr>
          <w:rFonts w:hint="eastAsia"/>
          <w:lang w:val="en-US" w:eastAsia="zh-CN"/>
        </w:rPr>
        <w:t>更有利于通过血脑屏障，</w:t>
      </w:r>
      <w:r>
        <w:t>从而提高其生物利用度</w:t>
      </w:r>
      <w:r>
        <w:rPr>
          <w:rFonts w:hint="eastAsia"/>
          <w:lang w:eastAsia="zh-CN"/>
        </w:rPr>
        <w:t>。</w:t>
      </w:r>
    </w:p>
    <w:p w14:paraId="3CD47432">
      <w:pPr>
        <w:pStyle w:val="4"/>
        <w:keepNext w:val="0"/>
        <w:keepLines w:val="0"/>
        <w:widowControl/>
        <w:suppressLineNumbers w:val="0"/>
      </w:pPr>
      <w:r>
        <w:rPr>
          <w:rStyle w:val="7"/>
          <w:rFonts w:hint="eastAsia" w:ascii="Times New Roman" w:hAnsi="Times New Roman"/>
          <w:lang w:val="en-US" w:eastAsia="zh-CN"/>
        </w:rPr>
        <w:t>3.将N取代甲基修饰为苯乙基：</w:t>
      </w:r>
      <w:r>
        <w:t>右美沙芬的N取代甲基对其药理特性具有重要影响。通过将N取代的甲基改为苯乙基，旨在探索其对药物活性及靶点亲和力的影响。苯乙基的引入可能通过增加分子的体积和极性，增强与生物靶点的相互作用</w:t>
      </w:r>
      <w:r>
        <w:rPr>
          <w:rFonts w:hint="eastAsia"/>
          <w:lang w:eastAsia="zh-CN"/>
        </w:rPr>
        <w:t>，</w:t>
      </w:r>
      <w:r>
        <w:rPr>
          <w:rFonts w:ascii="宋体" w:hAnsi="宋体" w:eastAsia="宋体" w:cs="宋体"/>
          <w:sz w:val="24"/>
          <w:szCs w:val="24"/>
        </w:rPr>
        <w:t>有望提高分子的空间适配性和靶点选择性，特别是在G蛋白偶联受体（GPCRs）中的亲和力</w:t>
      </w:r>
      <w:r>
        <w:t>苯乙基取代基可能改变化合物的构象，从而提高其在特定靶点的选择性和活性</w:t>
      </w:r>
    </w:p>
    <w:p w14:paraId="0812AA96">
      <w:pPr>
        <w:pStyle w:val="2"/>
        <w:keepNext w:val="0"/>
        <w:keepLines w:val="0"/>
        <w:widowControl/>
        <w:suppressLineNumbers w:val="0"/>
        <w:rPr>
          <w:rFonts w:hint="default"/>
          <w:lang w:val="en-US" w:eastAsia="zh-CN"/>
        </w:rPr>
      </w:pPr>
      <w:r>
        <w:rPr>
          <w:rFonts w:hint="eastAsia"/>
          <w:lang w:val="en-US" w:eastAsia="zh-CN"/>
        </w:rPr>
        <w:t>3.预测结果分析</w:t>
      </w:r>
    </w:p>
    <w:p w14:paraId="5E3F0D5F">
      <w:pPr>
        <w:pStyle w:val="2"/>
        <w:keepNext w:val="0"/>
        <w:keepLines w:val="0"/>
        <w:widowControl/>
        <w:suppressLineNumbers w:val="0"/>
        <w:rPr>
          <w:sz w:val="24"/>
          <w:szCs w:val="24"/>
        </w:rPr>
      </w:pPr>
      <w:r>
        <w:rPr>
          <w:sz w:val="24"/>
          <w:szCs w:val="24"/>
        </w:rPr>
        <w:t>3.</w:t>
      </w:r>
      <w:r>
        <w:rPr>
          <w:rFonts w:hint="eastAsia"/>
          <w:sz w:val="24"/>
          <w:szCs w:val="24"/>
          <w:lang w:val="en-US" w:eastAsia="zh-CN"/>
        </w:rPr>
        <w:t>1.</w:t>
      </w:r>
      <w:r>
        <w:rPr>
          <w:rStyle w:val="7"/>
          <w:rFonts w:hint="eastAsia" w:ascii="宋体" w:hAnsi="宋体" w:eastAsia="宋体" w:cs="宋体"/>
          <w:b/>
          <w:sz w:val="24"/>
          <w:szCs w:val="24"/>
        </w:rPr>
        <w:t>1-(2-phenylethyl)-4-[3-(trifluoromethyl)phenyl]piperidine</w:t>
      </w:r>
    </w:p>
    <w:p w14:paraId="6F5AFE37">
      <w:pPr>
        <w:pStyle w:val="2"/>
        <w:keepNext w:val="0"/>
        <w:keepLines w:val="0"/>
        <w:widowControl/>
        <w:suppressLineNumbers w:val="0"/>
        <w:rPr>
          <w:rFonts w:hint="eastAsia"/>
          <w:sz w:val="24"/>
          <w:szCs w:val="24"/>
          <w:lang w:val="en-US" w:eastAsia="zh-CN"/>
        </w:rPr>
      </w:pPr>
      <w:r>
        <w:rPr>
          <w:sz w:val="24"/>
          <w:szCs w:val="24"/>
        </w:rPr>
        <w:t>的</w:t>
      </w:r>
      <w:r>
        <w:rPr>
          <w:rFonts w:hint="eastAsia"/>
          <w:sz w:val="24"/>
          <w:szCs w:val="24"/>
          <w:lang w:val="en-US" w:eastAsia="zh-CN"/>
        </w:rPr>
        <w:t>物化性质，药代动力学预测</w:t>
      </w:r>
    </w:p>
    <w:p w14:paraId="0ABC55D2">
      <w:pPr>
        <w:rPr>
          <w:rFonts w:hint="eastAsia"/>
          <w:lang w:val="en-US" w:eastAsia="zh-CN"/>
        </w:rPr>
      </w:pPr>
      <w:r>
        <w:rPr>
          <w:rFonts w:ascii="宋体" w:hAnsi="宋体" w:eastAsia="宋体" w:cs="宋体"/>
          <w:sz w:val="24"/>
          <w:szCs w:val="24"/>
        </w:rPr>
        <w:t>使用SwissADME对新化合物的物化性质、亲脂性、水溶性和药代动力学特征进行了分析，评估其药物开发潜力。主要关注参数包括Log P值、水溶性、GI吸收、血脑屏障穿透性（BBB）、P-gp底物属性以及CYP450酶的抑制作用等。</w:t>
      </w:r>
    </w:p>
    <w:p w14:paraId="5CC32820">
      <w:pPr>
        <w:rPr>
          <w:rFonts w:hint="eastAsia"/>
          <w:lang w:eastAsia="zh-CN"/>
        </w:rPr>
      </w:pPr>
    </w:p>
    <w:p w14:paraId="6AD2B22B">
      <w:pPr>
        <w:pStyle w:val="4"/>
        <w:keepNext w:val="0"/>
        <w:keepLines w:val="0"/>
        <w:widowControl/>
        <w:suppressLineNumbers w:val="0"/>
      </w:pPr>
      <w:r>
        <w:rPr>
          <w:rFonts w:ascii="宋体" w:hAnsi="宋体" w:eastAsia="宋体" w:cs="宋体"/>
          <w:sz w:val="24"/>
          <w:szCs w:val="24"/>
        </w:rPr>
        <w:drawing>
          <wp:inline distT="0" distB="0" distL="114300" distR="114300">
            <wp:extent cx="2616200" cy="1986280"/>
            <wp:effectExtent l="0" t="0" r="5080" b="10160"/>
            <wp:docPr id="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56"/>
                    <pic:cNvPicPr>
                      <a:picLocks noChangeAspect="1"/>
                    </pic:cNvPicPr>
                  </pic:nvPicPr>
                  <pic:blipFill>
                    <a:blip r:embed="rId5"/>
                    <a:stretch>
                      <a:fillRect/>
                    </a:stretch>
                  </pic:blipFill>
                  <pic:spPr>
                    <a:xfrm>
                      <a:off x="0" y="0"/>
                      <a:ext cx="2616200" cy="1986280"/>
                    </a:xfrm>
                    <a:prstGeom prst="rect">
                      <a:avLst/>
                    </a:prstGeom>
                    <a:noFill/>
                    <a:ln w="9525">
                      <a:noFill/>
                    </a:ln>
                  </pic:spPr>
                </pic:pic>
              </a:graphicData>
            </a:graphic>
          </wp:inline>
        </w:drawing>
      </w:r>
      <w:r>
        <w:drawing>
          <wp:inline distT="0" distB="0" distL="114300" distR="114300">
            <wp:extent cx="2527935" cy="1961515"/>
            <wp:effectExtent l="0" t="0" r="1905" b="4445"/>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pic:cNvPicPr>
                  </pic:nvPicPr>
                  <pic:blipFill>
                    <a:blip r:embed="rId6"/>
                    <a:stretch>
                      <a:fillRect/>
                    </a:stretch>
                  </pic:blipFill>
                  <pic:spPr>
                    <a:xfrm>
                      <a:off x="0" y="0"/>
                      <a:ext cx="2527935" cy="1961515"/>
                    </a:xfrm>
                    <a:prstGeom prst="rect">
                      <a:avLst/>
                    </a:prstGeom>
                    <a:noFill/>
                    <a:ln>
                      <a:noFill/>
                    </a:ln>
                  </pic:spPr>
                </pic:pic>
              </a:graphicData>
            </a:graphic>
          </wp:inline>
        </w:drawing>
      </w:r>
    </w:p>
    <w:p w14:paraId="5EE6924B">
      <w:pPr>
        <w:pStyle w:val="4"/>
        <w:keepNext w:val="0"/>
        <w:keepLines w:val="0"/>
        <w:widowControl/>
        <w:suppressLineNumbers w:val="0"/>
      </w:pPr>
      <w:r>
        <w:t>1-(2-Phenylethyl)-4-[3-(trifluoromethyl)phenyl]piperidine的计算结果表明：</w:t>
      </w:r>
    </w:p>
    <w:p w14:paraId="2F38F31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分子量</w:t>
      </w:r>
      <w:r>
        <w:t>：333.39 g/mol，符合Lipinski规则。</w:t>
      </w:r>
    </w:p>
    <w:p w14:paraId="1632581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Log P</w:t>
      </w:r>
      <w:r>
        <w:t>：共识Log P值为5.08，显示出高亲</w:t>
      </w:r>
      <w:bookmarkStart w:id="0" w:name="_GoBack"/>
      <w:bookmarkEnd w:id="0"/>
      <w:r>
        <w:t>脂性，这将有助于血脑屏障的穿透。</w:t>
      </w:r>
    </w:p>
    <w:p w14:paraId="7266A1D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水溶性</w:t>
      </w:r>
      <w:r>
        <w:t>：溶解性低，预计在水溶性方面存在挑战，但可通过制剂改良提高。</w:t>
      </w:r>
    </w:p>
    <w:p w14:paraId="4E4A6F0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GI吸收</w:t>
      </w:r>
      <w:r>
        <w:t>：预测显示GI吸收较低，表明口服吸收可能受限。</w:t>
      </w:r>
    </w:p>
    <w:p w14:paraId="0231FEA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CYP450酶抑制</w:t>
      </w:r>
      <w:r>
        <w:t>：该化合物对CYP1A2和CYP2D6有抑制作用，可能与其他药物发生相互作用。</w:t>
      </w:r>
    </w:p>
    <w:p w14:paraId="37CA390C">
      <w:pPr>
        <w:pStyle w:val="2"/>
        <w:keepNext w:val="0"/>
        <w:keepLines w:val="0"/>
        <w:widowControl/>
        <w:suppressLineNumbers w:val="0"/>
        <w:rPr>
          <w:sz w:val="24"/>
          <w:szCs w:val="24"/>
        </w:rPr>
      </w:pPr>
      <w:r>
        <w:rPr>
          <w:rFonts w:hint="eastAsia"/>
          <w:sz w:val="24"/>
          <w:szCs w:val="24"/>
          <w:lang w:val="en-US" w:eastAsia="zh-CN"/>
        </w:rPr>
        <w:t>3</w:t>
      </w:r>
      <w:r>
        <w:rPr>
          <w:sz w:val="24"/>
          <w:szCs w:val="24"/>
        </w:rPr>
        <w:t>.</w:t>
      </w:r>
      <w:r>
        <w:rPr>
          <w:rFonts w:hint="eastAsia"/>
          <w:sz w:val="24"/>
          <w:szCs w:val="24"/>
          <w:lang w:val="en-US" w:eastAsia="zh-CN"/>
        </w:rPr>
        <w:t>2.</w:t>
      </w:r>
      <w:r>
        <w:rPr>
          <w:rFonts w:hint="eastAsia"/>
          <w:sz w:val="24"/>
          <w:szCs w:val="24"/>
        </w:rPr>
        <w:t>1-(2-phenylethyl)-4-[3-(trifluoromethyl)phenyl]piperidine</w:t>
      </w:r>
    </w:p>
    <w:p w14:paraId="79884DCC">
      <w:pPr>
        <w:pStyle w:val="2"/>
        <w:keepNext w:val="0"/>
        <w:keepLines w:val="0"/>
        <w:widowControl/>
        <w:suppressLineNumbers w:val="0"/>
        <w:rPr>
          <w:rFonts w:hint="eastAsia"/>
          <w:sz w:val="24"/>
          <w:szCs w:val="24"/>
          <w:lang w:val="en-US" w:eastAsia="zh-CN"/>
        </w:rPr>
      </w:pPr>
      <w:r>
        <w:rPr>
          <w:sz w:val="24"/>
          <w:szCs w:val="24"/>
        </w:rPr>
        <w:t>的</w:t>
      </w:r>
      <w:r>
        <w:rPr>
          <w:rFonts w:hint="eastAsia"/>
          <w:sz w:val="24"/>
          <w:szCs w:val="24"/>
          <w:lang w:val="en-US" w:eastAsia="zh-CN"/>
        </w:rPr>
        <w:t>受体亲和力预测</w:t>
      </w:r>
    </w:p>
    <w:p w14:paraId="5CB2B819">
      <w:pPr>
        <w:rPr>
          <w:rFonts w:hint="eastAsia"/>
          <w:lang w:val="en-US" w:eastAsia="zh-CN"/>
        </w:rPr>
      </w:pPr>
      <w:r>
        <w:rPr>
          <w:rFonts w:ascii="宋体" w:hAnsi="宋体" w:eastAsia="宋体" w:cs="宋体"/>
          <w:sz w:val="24"/>
          <w:szCs w:val="24"/>
        </w:rPr>
        <w:t>在目标类别的分布图中，显示了该化合物对各类受体的潜在亲和性，其中大多数为膜受体 (40%) 和家族A G蛋白偶联受体 (20%)。从以上数据可以看出，1-(2-Phenylethyl)-4-[3-(trifluoromethyl)phenyl]piperidine可能具有多靶点活性，特别是对sigma受体、D2受体和5-HT2C受体的亲和性较高。这表明该化合物可能具有多重神经调节作用，潜在用于治疗相关的神经和精神系统疾病。</w:t>
      </w:r>
    </w:p>
    <w:p w14:paraId="3CDF0C73">
      <w:pPr>
        <w:rPr>
          <w:rFonts w:ascii="宋体" w:hAnsi="宋体" w:eastAsia="宋体" w:cs="宋体"/>
          <w:sz w:val="24"/>
          <w:szCs w:val="24"/>
        </w:rPr>
      </w:pPr>
      <w:r>
        <w:rPr>
          <w:rFonts w:ascii="宋体" w:hAnsi="宋体" w:eastAsia="宋体" w:cs="宋体"/>
          <w:sz w:val="24"/>
          <w:szCs w:val="24"/>
        </w:rPr>
        <w:drawing>
          <wp:inline distT="0" distB="0" distL="114300" distR="114300">
            <wp:extent cx="5234940" cy="3552190"/>
            <wp:effectExtent l="0" t="0" r="7620" b="13970"/>
            <wp:docPr id="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56"/>
                    <pic:cNvPicPr>
                      <a:picLocks noChangeAspect="1"/>
                    </pic:cNvPicPr>
                  </pic:nvPicPr>
                  <pic:blipFill>
                    <a:blip r:embed="rId7"/>
                    <a:stretch>
                      <a:fillRect/>
                    </a:stretch>
                  </pic:blipFill>
                  <pic:spPr>
                    <a:xfrm>
                      <a:off x="0" y="0"/>
                      <a:ext cx="5234940" cy="3552190"/>
                    </a:xfrm>
                    <a:prstGeom prst="rect">
                      <a:avLst/>
                    </a:prstGeom>
                    <a:noFill/>
                    <a:ln w="9525">
                      <a:noFill/>
                    </a:ln>
                  </pic:spPr>
                </pic:pic>
              </a:graphicData>
            </a:graphic>
          </wp:inline>
        </w:drawing>
      </w:r>
    </w:p>
    <w:p w14:paraId="53175403">
      <w:pPr>
        <w:pStyle w:val="4"/>
        <w:keepNext w:val="0"/>
        <w:keepLines w:val="0"/>
        <w:widowControl/>
        <w:suppressLineNumbers w:val="0"/>
      </w:pPr>
      <w:r>
        <w:t>根据SwissTargetPrediction的靶点预测结果，1-(2-Phenylethyl)-4-[3-(trifluoromethyl)phenyl]piperidine在以下靶点上具有较高的亲和性：</w:t>
      </w:r>
    </w:p>
    <w:p w14:paraId="4C808582">
      <w:pPr>
        <w:pStyle w:val="4"/>
        <w:keepNext w:val="0"/>
        <w:keepLines w:val="0"/>
        <w:widowControl/>
        <w:suppressLineNumbers w:val="0"/>
        <w:rPr>
          <w:rFonts w:hint="eastAsia" w:eastAsia="宋体"/>
          <w:lang w:val="en-US" w:eastAsia="zh-CN"/>
        </w:rPr>
      </w:pPr>
      <w:r>
        <w:rPr>
          <w:rStyle w:val="7"/>
        </w:rPr>
        <w:t>Sigma受体（SIGMAR1）</w:t>
      </w:r>
      <w:r>
        <w:t>：此受体与抗抑郁、抗焦虑、抗炎和神经保护等多种作用相关。新化合物显示出较高的Sigma受体亲和性，可能在情绪调节和神经保护方面具有潜在的药理作用。</w:t>
      </w:r>
    </w:p>
    <w:p w14:paraId="79EEBECF">
      <w:pPr>
        <w:pStyle w:val="4"/>
        <w:keepNext w:val="0"/>
        <w:keepLines w:val="0"/>
        <w:widowControl/>
        <w:suppressLineNumbers w:val="0"/>
      </w:pPr>
      <w:r>
        <w:rPr>
          <w:rStyle w:val="7"/>
        </w:rPr>
        <w:t>多巴胺D2受体（DRD2）</w:t>
      </w:r>
      <w:r>
        <w:t>：D2受体在精神分裂症和其他精神疾病的治疗中具有重要作用。新化合物对D2受体的亲和性提示其可能具有抗精神病作用，并可能减少右美沙芬在成瘾性方面的风险。</w:t>
      </w:r>
    </w:p>
    <w:p w14:paraId="6A936E5C">
      <w:pPr>
        <w:pStyle w:val="4"/>
        <w:keepNext w:val="0"/>
        <w:keepLines w:val="0"/>
        <w:widowControl/>
        <w:numPr>
          <w:ilvl w:val="0"/>
          <w:numId w:val="1"/>
        </w:numPr>
        <w:suppressLineNumbers w:val="0"/>
      </w:pPr>
      <w:r>
        <w:rPr>
          <w:rStyle w:val="7"/>
        </w:rPr>
        <w:t>HT2C受体（HTR2C）</w:t>
      </w:r>
      <w:r>
        <w:t>：5-HT2C受体在调节情绪和食欲方面起重要作用。对该受体的亲和性表明新化合物可能在抗抑郁、抗焦虑以及体重管理中具有潜力。</w:t>
      </w:r>
    </w:p>
    <w:p w14:paraId="3DBC477F">
      <w:pPr>
        <w:pStyle w:val="4"/>
        <w:keepNext w:val="0"/>
        <w:keepLines w:val="0"/>
        <w:widowControl/>
        <w:numPr>
          <w:ilvl w:val="0"/>
          <w:numId w:val="0"/>
        </w:numPr>
        <w:suppressLineNumbers w:val="0"/>
        <w:ind w:right="0" w:rightChars="0"/>
      </w:pPr>
      <w:r>
        <w:t>这些靶点的作用机制和高亲和性表明1-(2-Phenylethyl)-4-[3-(trifluoromethyl)phenyl]piperidine可能具备神经调节和抗抑郁的潜力，适合进一步开发用于神经精神疾病的治疗。</w:t>
      </w:r>
    </w:p>
    <w:p w14:paraId="1421228E">
      <w:pPr>
        <w:pStyle w:val="2"/>
        <w:keepNext w:val="0"/>
        <w:keepLines w:val="0"/>
        <w:widowControl/>
        <w:suppressLineNumbers w:val="0"/>
        <w:rPr>
          <w:rFonts w:hint="eastAsia"/>
          <w:lang w:val="en-US" w:eastAsia="zh-CN"/>
        </w:rPr>
      </w:pPr>
      <w:r>
        <w:rPr>
          <w:rFonts w:hint="eastAsia"/>
          <w:lang w:val="en-US" w:eastAsia="zh-CN"/>
        </w:rPr>
        <w:t>结论</w:t>
      </w:r>
    </w:p>
    <w:p w14:paraId="76027A57">
      <w:pPr>
        <w:pStyle w:val="2"/>
        <w:keepNext w:val="0"/>
        <w:keepLines w:val="0"/>
        <w:widowControl/>
        <w:suppressLineNumbers w:val="0"/>
      </w:pPr>
      <w:r>
        <w:rPr>
          <w:rFonts w:ascii="宋体" w:hAnsi="宋体" w:eastAsia="宋体" w:cs="宋体"/>
          <w:sz w:val="24"/>
          <w:szCs w:val="24"/>
        </w:rPr>
        <w:t>右美沙芬的受体活性涉及多个神经递质系统，涵盖了</w:t>
      </w:r>
      <w:r>
        <w:rPr>
          <w:rStyle w:val="7"/>
          <w:rFonts w:ascii="宋体" w:hAnsi="宋体" w:eastAsia="宋体" w:cs="宋体"/>
          <w:b/>
          <w:sz w:val="24"/>
          <w:szCs w:val="24"/>
        </w:rPr>
        <w:t>NMDA受体拮抗</w:t>
      </w:r>
      <w:r>
        <w:rPr>
          <w:rFonts w:ascii="宋体" w:hAnsi="宋体" w:eastAsia="宋体" w:cs="宋体"/>
          <w:sz w:val="24"/>
          <w:szCs w:val="24"/>
        </w:rPr>
        <w:t>、</w:t>
      </w:r>
      <w:r>
        <w:rPr>
          <w:rStyle w:val="7"/>
          <w:rFonts w:ascii="宋体" w:hAnsi="宋体" w:eastAsia="宋体" w:cs="宋体"/>
          <w:b/>
          <w:sz w:val="24"/>
          <w:szCs w:val="24"/>
        </w:rPr>
        <w:t>血清素转运体抑制</w:t>
      </w:r>
      <w:r>
        <w:rPr>
          <w:rFonts w:ascii="宋体" w:hAnsi="宋体" w:eastAsia="宋体" w:cs="宋体"/>
          <w:sz w:val="24"/>
          <w:szCs w:val="24"/>
        </w:rPr>
        <w:t>、</w:t>
      </w:r>
      <w:r>
        <w:rPr>
          <w:rStyle w:val="7"/>
          <w:rFonts w:ascii="宋体" w:hAnsi="宋体" w:eastAsia="宋体" w:cs="宋体"/>
          <w:b/>
          <w:sz w:val="24"/>
          <w:szCs w:val="24"/>
        </w:rPr>
        <w:t>sigma-1受体激动</w:t>
      </w:r>
      <w:r>
        <w:rPr>
          <w:rFonts w:ascii="宋体" w:hAnsi="宋体" w:eastAsia="宋体" w:cs="宋体"/>
          <w:sz w:val="24"/>
          <w:szCs w:val="24"/>
        </w:rPr>
        <w:t>、</w:t>
      </w:r>
      <w:r>
        <w:rPr>
          <w:rStyle w:val="7"/>
          <w:rFonts w:ascii="宋体" w:hAnsi="宋体" w:eastAsia="宋体" w:cs="宋体"/>
          <w:b/>
          <w:sz w:val="24"/>
          <w:szCs w:val="24"/>
        </w:rPr>
        <w:t>多巴胺D2受体部分激动</w:t>
      </w:r>
      <w:r>
        <w:rPr>
          <w:rFonts w:ascii="宋体" w:hAnsi="宋体" w:eastAsia="宋体" w:cs="宋体"/>
          <w:sz w:val="24"/>
          <w:szCs w:val="24"/>
        </w:rPr>
        <w:t>等作用。这些广泛的受体活性赋予了右美沙芬不仅作为镇咳药的功能，还使其具备潜在的</w:t>
      </w:r>
      <w:r>
        <w:rPr>
          <w:rStyle w:val="7"/>
          <w:rFonts w:ascii="宋体" w:hAnsi="宋体" w:eastAsia="宋体" w:cs="宋体"/>
          <w:b/>
          <w:sz w:val="24"/>
          <w:szCs w:val="24"/>
        </w:rPr>
        <w:t>抗抑郁、抗精神病</w:t>
      </w:r>
      <w:r>
        <w:rPr>
          <w:rFonts w:ascii="宋体" w:hAnsi="宋体" w:eastAsia="宋体" w:cs="宋体"/>
          <w:sz w:val="24"/>
          <w:szCs w:val="24"/>
        </w:rPr>
        <w:t>和</w:t>
      </w:r>
      <w:r>
        <w:rPr>
          <w:rStyle w:val="7"/>
          <w:rFonts w:ascii="宋体" w:hAnsi="宋体" w:eastAsia="宋体" w:cs="宋体"/>
          <w:b/>
          <w:sz w:val="24"/>
          <w:szCs w:val="24"/>
        </w:rPr>
        <w:t>神经保护</w:t>
      </w:r>
      <w:r>
        <w:rPr>
          <w:rFonts w:ascii="宋体" w:hAnsi="宋体" w:eastAsia="宋体" w:cs="宋体"/>
          <w:sz w:val="24"/>
          <w:szCs w:val="24"/>
        </w:rPr>
        <w:t>作用。然而，在高剂量或滥用情况下，这些多重受体的激活也可能带来不良副作用，如</w:t>
      </w:r>
      <w:r>
        <w:rPr>
          <w:rStyle w:val="7"/>
          <w:rFonts w:ascii="宋体" w:hAnsi="宋体" w:eastAsia="宋体" w:cs="宋体"/>
          <w:b/>
          <w:sz w:val="24"/>
          <w:szCs w:val="24"/>
        </w:rPr>
        <w:t>精神错乱、欣快感</w:t>
      </w:r>
      <w:r>
        <w:rPr>
          <w:rFonts w:ascii="宋体" w:hAnsi="宋体" w:eastAsia="宋体" w:cs="宋体"/>
          <w:sz w:val="24"/>
          <w:szCs w:val="24"/>
        </w:rPr>
        <w:t>和</w:t>
      </w:r>
      <w:r>
        <w:rPr>
          <w:rStyle w:val="7"/>
          <w:rFonts w:ascii="宋体" w:hAnsi="宋体" w:eastAsia="宋体" w:cs="宋体"/>
          <w:b/>
          <w:sz w:val="24"/>
          <w:szCs w:val="24"/>
        </w:rPr>
        <w:t>血清素综合征</w:t>
      </w:r>
      <w:r>
        <w:rPr>
          <w:rFonts w:ascii="宋体" w:hAnsi="宋体" w:eastAsia="宋体" w:cs="宋体"/>
          <w:sz w:val="24"/>
          <w:szCs w:val="24"/>
        </w:rPr>
        <w:t>，需要谨慎使用</w:t>
      </w:r>
      <w:r>
        <w:rPr>
          <w:rFonts w:hint="eastAsia" w:ascii="宋体" w:hAnsi="宋体" w:cs="宋体"/>
          <w:sz w:val="24"/>
          <w:szCs w:val="24"/>
          <w:lang w:eastAsia="zh-CN"/>
        </w:rPr>
        <w:t>。</w:t>
      </w:r>
      <w:r>
        <w:rPr>
          <w:rFonts w:ascii="宋体" w:hAnsi="宋体" w:eastAsia="宋体" w:cs="宋体"/>
          <w:sz w:val="24"/>
          <w:szCs w:val="24"/>
        </w:rPr>
        <w:t>通过结构修饰，1-(2-Phenylethyl)-4-[3-(trifluoromethyl)phenyl]piperidine在药理学性质上表现出优异的靶点亲和性，尤其是对Sigma</w:t>
      </w:r>
      <w:r>
        <w:rPr>
          <w:rFonts w:hint="eastAsia" w:ascii="宋体" w:hAnsi="宋体" w:cs="宋体"/>
          <w:sz w:val="24"/>
          <w:szCs w:val="24"/>
          <w:lang w:val="en-US" w:eastAsia="zh-CN"/>
        </w:rPr>
        <w:t>阿片</w:t>
      </w:r>
      <w:r>
        <w:rPr>
          <w:rFonts w:ascii="宋体" w:hAnsi="宋体" w:eastAsia="宋体" w:cs="宋体"/>
          <w:sz w:val="24"/>
          <w:szCs w:val="24"/>
        </w:rPr>
        <w:t>受体、多巴胺D2受体和5-HT2C受体的高选择性，显示出潜在的神经调节作用和抗抑郁、抗精神病等治疗潜力。然而，该化合物在水溶性和代谢方面存在挑战，未来的研究应关注其体内代谢及制剂的优化，以提高其生物利用度和安全性。总体而言，本研究为右美沙芬衍生物在神经精神药物开发中的应用提供了新的思路。</w:t>
      </w:r>
    </w:p>
    <w:p w14:paraId="5FCF67BA">
      <w:pPr>
        <w:pStyle w:val="2"/>
        <w:keepNext w:val="0"/>
        <w:keepLines w:val="0"/>
        <w:widowControl/>
        <w:suppressLineNumbers w:val="0"/>
      </w:pPr>
      <w:r>
        <w:t>参考文献</w:t>
      </w:r>
    </w:p>
    <w:p w14:paraId="4C2E9A80">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Werling, L. L., Biggs, T. A., &amp; Geyer, M. A. (2007). Dextromethorphan as a</w:t>
      </w:r>
    </w:p>
    <w:p w14:paraId="471C946C">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potential neuroprotective agent with anti-glutamatergic and sigma receptor interactions. </w:t>
      </w:r>
      <w:r>
        <w:rPr>
          <w:rStyle w:val="8"/>
        </w:rPr>
        <w:t>Neuropharmacology</w:t>
      </w:r>
      <w:r>
        <w:t xml:space="preserve">, 53(4), 416-425. </w:t>
      </w:r>
      <w:r>
        <w:fldChar w:fldCharType="begin"/>
      </w:r>
      <w:r>
        <w:instrText xml:space="preserve"> HYPERLINK "https://doi.org/10.1016/j.neuropharm.2007.06.013" </w:instrText>
      </w:r>
      <w:r>
        <w:fldChar w:fldCharType="separate"/>
      </w:r>
      <w:r>
        <w:rPr>
          <w:rStyle w:val="9"/>
        </w:rPr>
        <w:t>https://doi.org/10.1016/j.neuropharm.2007.06.01</w:t>
      </w:r>
      <w:r>
        <w:rPr>
          <w:rStyle w:val="9"/>
          <w:rFonts w:hint="eastAsia"/>
          <w:lang w:val="en-US" w:eastAsia="zh-CN"/>
        </w:rPr>
        <w:t>3</w:t>
      </w:r>
      <w:r>
        <w:fldChar w:fldCharType="end"/>
      </w:r>
    </w:p>
    <w:p w14:paraId="55489E50">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Musacchio, J. M., Klein, M., &amp; Lal, H. (1989). Dextromethorphan and sigma receptors: Implications for psychotomimesis and neurotoxicity. </w:t>
      </w:r>
      <w:r>
        <w:rPr>
          <w:rStyle w:val="8"/>
        </w:rPr>
        <w:t>European Journal of Pharmacology</w:t>
      </w:r>
      <w:r>
        <w:t xml:space="preserve">, 163(2-3), 209-216. </w:t>
      </w:r>
      <w:r>
        <w:fldChar w:fldCharType="begin"/>
      </w:r>
      <w:r>
        <w:instrText xml:space="preserve"> HYPERLINK "https://doi.org/10.1016/0014-2999(89)90057-1" </w:instrText>
      </w:r>
      <w:r>
        <w:fldChar w:fldCharType="separate"/>
      </w:r>
      <w:r>
        <w:rPr>
          <w:rStyle w:val="9"/>
        </w:rPr>
        <w:t>https://doi.org/10.1016/0014-2999(89)90057-1</w:t>
      </w:r>
      <w:r>
        <w:fldChar w:fldCharType="end"/>
      </w:r>
    </w:p>
    <w:p w14:paraId="4F161F72">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Seeman, P. (2010). Dopamine D2 receptors as treatment targets in schizophrenia. </w:t>
      </w:r>
      <w:r>
        <w:rPr>
          <w:rStyle w:val="8"/>
        </w:rPr>
        <w:t>Clinical Schizophrenia &amp; Related Psychoses</w:t>
      </w:r>
      <w:r>
        <w:t xml:space="preserve">, 4(1), 56-73. </w:t>
      </w:r>
      <w:r>
        <w:fldChar w:fldCharType="begin"/>
      </w:r>
      <w:r>
        <w:instrText xml:space="preserve"> HYPERLINK "https://doi.org/10.3371/CSRP.4.1.8" </w:instrText>
      </w:r>
      <w:r>
        <w:fldChar w:fldCharType="separate"/>
      </w:r>
      <w:r>
        <w:rPr>
          <w:rStyle w:val="9"/>
        </w:rPr>
        <w:t>https://doi.org/10.3371/CSRP.4.1.</w:t>
      </w:r>
      <w:r>
        <w:rPr>
          <w:rStyle w:val="9"/>
          <w:rFonts w:hint="eastAsia"/>
          <w:lang w:val="en-US" w:eastAsia="zh-CN"/>
        </w:rPr>
        <w:t>8</w:t>
      </w:r>
      <w:r>
        <w:fldChar w:fldCharType="end"/>
      </w:r>
    </w:p>
    <w:p w14:paraId="5BF86E84">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Maurice, T., &amp; Su, T. P. (2009). The pharmacology of sigma-1 receptors. </w:t>
      </w:r>
      <w:r>
        <w:rPr>
          <w:rStyle w:val="8"/>
        </w:rPr>
        <w:t>Pharmacology &amp; Therapeutics</w:t>
      </w:r>
      <w:r>
        <w:t xml:space="preserve">, 124(2), 195-206. </w:t>
      </w:r>
      <w:r>
        <w:fldChar w:fldCharType="begin"/>
      </w:r>
      <w:r>
        <w:instrText xml:space="preserve"> HYPERLINK "https://doi.org/10.1016/j.pharmthera.2009.07.001" </w:instrText>
      </w:r>
      <w:r>
        <w:fldChar w:fldCharType="separate"/>
      </w:r>
      <w:r>
        <w:rPr>
          <w:rStyle w:val="9"/>
        </w:rPr>
        <w:t>https://doi.org/10.1016/j.pharmthera.2009.07.001</w:t>
      </w:r>
      <w:r>
        <w:fldChar w:fldCharType="end"/>
      </w:r>
    </w:p>
    <w:p w14:paraId="51EB21A3">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Hanner, M., Moebius, F. F., Flandorfer, A., Knaus, H. G., Striessnig, J., Kempner, E., &amp; Glossmann, H. (1996). Purification, molecular cloning, and expression of the mammalian sigma1-binding site. </w:t>
      </w:r>
      <w:r>
        <w:rPr>
          <w:rStyle w:val="8"/>
        </w:rPr>
        <w:t>Proceedings of the National Academy of Sciences</w:t>
      </w:r>
      <w:r>
        <w:t xml:space="preserve">, 93(15), 8072-8077. </w:t>
      </w:r>
      <w:r>
        <w:fldChar w:fldCharType="begin"/>
      </w:r>
      <w:r>
        <w:instrText xml:space="preserve"> HYPERLINK "https://doi.org/10.1073/pnas.93.15.8072" </w:instrText>
      </w:r>
      <w:r>
        <w:fldChar w:fldCharType="separate"/>
      </w:r>
      <w:r>
        <w:rPr>
          <w:rStyle w:val="9"/>
        </w:rPr>
        <w:t>https://doi.org/10.1073/pnas.93.15.8072</w:t>
      </w:r>
      <w:r>
        <w:fldChar w:fldCharType="end"/>
      </w:r>
    </w:p>
    <w:p w14:paraId="2D0E5596">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Kebabian, J. W., &amp; Calne, D. B. (1979). Multiple receptors for dopamine. </w:t>
      </w:r>
      <w:r>
        <w:rPr>
          <w:rStyle w:val="8"/>
        </w:rPr>
        <w:t>Nature</w:t>
      </w:r>
      <w:r>
        <w:t xml:space="preserve">, 277(5692), 93-96. </w:t>
      </w:r>
      <w:r>
        <w:fldChar w:fldCharType="begin"/>
      </w:r>
      <w:r>
        <w:instrText xml:space="preserve"> HYPERLINK "https://doi.org/10.1038/277093a0" </w:instrText>
      </w:r>
      <w:r>
        <w:fldChar w:fldCharType="separate"/>
      </w:r>
      <w:r>
        <w:rPr>
          <w:rStyle w:val="9"/>
        </w:rPr>
        <w:t>https://doi.org/10.1038/277093a0</w:t>
      </w:r>
      <w:r>
        <w:fldChar w:fldCharType="end"/>
      </w:r>
    </w:p>
    <w:p w14:paraId="5A329BBB">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Langston, J. W., Ballard, P., Tetrud, J. W., &amp; Irwin, I. (1983). Chronic parkinsonism in humans due to a product of meperidine-analog synthesis. </w:t>
      </w:r>
      <w:r>
        <w:rPr>
          <w:rStyle w:val="8"/>
        </w:rPr>
        <w:t>Science</w:t>
      </w:r>
      <w:r>
        <w:t xml:space="preserve">, 219(4587), 979-980. </w:t>
      </w:r>
      <w:r>
        <w:fldChar w:fldCharType="begin"/>
      </w:r>
      <w:r>
        <w:instrText xml:space="preserve"> HYPERLINK "https://doi.org/10.1126/science.6823561" </w:instrText>
      </w:r>
      <w:r>
        <w:fldChar w:fldCharType="separate"/>
      </w:r>
      <w:r>
        <w:rPr>
          <w:rStyle w:val="9"/>
        </w:rPr>
        <w:t>https://doi.org/10.1126/science.6823561</w:t>
      </w:r>
      <w:r>
        <w:fldChar w:fldCharType="end"/>
      </w:r>
    </w:p>
    <w:p w14:paraId="6EAA2796">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Nicklas, W. J., Vyas, I., &amp; Heikkila, R. E. (1985). MPTP, MPP+ and mitochondrial function. </w:t>
      </w:r>
      <w:r>
        <w:rPr>
          <w:rStyle w:val="8"/>
        </w:rPr>
        <w:t>Life Sciences</w:t>
      </w:r>
      <w:r>
        <w:t xml:space="preserve">, 36(26), 2503-2508. </w:t>
      </w:r>
      <w:r>
        <w:fldChar w:fldCharType="begin"/>
      </w:r>
      <w:r>
        <w:instrText xml:space="preserve"> HYPERLINK "https://doi.org/10.1016/0024-3205(85)90363-8" </w:instrText>
      </w:r>
      <w:r>
        <w:fldChar w:fldCharType="separate"/>
      </w:r>
      <w:r>
        <w:rPr>
          <w:rStyle w:val="9"/>
        </w:rPr>
        <w:t>https://doi.org/10.1016/0024-3205(85)90363-8</w:t>
      </w:r>
      <w:r>
        <w:fldChar w:fldCharType="end"/>
      </w:r>
    </w:p>
    <w:p w14:paraId="362C02C5">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Youdim, M. B. H., &amp; Bakhle, Y. S. (2006). Monoamine oxidase: Isoforms</w:t>
      </w:r>
    </w:p>
    <w:p w14:paraId="44FCF8BC">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1" w:hangingChars="150"/>
        <w:textAlignment w:val="auto"/>
      </w:pPr>
      <w:r>
        <w:rPr>
          <w:rStyle w:val="7"/>
        </w:rPr>
        <w:t>SwissADME</w:t>
      </w:r>
      <w:r>
        <w:t xml:space="preserve">: A tool for physicochemical, pharmacokinetic, drug-likeness and medicinal chemistry friendliness evaluation. </w:t>
      </w:r>
      <w:r>
        <w:rPr>
          <w:rStyle w:val="8"/>
        </w:rPr>
        <w:t>Scientific Reports</w:t>
      </w:r>
      <w:r>
        <w:t>, 2017.</w:t>
      </w:r>
    </w:p>
    <w:p w14:paraId="7BD56A29">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1" w:hangingChars="150"/>
        <w:textAlignment w:val="auto"/>
      </w:pPr>
      <w:r>
        <w:rPr>
          <w:rStyle w:val="7"/>
        </w:rPr>
        <w:t>SwissTargetPrediction</w:t>
      </w:r>
      <w:r>
        <w:t xml:space="preserve">: A tool for prediction of bioactivity and target identification of bioactive small molecules. </w:t>
      </w:r>
      <w:r>
        <w:rPr>
          <w:rStyle w:val="8"/>
        </w:rPr>
        <w:t>Nucleic Acids Research</w:t>
      </w:r>
      <w:r>
        <w:t>, 2018</w:t>
      </w:r>
      <w:r>
        <w:rPr>
          <w:rFonts w:hint="eastAsia"/>
          <w:lang w:val="en-US"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8EBC4"/>
    <w:multiLevelType w:val="singleLevel"/>
    <w:tmpl w:val="8738EBC4"/>
    <w:lvl w:ilvl="0" w:tentative="0">
      <w:start w:val="1"/>
      <w:numFmt w:val="decimal"/>
      <w:lvlText w:val="%1."/>
      <w:lvlJc w:val="left"/>
      <w:pPr>
        <w:tabs>
          <w:tab w:val="left" w:pos="312"/>
        </w:tabs>
      </w:pPr>
    </w:lvl>
  </w:abstractNum>
  <w:abstractNum w:abstractNumId="1">
    <w:nsid w:val="92167ACD"/>
    <w:multiLevelType w:val="singleLevel"/>
    <w:tmpl w:val="92167ACD"/>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3ZjNlZjRiNWM5YzRiZDdhMTZkNThkMGQ2OWM5NTkifQ=="/>
  </w:docVars>
  <w:rsids>
    <w:rsidRoot w:val="36B4486E"/>
    <w:rsid w:val="36B4486E"/>
    <w:rsid w:val="5266636F"/>
    <w:rsid w:val="62EA5256"/>
    <w:rsid w:val="78C2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customStyle="1" w:styleId="10">
    <w:name w:val="15"/>
    <w:basedOn w:val="6"/>
    <w:uiPriority w:val="0"/>
    <w:rPr>
      <w:rFonts w:hint="default" w:ascii="Times New Roman" w:hAnsi="Times New Roman" w:cs="Times New Roman"/>
      <w:b/>
    </w:rPr>
  </w:style>
  <w:style w:type="character" w:customStyle="1" w:styleId="11">
    <w:name w:val="10"/>
    <w:basedOn w:val="6"/>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3346</Words>
  <Characters>6097</Characters>
  <Lines>1</Lines>
  <Paragraphs>1</Paragraphs>
  <TotalTime>422</TotalTime>
  <ScaleCrop>false</ScaleCrop>
  <LinksUpToDate>false</LinksUpToDate>
  <CharactersWithSpaces>6334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2024-10-28T09:18:00Z</dcterms:created>
  <dc:creator>Benzyl_titanium</dc:creator>
  <cp:lastModifiedBy>Benzyl_titanium</cp:lastModifiedBy>
  <dcterms:modified xsi:type="dcterms:W3CDTF">2024-10-28T17:37:24Z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15429DF70DBE499FA1CC1356609877F0_11</vt:lpwstr>
  </property>
</Properties>
</file>