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3806E1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6096" w:type="dxa"/>
            <w:vAlign w:val="center"/>
          </w:tcPr>
          <w:p w:rsidR="005C34B4" w:rsidRDefault="00212121" w:rsidP="006A67DD">
            <w:r>
              <w:rPr>
                <w:rFonts w:hint="eastAsia"/>
              </w:rPr>
              <w:t xml:space="preserve">Javascript </w:t>
            </w:r>
            <w:r w:rsidR="00851077"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 w:rsidR="00851077"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함수 추가</w:t>
            </w:r>
          </w:p>
        </w:tc>
        <w:tc>
          <w:tcPr>
            <w:tcW w:w="1886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2019.04.24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6096" w:type="dxa"/>
            <w:vAlign w:val="center"/>
          </w:tcPr>
          <w:p w:rsidR="005C34B4" w:rsidRDefault="00110058" w:rsidP="006A67DD">
            <w:r>
              <w:rPr>
                <w:rFonts w:hint="eastAsia"/>
              </w:rPr>
              <w:t>복원형 지갑 관련 함수 추가</w:t>
            </w:r>
          </w:p>
        </w:tc>
        <w:tc>
          <w:tcPr>
            <w:tcW w:w="1886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2019.05.10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1.0.3</w:t>
            </w:r>
          </w:p>
        </w:tc>
        <w:tc>
          <w:tcPr>
            <w:tcW w:w="6096" w:type="dxa"/>
            <w:vAlign w:val="center"/>
          </w:tcPr>
          <w:p w:rsidR="005C34B4" w:rsidRDefault="003806E1" w:rsidP="006A67DD">
            <w:r>
              <w:rPr>
                <w:rFonts w:hint="eastAsia"/>
              </w:rPr>
              <w:t>인터페이스 제거 (MoaConfigurable)</w:t>
            </w:r>
          </w:p>
        </w:tc>
        <w:tc>
          <w:tcPr>
            <w:tcW w:w="1886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2019.05.28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EE4941" w:rsidRDefault="00EE4941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FA0680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Default="00FA0680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212121">
        <w:rPr>
          <w:rFonts w:hint="eastAsia"/>
        </w:rPr>
        <w:br/>
      </w:r>
    </w:p>
    <w:p w:rsidR="00212121" w:rsidRDefault="00212121" w:rsidP="00212121">
      <w:pPr>
        <w:pStyle w:val="a8"/>
        <w:numPr>
          <w:ilvl w:val="2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Asynchronous 방식</w:t>
      </w:r>
      <w:r>
        <w:br/>
      </w:r>
      <w:r>
        <w:rPr>
          <w:noProof/>
        </w:rPr>
        <w:drawing>
          <wp:inline distT="0" distB="0" distL="0" distR="0">
            <wp:extent cx="4697271" cy="1690577"/>
            <wp:effectExtent l="0" t="0" r="8079" b="0"/>
            <wp:docPr id="8" name="그림 8" descr="http://www.nextree.co.kr/content/images/2016/09/syhan_140320_node1_031-1024x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xtree.co.kr/content/images/2016/09/syhan_140320_node1_031-1024x36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3" cy="169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FF" w:rsidRDefault="00212121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하나의 요청 처리가 완료되기 전에 이후 처리에 대하여 제어권 전달</w:t>
      </w:r>
    </w:p>
    <w:p w:rsidR="00D041FF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병렬 처리</w:t>
      </w:r>
    </w:p>
    <w:p w:rsidR="00212121" w:rsidRPr="00C54394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Callback을 이용한 순차처리</w:t>
      </w:r>
      <w:r w:rsidR="00212121">
        <w:rPr>
          <w:rFonts w:hint="eastAsia"/>
        </w:rPr>
        <w:br/>
      </w:r>
    </w:p>
    <w:p w:rsidR="00212121" w:rsidRDefault="00212121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F47E51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338455</wp:posOffset>
            </wp:positionV>
            <wp:extent cx="4669790" cy="2115820"/>
            <wp:effectExtent l="19050" t="0" r="0" b="0"/>
            <wp:wrapSquare wrapText="bothSides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39446" cy="3096000"/>
                      <a:chOff x="1533277" y="2956154"/>
                      <a:chExt cx="6839446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1533277" y="2956154"/>
                        <a:ext cx="6839446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313336" y="3493839"/>
                        <a:ext cx="1655196" cy="2304000"/>
                        <a:chOff x="7284161" y="3492513"/>
                        <a:chExt cx="2052000" cy="2304000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13" name="양쪽 모서리가 둥근 사각형 12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MoaWallet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1912284" y="3495164"/>
                        <a:ext cx="1656000" cy="2304000"/>
                        <a:chOff x="7284161" y="3492513"/>
                        <a:chExt cx="2052000" cy="2304000"/>
                      </a:xfrm>
                      <a:solidFill>
                        <a:srgbClr val="00B050"/>
                      </a:solidFill>
                    </a:grpSpPr>
                    <a:sp>
                      <a:nvSpPr>
                        <a:cNvPr id="16" name="양쪽 모서리가 둥근 사각형 15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MoaECDSA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" name="오른쪽 화살표 19"/>
                      <a:cNvSpPr/>
                    </a:nvSpPr>
                    <a:spPr bwMode="auto">
                      <a:xfrm>
                        <a:off x="3315694" y="4079018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오른쪽 화살표 29"/>
                      <a:cNvSpPr/>
                    </a:nvSpPr>
                    <a:spPr bwMode="auto">
                      <a:xfrm rot="10800000">
                        <a:off x="3315694" y="4723073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오른쪽 화살표 30"/>
                      <a:cNvSpPr/>
                    </a:nvSpPr>
                    <a:spPr bwMode="auto">
                      <a:xfrm>
                        <a:off x="5677231" y="4389119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  <w:r>
        <w:rPr>
          <w:b/>
        </w:rPr>
        <w:br/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0B1591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D041FF" w:rsidRDefault="00D041FF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환경에서 Wallet 관련 기능 지원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Pr="001113A3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MoaBridge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Native와 Web 사이의 통신 지원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Builder</w:t>
            </w:r>
          </w:p>
        </w:tc>
      </w:tr>
      <w:tr w:rsidR="00D041FF" w:rsidTr="003806E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객체 생성 시, 인자 전달의 직관성 상승</w:t>
            </w:r>
          </w:p>
        </w:tc>
      </w:tr>
    </w:tbl>
    <w:tbl>
      <w:tblPr>
        <w:tblpPr w:leftFromText="142" w:rightFromText="142" w:vertAnchor="text" w:horzAnchor="margin" w:tblpY="8243"/>
        <w:tblW w:w="5000" w:type="pct"/>
        <w:tblCellMar>
          <w:left w:w="0" w:type="dxa"/>
          <w:right w:w="0" w:type="dxa"/>
        </w:tblCellMar>
        <w:tblLook w:val="04A0"/>
      </w:tblPr>
      <w:tblGrid>
        <w:gridCol w:w="1004"/>
        <w:gridCol w:w="8238"/>
      </w:tblGrid>
      <w:tr w:rsidR="000B1591" w:rsidTr="003806E1">
        <w:trPr>
          <w:trHeight w:val="421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3806E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MoaECDSAReceiver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ECDSA 관련 기능 완료 시 발생하는 Callback 관리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MoaWalletReceiver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전자 지갑 기능 완료 시 발생하는 Callback 관리</w:t>
            </w:r>
          </w:p>
        </w:tc>
      </w:tr>
    </w:tbl>
    <w:p w:rsidR="000B1591" w:rsidRDefault="000B1591" w:rsidP="000B1591">
      <w:pPr>
        <w:jc w:val="center"/>
      </w:pPr>
      <w:r>
        <w:br w:type="page"/>
      </w:r>
    </w:p>
    <w:p w:rsidR="00C44D43" w:rsidRDefault="00C44D43" w:rsidP="00A722C3">
      <w:pPr>
        <w:rPr>
          <w:b/>
        </w:rPr>
      </w:pPr>
      <w:r>
        <w:rPr>
          <w:rFonts w:hint="eastAsia"/>
          <w:b/>
        </w:rPr>
        <w:lastRenderedPageBreak/>
        <w:t xml:space="preserve">Class별 </w:t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API 설명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0D7B91" w:rsidTr="000D7B91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Builder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Builder(Context context)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빌더 생성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Conext context</w:t>
            </w:r>
          </w:p>
          <w:p w:rsidR="000D7B91" w:rsidRDefault="000D7B91" w:rsidP="00DA2A17">
            <w:pPr>
              <w:pStyle w:val="a8"/>
              <w:numPr>
                <w:ilvl w:val="3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context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Builder addWebView(WebView webView)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위해</w:t>
            </w:r>
            <w:r>
              <w:br/>
            </w:r>
            <w:r>
              <w:rPr>
                <w:rFonts w:hint="eastAsia"/>
              </w:rPr>
              <w:t>안드로이드에서 사용하는 WebView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Return (</w:t>
            </w:r>
            <w:r>
              <w:rPr>
                <w:rFonts w:hint="eastAsia"/>
              </w:rPr>
              <w:t>Builder</w:t>
            </w:r>
            <w:r w:rsidRPr="00DA2A17">
              <w:rPr>
                <w:rFonts w:hint="eastAsia"/>
              </w:rPr>
              <w:t>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addReceiver(MoaWalletReceiver receiver)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관련 실행 결과를 전달받기 위한 Receiver 등록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 receiver</w:t>
            </w:r>
          </w:p>
          <w:p w:rsidR="000D7B91" w:rsidRDefault="000D7B91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MoaWalletReceiver를 구현하고 있는 클래스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addType(String type)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또는 복원형 전자지갑 타입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type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또는 복원형 타입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(0x91)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(0x92)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 xml:space="preserve">Return </w:t>
            </w:r>
            <w:r>
              <w:rPr>
                <w:rFonts w:hint="eastAsia"/>
              </w:rPr>
              <w:t>(Builder)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MoaWalletHelper build()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MoaWalletHelper 객체 생성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(MoaWalletHelper)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MoaWalletHelper 객체</w:t>
            </w:r>
          </w:p>
        </w:tc>
      </w:tr>
    </w:tbl>
    <w:p w:rsidR="00DA2A17" w:rsidRDefault="00DA2A1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596939" w:rsidTr="00596939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  <w:r w:rsidR="000B1591">
              <w:br/>
            </w:r>
          </w:p>
          <w:p w:rsidR="000B1591" w:rsidRDefault="000B159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</w:t>
            </w:r>
            <w:r>
              <w:br/>
            </w:r>
            <w:r>
              <w:rPr>
                <w:rFonts w:hint="eastAsia"/>
              </w:rPr>
              <w:t>처리)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void generateInfo(String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생성에 사용될 Password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byte[] getSignedTransactionData(String transaction, 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 및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transaction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서명할 트랜젝션 데이터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서명에 필요한 Password</w:t>
            </w:r>
          </w:p>
          <w:p w:rsidR="00596939" w:rsidRPr="000B1591" w:rsidRDefault="00596939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(byte[])</w:t>
            </w:r>
          </w:p>
          <w:p w:rsidR="00596939" w:rsidRPr="000B1591" w:rsidRDefault="00596939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서명된 트랜젝션 데이터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PublicKey getPublicKey()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(PublicKey)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2810FA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boolean verifySignedTransactionData(String plainText, String signedData)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생성된 서명 검증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plainText</w:t>
            </w:r>
          </w:p>
          <w:p w:rsidR="00596939" w:rsidRPr="000B1591" w:rsidRDefault="00596939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서명을 생성할 때 사용된 데이터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signedData</w:t>
            </w:r>
          </w:p>
          <w:p w:rsidR="00596939" w:rsidRPr="000B1591" w:rsidRDefault="0014063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Base58</w:t>
            </w:r>
            <w:r w:rsidR="00596939" w:rsidRPr="000B1591">
              <w:rPr>
                <w:rFonts w:hint="eastAsia"/>
                <w:strike/>
              </w:rPr>
              <w:t>로 인코딩 된 서명값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(boolean)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 유효성 여부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0B1591" w:rsidTr="000B1591">
        <w:trPr>
          <w:cantSplit/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boolean exists()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 확인</w:t>
            </w:r>
          </w:p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String getContent()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5456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조회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추후, 지갑 정보 데이터별로 얻어오는 함수 구현 필요</w:t>
            </w:r>
          </w:p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</w:pPr>
            <w:r>
              <w:rPr>
                <w:rFonts w:hint="eastAsia"/>
              </w:rPr>
              <w:t>void createOrGenerateInfoByTypeJS(String password)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생성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(지갑 생성)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(지갑을 생성하기 위한 메시지 생성)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생성된 공개키 (Hex &gt; String)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void verifySignedTransactionDataJS(String plainText, String signedData)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생성된 서명 검증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0B1591" w:rsidRDefault="000B1591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Base58로 인코딩 된 서명값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A2A17" w:rsidTr="000B1591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0B1591">
            <w:pPr>
              <w:spacing w:line="280" w:lineRule="exact"/>
            </w:pPr>
            <w:r>
              <w:rPr>
                <w:rFonts w:hint="eastAsia"/>
              </w:rPr>
              <w:t>void createRestoreInfoJS(String password, String msg)</w:t>
            </w:r>
          </w:p>
        </w:tc>
      </w:tr>
      <w:tr w:rsidR="00DA2A17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복원형 지갑 생성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위한 메시지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(Prk $ Puk $ Salt 조합)</w:t>
            </w:r>
          </w:p>
        </w:tc>
      </w:tr>
      <w:tr w:rsidR="00DA2A17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byte[] hexStringToByteArray(String target)</w:t>
            </w:r>
          </w:p>
        </w:tc>
      </w:tr>
      <w:tr w:rsidR="00DA2A17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Array로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Array로 변환할 Hex String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Array</w:t>
            </w:r>
          </w:p>
        </w:tc>
      </w:tr>
      <w:tr w:rsidR="00DA2A17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String byteArrayToHexString(byte[] target)</w:t>
            </w:r>
          </w:p>
        </w:tc>
      </w:tr>
      <w:tr w:rsidR="00DA2A17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Array를 Hex String으로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String로 변환할 Byte Array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</w:tbl>
    <w:p w:rsidR="00D041FF" w:rsidRDefault="00D041FF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667"/>
        <w:gridCol w:w="7575"/>
      </w:tblGrid>
      <w:tr w:rsidR="000D7B91" w:rsidTr="003803A2">
        <w:trPr>
          <w:cantSplit/>
          <w:trHeight w:val="493"/>
        </w:trPr>
        <w:tc>
          <w:tcPr>
            <w:tcW w:w="902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304A20">
              <w:rPr>
                <w:rFonts w:hint="eastAsia"/>
              </w:rPr>
              <w:t>Wallet</w:t>
            </w:r>
            <w:r>
              <w:br/>
            </w:r>
          </w:p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 처리)</w:t>
            </w: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void generateInfo(String password)</w:t>
            </w:r>
          </w:p>
        </w:tc>
      </w:tr>
      <w:tr w:rsidR="000D7B91" w:rsidTr="003803A2">
        <w:trPr>
          <w:cantSplit/>
          <w:trHeight w:val="1134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정보 생성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개인키를 암호화하기 위한 Password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 generateSignedTransactionData(String transaction, String password)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트랜젝션 서명 데이터 생성 및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transaction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서명할 트랜젝션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 복호화에 필요한 Password 데이터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 데이터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boolean verifySignedData(String plainText, byte[] signedData)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생성된 서명 검증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plainText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서명을 생성할 때 사용된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signedData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Base58로 인코딩 된 서명값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(boolean)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 xml:space="preserve">서명 유효성 여부 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PublicKey getPublicKey()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(PublicKey)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byte[][] generateKeyPair()</w:t>
            </w:r>
          </w:p>
        </w:tc>
      </w:tr>
      <w:tr w:rsidR="000D7B91" w:rsidTr="000D7B91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주소 생성에 필요한 키 쌍 생성 (EC)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키 쌍 (개인키, 공개키)</w:t>
            </w:r>
          </w:p>
        </w:tc>
      </w:tr>
    </w:tbl>
    <w:p w:rsidR="000D7B91" w:rsidRDefault="000D7B91" w:rsidP="000D7B91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page" w:horzAnchor="margin" w:tblpY="1960"/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0D7B91" w:rsidTr="000D7B91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  <w:r>
              <w:br w:type="page"/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boolean verifyType(String type)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 유효성 검사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type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 유효성 검사 결과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initKeyStore()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TEE 영역을 사용하는 KeyStore 초기화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generateKey()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생성 (RSA)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setValuesInPreferences(String key, String value)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데이터 저장 (SharedPreferences)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저장할 Key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value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저장할 값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getValuesInPreferences(String key)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데이터 조회 (SharedPreferences)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조회할 Key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값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setWebView(WebView webView)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위한 WebView 설정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</w:tc>
      </w:tr>
    </w:tbl>
    <w:p w:rsidR="000D7B91" w:rsidRDefault="000D7B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</w:p>
          <w:p w:rsidR="003803A2" w:rsidRDefault="003803A2" w:rsidP="00140630">
            <w:pPr>
              <w:spacing w:line="280" w:lineRule="exact"/>
              <w:jc w:val="center"/>
            </w:pP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spacing w:line="280" w:lineRule="exact"/>
            </w:pPr>
            <w:r>
              <w:rPr>
                <w:rFonts w:hint="eastAsia"/>
              </w:rPr>
              <w:t>boolean existPreferences()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관련 데이터 존재 여부 확인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803A2" w:rsidRDefault="003803A2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데이터 존재 여부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void setRestoreInfo(String password, String msg)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Wallet 데이터 저장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위해 만든 메시지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void initProperties()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필요한 초기 환경설정 설정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byte[] getSalt()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 생성 및 조회</w:t>
            </w:r>
          </w:p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96939">
            <w:pPr>
              <w:spacing w:line="280" w:lineRule="exact"/>
            </w:pPr>
            <w:r>
              <w:rPr>
                <w:rFonts w:hint="eastAsia"/>
              </w:rPr>
              <w:t>byte[] generateDerivedKey(String psw)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psw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생성에 필요한 패스워드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값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getPBKDF2Data(int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PBKDF2를 바탕으로 AES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byte[] generateAddress(byte[] publicKey)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 및 조회 (이더리움 기반)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publicKey</w:t>
            </w:r>
          </w:p>
          <w:p w:rsidR="003803A2" w:rsidRDefault="003803A2" w:rsidP="004E4C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사용될 공개키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지갑 주소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spacing w:line="280" w:lineRule="exact"/>
            </w:pPr>
            <w:r>
              <w:rPr>
                <w:rFonts w:hint="eastAsia"/>
              </w:rPr>
              <w:t>String generateMACData(String salt, String password, String targetMacData)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및 조회</w:t>
            </w:r>
          </w:p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salt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Salt 값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Password 데이터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targetMacData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시 필요한 기본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getMergedByteArray(byte[] first, byte[] second)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두 byte 배열을 하나의 배열로 병합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first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첫 번째 byte 배열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second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두 번째 byte 배열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getRSAData(int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RSA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 w:rsidRPr="003803A2"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void setWalletPref(List&lt;String&gt; requiredDataForMAC)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관련 데이터를 Shared Preferences에 저장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List&lt;String&gt;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MAC을 생성할 때 필요한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boolean checkMACData(String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검사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체크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 여부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getDecryptedPrivateKey(String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암호화된 개인키 복호화 및 조회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복호화된 개인키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generateSignedData(String algorithm, PrivateKey privateKey, byte[] targetData)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데이터 생성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알고리즘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PrivateKey privateKey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개인키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 시 필요한 기본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hashDigest(String algorithmName, byte[] targetData)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해시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hmacDigest(String algorithmName, byte[] targetData, byte[] 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HMAC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키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</w:pPr>
            <w:r>
              <w:rPr>
                <w:rFonts w:hint="eastAsia"/>
              </w:rPr>
              <w:t>void setInfo(byte[][]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설정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개인키를 암호화하기 위한 Password 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</w:pPr>
            <w:r>
              <w:rPr>
                <w:rFonts w:hint="eastAsia"/>
              </w:rPr>
              <w:t>String generateRestoreDataFormat(byte[][]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 생성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byte[][] walletKeyPair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키 쌍 (개인키, 공개키)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byte[] hexStringToByteArray(String s)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배열로 변환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배열로 변환할 Hex String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String byteArrayToHexString(byte[] bytes)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배열을 Hex String으로 변환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String으로 변환할 byte 배열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generateInfoJS(String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정보 생성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verifySignedData(String plainText, byte[] signedData)</w:t>
            </w:r>
          </w:p>
        </w:tc>
      </w:tr>
      <w:tr w:rsidR="003803A2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생성된 서명 검증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Base58로 인코딩 된 서명값 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(Hex &gt; String)</w:t>
            </w:r>
          </w:p>
        </w:tc>
      </w:tr>
    </w:tbl>
    <w:p w:rsidR="00870843" w:rsidRDefault="00870843"/>
    <w:p w:rsidR="00870843" w:rsidRDefault="00870843"/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t>MoaECDSAReceiver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onSuccessKeyPair(String prk, String puk)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키 쌍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prk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개인키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puk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공개키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검증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결괏값</w:t>
            </w:r>
          </w:p>
        </w:tc>
      </w:tr>
    </w:tbl>
    <w:p w:rsidR="00110058" w:rsidRDefault="00110058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onCompleteWallet()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완료 시 UI로 Callback 호출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결괏값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onCompleteRestoreMsg(String msg)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메시지를 UI로 Callback 호출</w:t>
            </w:r>
          </w:p>
          <w:p w:rsidR="00110058" w:rsidRDefault="00110058" w:rsidP="0011005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</w:t>
            </w:r>
          </w:p>
        </w:tc>
      </w:tr>
    </w:tbl>
    <w:p w:rsidR="002328DB" w:rsidRDefault="002328DB">
      <w:r>
        <w:br w:type="page"/>
      </w:r>
    </w:p>
    <w:p w:rsidR="0038335D" w:rsidRDefault="00304A20" w:rsidP="0038335D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110058">
        <w:rPr>
          <w:rFonts w:hint="eastAsia"/>
          <w:b/>
          <w:sz w:val="24"/>
          <w:szCs w:val="24"/>
        </w:rPr>
        <w:t xml:space="preserve"> (복원형 기준)</w:t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110058" w:rsidP="0011005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.exists())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"생성된 지갑이 존재합니다."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.createOrGenerateInfoByTypeJS(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Pr="00110058" w:rsidRDefault="00110058" w:rsidP="00110058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onCompleteRestoreMsg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.createRestoreInfoJS(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Default="00110058" w:rsidP="00110058">
            <w:pPr>
              <w:pStyle w:val="HTML"/>
              <w:shd w:val="clear" w:color="auto" w:fill="2B2B2B"/>
              <w:rPr>
                <w:color w:val="BBB529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성공!"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 w:rsidR="00110058">
        <w:rPr>
          <w:noProof/>
        </w:rPr>
        <w:drawing>
          <wp:inline distT="0" distB="0" distL="0" distR="0">
            <wp:extent cx="2635222" cy="4680000"/>
            <wp:effectExtent l="1905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22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110058" w:rsidRDefault="00110058" w:rsidP="000831F7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.getSignedTransactionDataJS(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.getTransaction()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0831F7" w:rsidTr="00A11CAB">
        <w:tc>
          <w:tcPr>
            <w:tcW w:w="5000" w:type="pct"/>
          </w:tcPr>
          <w:p w:rsidR="000831F7" w:rsidRPr="000831F7" w:rsidRDefault="000831F7" w:rsidP="000831F7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onCompleteSign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.setSign(s)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0831F7" w:rsidRPr="000831F7" w:rsidRDefault="000831F7" w:rsidP="000831F7">
      <w:pPr>
        <w:widowControl/>
        <w:wordWrap/>
        <w:autoSpaceDE/>
        <w:autoSpaceDN/>
        <w:ind w:left="800" w:firstLine="800"/>
      </w:pPr>
      <w:r>
        <w:rPr>
          <w:noProof/>
        </w:rPr>
        <w:drawing>
          <wp:inline distT="0" distB="0" distL="0" distR="0">
            <wp:extent cx="2633845" cy="4680000"/>
            <wp:effectExtent l="1905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45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1F7" w:rsidRPr="000831F7" w:rsidSect="008134E7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576" w:rsidRDefault="00027576" w:rsidP="005C34B4">
      <w:r>
        <w:separator/>
      </w:r>
    </w:p>
  </w:endnote>
  <w:endnote w:type="continuationSeparator" w:id="1">
    <w:p w:rsidR="00027576" w:rsidRDefault="00027576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0D7B91" w:rsidRDefault="003806E1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0D7B91" w:rsidRDefault="00FA0680">
        <w:pPr>
          <w:pStyle w:val="a7"/>
          <w:jc w:val="center"/>
        </w:pPr>
        <w:fldSimple w:instr=" PAGE    \* MERGEFORMAT ">
          <w:r w:rsidR="003806E1" w:rsidRPr="003806E1">
            <w:rPr>
              <w:noProof/>
              <w:lang w:val="ko-KR"/>
            </w:rPr>
            <w:t>1</w:t>
          </w:r>
        </w:fldSimple>
      </w:p>
    </w:sdtContent>
  </w:sdt>
  <w:p w:rsidR="000D7B91" w:rsidRDefault="000D7B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576" w:rsidRDefault="00027576" w:rsidP="005C34B4">
      <w:r>
        <w:separator/>
      </w:r>
    </w:p>
  </w:footnote>
  <w:footnote w:type="continuationSeparator" w:id="1">
    <w:p w:rsidR="00027576" w:rsidRDefault="00027576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18A2342B"/>
    <w:multiLevelType w:val="hybridMultilevel"/>
    <w:tmpl w:val="07627D5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6242AD"/>
    <w:multiLevelType w:val="hybridMultilevel"/>
    <w:tmpl w:val="3B96752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218D5436"/>
    <w:multiLevelType w:val="hybridMultilevel"/>
    <w:tmpl w:val="B5F86F12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553D43"/>
    <w:multiLevelType w:val="hybridMultilevel"/>
    <w:tmpl w:val="0B1A6A0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89145B9"/>
    <w:multiLevelType w:val="hybridMultilevel"/>
    <w:tmpl w:val="25D6EFE2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1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4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17"/>
  </w:num>
  <w:num w:numId="22">
    <w:abstractNumId w:val="4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63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27576"/>
    <w:rsid w:val="0005456B"/>
    <w:rsid w:val="00055995"/>
    <w:rsid w:val="00066093"/>
    <w:rsid w:val="00075D10"/>
    <w:rsid w:val="000831F7"/>
    <w:rsid w:val="000A1100"/>
    <w:rsid w:val="000A5EC3"/>
    <w:rsid w:val="000B1591"/>
    <w:rsid w:val="000C0771"/>
    <w:rsid w:val="000C2906"/>
    <w:rsid w:val="000D6988"/>
    <w:rsid w:val="000D7B91"/>
    <w:rsid w:val="00100266"/>
    <w:rsid w:val="00110058"/>
    <w:rsid w:val="001113A3"/>
    <w:rsid w:val="00140630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12121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B2A42"/>
    <w:rsid w:val="002C5CE3"/>
    <w:rsid w:val="002C7A6C"/>
    <w:rsid w:val="002F6BEE"/>
    <w:rsid w:val="00304A20"/>
    <w:rsid w:val="00336620"/>
    <w:rsid w:val="00341EA6"/>
    <w:rsid w:val="00354B76"/>
    <w:rsid w:val="00355E3D"/>
    <w:rsid w:val="003803A2"/>
    <w:rsid w:val="003806E1"/>
    <w:rsid w:val="0038335D"/>
    <w:rsid w:val="003844B8"/>
    <w:rsid w:val="003B69EB"/>
    <w:rsid w:val="003D2D4C"/>
    <w:rsid w:val="003E3703"/>
    <w:rsid w:val="00452938"/>
    <w:rsid w:val="0046145C"/>
    <w:rsid w:val="00477BA5"/>
    <w:rsid w:val="004A0384"/>
    <w:rsid w:val="004D2EC7"/>
    <w:rsid w:val="00502F2F"/>
    <w:rsid w:val="00503C93"/>
    <w:rsid w:val="00514264"/>
    <w:rsid w:val="00547B02"/>
    <w:rsid w:val="00553218"/>
    <w:rsid w:val="00596939"/>
    <w:rsid w:val="005A017A"/>
    <w:rsid w:val="005B276A"/>
    <w:rsid w:val="005C19AA"/>
    <w:rsid w:val="005C34B4"/>
    <w:rsid w:val="00603061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D0041"/>
    <w:rsid w:val="006E6AC3"/>
    <w:rsid w:val="006F2562"/>
    <w:rsid w:val="006F415D"/>
    <w:rsid w:val="007551FD"/>
    <w:rsid w:val="00761197"/>
    <w:rsid w:val="00761390"/>
    <w:rsid w:val="00762960"/>
    <w:rsid w:val="007A7D43"/>
    <w:rsid w:val="007D4179"/>
    <w:rsid w:val="007D44CE"/>
    <w:rsid w:val="008134E7"/>
    <w:rsid w:val="00817797"/>
    <w:rsid w:val="00835A0A"/>
    <w:rsid w:val="00851077"/>
    <w:rsid w:val="00851587"/>
    <w:rsid w:val="00870843"/>
    <w:rsid w:val="00894665"/>
    <w:rsid w:val="008A254E"/>
    <w:rsid w:val="008C2C9F"/>
    <w:rsid w:val="008F18D7"/>
    <w:rsid w:val="009275E0"/>
    <w:rsid w:val="009377AC"/>
    <w:rsid w:val="00941F42"/>
    <w:rsid w:val="009534FD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20F15"/>
    <w:rsid w:val="00A300C3"/>
    <w:rsid w:val="00A3125F"/>
    <w:rsid w:val="00A54D93"/>
    <w:rsid w:val="00A722C3"/>
    <w:rsid w:val="00AA479B"/>
    <w:rsid w:val="00AC6F0A"/>
    <w:rsid w:val="00AD75C4"/>
    <w:rsid w:val="00AE48CF"/>
    <w:rsid w:val="00AE683C"/>
    <w:rsid w:val="00AF5097"/>
    <w:rsid w:val="00B3236D"/>
    <w:rsid w:val="00B41588"/>
    <w:rsid w:val="00B50143"/>
    <w:rsid w:val="00B83856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6129"/>
    <w:rsid w:val="00C47979"/>
    <w:rsid w:val="00C54394"/>
    <w:rsid w:val="00CA123F"/>
    <w:rsid w:val="00CC3007"/>
    <w:rsid w:val="00CF74E3"/>
    <w:rsid w:val="00CF779B"/>
    <w:rsid w:val="00D041FF"/>
    <w:rsid w:val="00D04D0C"/>
    <w:rsid w:val="00D43FC7"/>
    <w:rsid w:val="00D46621"/>
    <w:rsid w:val="00D60C96"/>
    <w:rsid w:val="00D80E6E"/>
    <w:rsid w:val="00DA2A17"/>
    <w:rsid w:val="00DC270C"/>
    <w:rsid w:val="00DD4CAB"/>
    <w:rsid w:val="00DD639D"/>
    <w:rsid w:val="00DF5A29"/>
    <w:rsid w:val="00DF7C88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47E51"/>
    <w:rsid w:val="00F53FDA"/>
    <w:rsid w:val="00F57C52"/>
    <w:rsid w:val="00F73C92"/>
    <w:rsid w:val="00F753EC"/>
    <w:rsid w:val="00F95A40"/>
    <w:rsid w:val="00F97425"/>
    <w:rsid w:val="00FA0680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source.android.com/security/trus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BE6D-9F26-4B72-BB9B-E76416BB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5</cp:revision>
  <dcterms:created xsi:type="dcterms:W3CDTF">2019-05-10T09:03:00Z</dcterms:created>
  <dcterms:modified xsi:type="dcterms:W3CDTF">2019-05-28T08:00:00Z</dcterms:modified>
</cp:coreProperties>
</file>