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960B7A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6096" w:type="dxa"/>
            <w:vAlign w:val="center"/>
          </w:tcPr>
          <w:p w:rsidR="005C34B4" w:rsidRDefault="003806E1" w:rsidP="006A67DD">
            <w:r>
              <w:rPr>
                <w:rFonts w:hint="eastAsia"/>
              </w:rPr>
              <w:t>인터페이스 제거 (MoaConfigurable)</w:t>
            </w:r>
          </w:p>
        </w:tc>
        <w:tc>
          <w:tcPr>
            <w:tcW w:w="1886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2019.05.28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1.0.4</w:t>
            </w:r>
          </w:p>
        </w:tc>
        <w:tc>
          <w:tcPr>
            <w:tcW w:w="6096" w:type="dxa"/>
            <w:vAlign w:val="center"/>
          </w:tcPr>
          <w:p w:rsidR="005C34B4" w:rsidRDefault="004D35D9" w:rsidP="006A67DD">
            <w:r>
              <w:rPr>
                <w:rFonts w:hint="eastAsia"/>
              </w:rPr>
              <w:t>지갑 정보 삭제 함수 추가 / 지갑 존재 여부 확인 함수 제거</w:t>
            </w:r>
          </w:p>
        </w:tc>
        <w:tc>
          <w:tcPr>
            <w:tcW w:w="1886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2019.05.29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7B08CD" w:rsidP="006A67DD">
            <w:pPr>
              <w:jc w:val="center"/>
            </w:pPr>
            <w:r>
              <w:rPr>
                <w:rFonts w:hint="eastAsia"/>
              </w:rPr>
              <w:t>1.0.5</w:t>
            </w:r>
          </w:p>
        </w:tc>
        <w:tc>
          <w:tcPr>
            <w:tcW w:w="6096" w:type="dxa"/>
            <w:vAlign w:val="center"/>
          </w:tcPr>
          <w:p w:rsidR="00EE4941" w:rsidRDefault="007B08CD" w:rsidP="006A67DD">
            <w:r>
              <w:rPr>
                <w:rFonts w:hint="eastAsia"/>
              </w:rPr>
              <w:t>Deprecated 함수 추가 및 정리</w:t>
            </w:r>
          </w:p>
        </w:tc>
        <w:tc>
          <w:tcPr>
            <w:tcW w:w="1886" w:type="dxa"/>
            <w:vAlign w:val="center"/>
          </w:tcPr>
          <w:p w:rsidR="005C34B4" w:rsidRDefault="007B08CD" w:rsidP="006A67DD">
            <w:pPr>
              <w:jc w:val="center"/>
            </w:pPr>
            <w:r>
              <w:rPr>
                <w:rFonts w:hint="eastAsia"/>
              </w:rPr>
              <w:t>2019.05.31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960B7A" w:rsidP="006A67DD">
            <w:pPr>
              <w:jc w:val="center"/>
            </w:pPr>
            <w:r>
              <w:rPr>
                <w:rFonts w:hint="eastAsia"/>
              </w:rPr>
              <w:t>1.0.6</w:t>
            </w:r>
          </w:p>
        </w:tc>
        <w:tc>
          <w:tcPr>
            <w:tcW w:w="6096" w:type="dxa"/>
            <w:vAlign w:val="center"/>
          </w:tcPr>
          <w:p w:rsidR="005C34B4" w:rsidRDefault="00960B7A" w:rsidP="006A67DD">
            <w:r>
              <w:rPr>
                <w:rFonts w:hint="eastAsia"/>
              </w:rPr>
              <w:t>함수명 변경</w:t>
            </w:r>
          </w:p>
        </w:tc>
        <w:tc>
          <w:tcPr>
            <w:tcW w:w="1886" w:type="dxa"/>
            <w:vAlign w:val="center"/>
          </w:tcPr>
          <w:p w:rsidR="005C34B4" w:rsidRDefault="00960B7A" w:rsidP="006A67DD">
            <w:pPr>
              <w:jc w:val="center"/>
            </w:pPr>
            <w:r>
              <w:rPr>
                <w:rFonts w:hint="eastAsia"/>
              </w:rPr>
              <w:t>2019.06.04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lastRenderedPageBreak/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866890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866890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3806E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3806E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3806E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</w:t>
            </w:r>
            <w:r w:rsidR="00D65C95">
              <w:rPr>
                <w:rFonts w:hint="eastAsia"/>
              </w:rPr>
              <w:t>Lib</w:t>
            </w:r>
            <w:r>
              <w:rPr>
                <w:rFonts w:hint="eastAsia"/>
              </w:rPr>
              <w:t>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D65C95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 xml:space="preserve">라이브러리 단에서 </w:t>
            </w:r>
            <w:r w:rsidR="000B1591"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C44D43" w:rsidP="00A722C3">
      <w:pPr>
        <w:rPr>
          <w:b/>
        </w:rPr>
      </w:pPr>
      <w:r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91"/>
        <w:gridCol w:w="7351"/>
      </w:tblGrid>
      <w:tr w:rsidR="000D7B91" w:rsidTr="000D7B91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D65C95" w:rsidP="00D65C95">
            <w:pPr>
              <w:spacing w:line="280" w:lineRule="exact"/>
              <w:jc w:val="center"/>
            </w:pPr>
            <w:r>
              <w:rPr>
                <w:rFonts w:hint="eastAsia"/>
              </w:rPr>
              <w:t>MoaWalletHelper$</w:t>
            </w:r>
            <w:r>
              <w:br/>
            </w:r>
            <w:r w:rsidR="000D7B91">
              <w:rPr>
                <w:rFonts w:hint="eastAsia"/>
              </w:rPr>
              <w:t>Builder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Builder(Context context)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빌더 생성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Conext context</w:t>
            </w:r>
          </w:p>
          <w:p w:rsidR="000D7B91" w:rsidRDefault="000D7B91" w:rsidP="00DA2A17">
            <w:pPr>
              <w:pStyle w:val="a8"/>
              <w:numPr>
                <w:ilvl w:val="3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context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Builder addWebView(WebView webView)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위해</w:t>
            </w:r>
            <w:r>
              <w:br/>
            </w:r>
            <w:r>
              <w:rPr>
                <w:rFonts w:hint="eastAsia"/>
              </w:rPr>
              <w:t>안드로이드에서 사용하는 WebView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Return (</w:t>
            </w:r>
            <w:r>
              <w:rPr>
                <w:rFonts w:hint="eastAsia"/>
              </w:rPr>
              <w:t>Builder</w:t>
            </w:r>
            <w:r w:rsidRPr="00DA2A17">
              <w:rPr>
                <w:rFonts w:hint="eastAsia"/>
              </w:rPr>
              <w:t>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addReceiver(MoaWalletReceiver receiver)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관련 실행 결과를 전달받기 위한 Receiver 등록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 receiver</w:t>
            </w:r>
          </w:p>
          <w:p w:rsidR="000D7B91" w:rsidRDefault="000D7B91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MoaWalletReceiver를 구현하고 있는 클래스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MoaWalletHelper build()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MoaWalletHelper 객체 생성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(MoaWalletHelper)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MoaWalletHelper 객체</w:t>
            </w:r>
          </w:p>
        </w:tc>
      </w:tr>
    </w:tbl>
    <w:p w:rsidR="00DA2A17" w:rsidRDefault="00DA2A1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65C95" w:rsidTr="00D65C95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0B1591">
            <w:pPr>
              <w:spacing w:line="280" w:lineRule="exact"/>
            </w:pPr>
            <w:r>
              <w:rPr>
                <w:rFonts w:hint="eastAsia"/>
              </w:rPr>
              <w:t xml:space="preserve">void </w:t>
            </w:r>
            <w:r w:rsidR="00960B7A">
              <w:rPr>
                <w:rFonts w:hint="eastAsia"/>
              </w:rPr>
              <w:t>createWallet</w:t>
            </w:r>
            <w:r>
              <w:rPr>
                <w:rFonts w:hint="eastAsia"/>
              </w:rPr>
              <w:t>(String password)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(지갑 생성)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(지갑을 생성하기 위한 메시지 생성)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65C95" w:rsidRDefault="00D65C95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960B7A">
            <w:pPr>
              <w:spacing w:line="280" w:lineRule="exact"/>
            </w:pPr>
            <w:r>
              <w:rPr>
                <w:rFonts w:hint="eastAsia"/>
              </w:rPr>
              <w:t>void getSignedTransaction(String transaction, String password)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D65C95" w:rsidRDefault="00D65C95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65C95" w:rsidRDefault="00D65C95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960B7A">
            <w:pPr>
              <w:spacing w:line="280" w:lineRule="exact"/>
            </w:pPr>
            <w:r>
              <w:rPr>
                <w:rFonts w:hint="eastAsia"/>
              </w:rPr>
              <w:t>String getPublicKey()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65C95" w:rsidRDefault="00D65C95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 (Hex &gt; String)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0B1591">
            <w:pPr>
              <w:spacing w:line="280" w:lineRule="exact"/>
            </w:pPr>
            <w:r>
              <w:rPr>
                <w:rFonts w:hint="eastAsia"/>
              </w:rPr>
              <w:t xml:space="preserve">void </w:t>
            </w:r>
            <w:r w:rsidR="00960B7A">
              <w:rPr>
                <w:rFonts w:hint="eastAsia"/>
              </w:rPr>
              <w:t>restoreWallet</w:t>
            </w:r>
            <w:r>
              <w:rPr>
                <w:rFonts w:hint="eastAsia"/>
              </w:rPr>
              <w:t>(String password, String msg)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복원형 지갑 생성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65C95" w:rsidRDefault="00D65C95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65C95" w:rsidRDefault="00D65C95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D65C95" w:rsidRDefault="00D65C95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D65C95" w:rsidRDefault="00D65C95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위한 메시지</w:t>
            </w:r>
          </w:p>
          <w:p w:rsidR="00D65C95" w:rsidRDefault="00D65C95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(Prk $ Puk $ Salt 조합)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65C95">
            <w:pPr>
              <w:spacing w:line="280" w:lineRule="exact"/>
            </w:pPr>
            <w:r>
              <w:rPr>
                <w:rFonts w:hint="eastAsia"/>
              </w:rPr>
              <w:t>String getAddress()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조회</w:t>
            </w:r>
          </w:p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값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65C95">
            <w:pPr>
              <w:spacing w:line="280" w:lineRule="exact"/>
            </w:pPr>
            <w:r>
              <w:rPr>
                <w:rFonts w:hint="eastAsia"/>
              </w:rPr>
              <w:t>void removeWallet()</w:t>
            </w:r>
          </w:p>
        </w:tc>
      </w:tr>
      <w:tr w:rsidR="00D65C95" w:rsidTr="00D65C95">
        <w:trPr>
          <w:trHeight w:val="494"/>
        </w:trPr>
        <w:tc>
          <w:tcPr>
            <w:tcW w:w="964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5C95" w:rsidRDefault="00D65C95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65C95" w:rsidRDefault="00D65C95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지갑 </w:t>
            </w:r>
            <w:r w:rsidR="00960B7A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제거</w:t>
            </w:r>
          </w:p>
        </w:tc>
      </w:tr>
    </w:tbl>
    <w:p w:rsidR="00D65C95" w:rsidRDefault="00D65C95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A2A17" w:rsidTr="00D65C95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65C95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byte[] hexStringToByteArray(String target)</w:t>
            </w:r>
          </w:p>
        </w:tc>
      </w:tr>
      <w:tr w:rsidR="00DA2A17" w:rsidTr="00D65C95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Array로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Array로 변환할 Hex String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Array</w:t>
            </w:r>
          </w:p>
        </w:tc>
      </w:tr>
      <w:tr w:rsidR="00DA2A17" w:rsidTr="00D65C95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String byteArrayToHexString(byte[] target)</w:t>
            </w:r>
          </w:p>
        </w:tc>
      </w:tr>
      <w:tr w:rsidR="00DA2A17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Array를 Hex String으로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String로 변환할 Byte Array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Y="1760"/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E00BEF" w:rsidTr="00E00BEF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E00BEF" w:rsidTr="00E00BE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E00BEF" w:rsidTr="00E00BE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E00BEF" w:rsidTr="00E00BEF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setWebView(WebView webView)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위한 WebView 설정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E00BEF" w:rsidTr="00E00BEF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</w:tbl>
    <w:p w:rsidR="000D7B91" w:rsidRDefault="000D7B91" w:rsidP="000D7B91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E00BEF" w:rsidTr="00E00BEF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배열로 변환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배열로 변환할 Hex String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배열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배열을 Hex String으로 변환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String으로 변환할 byte 배열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generateInfo(String password)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정보 생성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960B7A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void generateSignedTransaction(String transaction, String password)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E00BEF" w:rsidRDefault="00E00BEF" w:rsidP="00960B7A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960B7A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String getPublicKey()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E00BEF" w:rsidRDefault="00E00BEF" w:rsidP="00960B7A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(Hex &gt; String)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B63F74">
            <w:pPr>
              <w:spacing w:line="280" w:lineRule="exact"/>
            </w:pPr>
            <w:r>
              <w:rPr>
                <w:rFonts w:hint="eastAsia"/>
              </w:rPr>
              <w:t>String getAddress()</w:t>
            </w:r>
          </w:p>
        </w:tc>
      </w:tr>
      <w:tr w:rsidR="00E00BEF" w:rsidTr="003908C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7B08CD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조회</w:t>
            </w:r>
          </w:p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E00BEF" w:rsidRDefault="00E00BEF" w:rsidP="007B08CD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값</w:t>
            </w:r>
          </w:p>
        </w:tc>
      </w:tr>
    </w:tbl>
    <w:p w:rsidR="00E00BEF" w:rsidRDefault="00E00BEF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E00BEF" w:rsidTr="00A050CA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B63F74">
            <w:pPr>
              <w:spacing w:line="280" w:lineRule="exact"/>
            </w:pPr>
            <w:r>
              <w:rPr>
                <w:rFonts w:hint="eastAsia"/>
              </w:rPr>
              <w:t>void removeWallet()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960B7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7B08CD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삭제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Pr="00B63F74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0D7B91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0D7B91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E00BEF" w:rsidRDefault="00E00BEF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D65C95">
            <w:pPr>
              <w:spacing w:line="280" w:lineRule="exact"/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E00BEF" w:rsidTr="00A050CA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 및 조회 (이더리움 기반)</w:t>
            </w:r>
          </w:p>
          <w:p w:rsidR="00E00BEF" w:rsidRDefault="00E00BEF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E00BEF" w:rsidRDefault="00E00BEF" w:rsidP="00D65C95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사용될 공개키</w:t>
            </w:r>
          </w:p>
          <w:p w:rsidR="00E00BEF" w:rsidRDefault="00E00BEF" w:rsidP="00D65C95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D65C95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지갑 주소</w:t>
            </w:r>
          </w:p>
        </w:tc>
      </w:tr>
    </w:tbl>
    <w:p w:rsidR="00E00BEF" w:rsidRDefault="00E00BEF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E00BEF" w:rsidTr="00D33738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3803A2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E00BEF" w:rsidTr="00D33738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E00BEF" w:rsidRDefault="00E00BEF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E00BEF" w:rsidRDefault="00E00BEF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E00BEF" w:rsidRDefault="00E00BEF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E00BEF" w:rsidTr="00D33738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E00BEF" w:rsidTr="00D33738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E00BEF" w:rsidRDefault="00E00BEF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E00BEF" w:rsidRDefault="00E00BEF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E00BEF" w:rsidTr="00D33738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E00BEF" w:rsidTr="00D33738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  <w:tr w:rsidR="00E00BEF" w:rsidTr="00D33738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B08CD">
            <w:pPr>
              <w:spacing w:line="280" w:lineRule="exact"/>
            </w:pPr>
            <w:r>
              <w:rPr>
                <w:rFonts w:hint="eastAsia"/>
              </w:rPr>
              <w:t>void setWalletPref(Map&lt;String, String&gt; requiredDataForMac)</w:t>
            </w:r>
          </w:p>
        </w:tc>
      </w:tr>
      <w:tr w:rsidR="00E00BEF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E00BEF" w:rsidRDefault="00E00BEF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Map&lt;String, String&gt;</w:t>
            </w:r>
          </w:p>
          <w:p w:rsidR="00E00BEF" w:rsidRDefault="00E00BEF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</w:tbl>
    <w:p w:rsidR="00E00BEF" w:rsidRDefault="00E00BEF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E00BEF" w:rsidTr="00E00BEF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E00BEF" w:rsidRDefault="00E00BEF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E00BEF" w:rsidRDefault="00E00BEF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E00BEF" w:rsidRDefault="00E00BEF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40630">
            <w:pPr>
              <w:spacing w:line="280" w:lineRule="exact"/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E00BEF" w:rsidRDefault="00E00BEF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E00BEF" w:rsidRDefault="00E00BEF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  <w:tr w:rsidR="00E00BEF" w:rsidTr="00E00BEF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803A2">
            <w:pPr>
              <w:spacing w:line="280" w:lineRule="exact"/>
            </w:pPr>
            <w:r>
              <w:rPr>
                <w:rFonts w:hint="eastAsia"/>
              </w:rPr>
              <w:t>String generateRestoreDataFormat(byte[][] walletKeyPair)</w:t>
            </w:r>
          </w:p>
        </w:tc>
      </w:tr>
      <w:tr w:rsidR="00E00BEF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 생성</w:t>
            </w:r>
          </w:p>
          <w:p w:rsidR="00E00BEF" w:rsidRDefault="00E00BEF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byte[][] walletKeyPair</w:t>
            </w:r>
          </w:p>
          <w:p w:rsidR="00E00BEF" w:rsidRDefault="00E00BEF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키 쌍 (개인키, 공개키)</w:t>
            </w:r>
          </w:p>
          <w:p w:rsidR="00E00BEF" w:rsidRDefault="00E00BEF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E00BEF" w:rsidRDefault="00E00BEF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 w:rsidR="00110058">
              <w:rPr>
                <w:rFonts w:hint="eastAsia"/>
              </w:rPr>
              <w:t>MoaECDSAReceiver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onSuccessKeyPair(String prk, String puk)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키 쌍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개인키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공개키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</w:tbl>
    <w:tbl>
      <w:tblPr>
        <w:tblpPr w:leftFromText="142" w:rightFromText="142" w:vertAnchor="text" w:horzAnchor="margin" w:tblpY="452"/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E00BEF" w:rsidTr="00E00BEF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  <w:r>
              <w:rPr>
                <w:rFonts w:hint="eastAsia"/>
              </w:rPr>
              <w:t>MoaWalletReceiver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onCompleteWallet()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완료 시 UI로 Callback 호출</w:t>
            </w:r>
          </w:p>
        </w:tc>
      </w:tr>
      <w:tr w:rsidR="00E00BEF" w:rsidTr="00E00BEF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onCompleteSign(String sign)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 완료 시 UI로 Callback 호출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E00BEF" w:rsidTr="00E00BEF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</w:pPr>
            <w:r>
              <w:rPr>
                <w:rFonts w:hint="eastAsia"/>
              </w:rPr>
              <w:t>onCompleteRestoreMsg(String msg)</w:t>
            </w:r>
          </w:p>
        </w:tc>
      </w:tr>
      <w:tr w:rsidR="00E00BEF" w:rsidTr="00E00BEF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메시지를 UI로 Callback 호출</w:t>
            </w:r>
          </w:p>
          <w:p w:rsidR="00E00BEF" w:rsidRDefault="00E00BEF" w:rsidP="00E00BE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E00BEF" w:rsidRDefault="00E00BEF" w:rsidP="00E00BE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E00BEF" w:rsidRDefault="00E00BEF" w:rsidP="00E00BE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</w:t>
            </w:r>
          </w:p>
        </w:tc>
      </w:tr>
    </w:tbl>
    <w:p w:rsidR="00E00BEF" w:rsidRDefault="00110058" w:rsidP="00E00BEF">
      <w:pPr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br w:type="page"/>
      </w: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DE5" w:rsidRDefault="00AE1DE5" w:rsidP="005C34B4">
      <w:r>
        <w:separator/>
      </w:r>
    </w:p>
  </w:endnote>
  <w:endnote w:type="continuationSeparator" w:id="1">
    <w:p w:rsidR="00AE1DE5" w:rsidRDefault="00AE1DE5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960B7A" w:rsidRDefault="00960B7A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60B7A" w:rsidRDefault="00960B7A">
        <w:pPr>
          <w:pStyle w:val="a7"/>
          <w:jc w:val="center"/>
        </w:pPr>
        <w:fldSimple w:instr=" PAGE    \* MERGEFORMAT ">
          <w:r w:rsidR="00E00BEF" w:rsidRPr="00E00BEF">
            <w:rPr>
              <w:noProof/>
              <w:lang w:val="ko-KR"/>
            </w:rPr>
            <w:t>4</w:t>
          </w:r>
        </w:fldSimple>
      </w:p>
    </w:sdtContent>
  </w:sdt>
  <w:p w:rsidR="00960B7A" w:rsidRDefault="00960B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DE5" w:rsidRDefault="00AE1DE5" w:rsidP="005C34B4">
      <w:r>
        <w:separator/>
      </w:r>
    </w:p>
  </w:footnote>
  <w:footnote w:type="continuationSeparator" w:id="1">
    <w:p w:rsidR="00AE1DE5" w:rsidRDefault="00AE1DE5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24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27576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06E1"/>
    <w:rsid w:val="0038335D"/>
    <w:rsid w:val="003844B8"/>
    <w:rsid w:val="003B69EB"/>
    <w:rsid w:val="003C20EE"/>
    <w:rsid w:val="003D2D4C"/>
    <w:rsid w:val="003D7456"/>
    <w:rsid w:val="003E3703"/>
    <w:rsid w:val="00452938"/>
    <w:rsid w:val="0046145C"/>
    <w:rsid w:val="00477BA5"/>
    <w:rsid w:val="004A0384"/>
    <w:rsid w:val="004D2EC7"/>
    <w:rsid w:val="004D35D9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63367"/>
    <w:rsid w:val="007A7D43"/>
    <w:rsid w:val="007B08CD"/>
    <w:rsid w:val="007D4179"/>
    <w:rsid w:val="007D44CE"/>
    <w:rsid w:val="008134E7"/>
    <w:rsid w:val="00817797"/>
    <w:rsid w:val="00835A0A"/>
    <w:rsid w:val="00851077"/>
    <w:rsid w:val="00851587"/>
    <w:rsid w:val="00866890"/>
    <w:rsid w:val="00870843"/>
    <w:rsid w:val="00894665"/>
    <w:rsid w:val="008A254E"/>
    <w:rsid w:val="008C2C9F"/>
    <w:rsid w:val="008F18D7"/>
    <w:rsid w:val="009005A5"/>
    <w:rsid w:val="009275E0"/>
    <w:rsid w:val="009377AC"/>
    <w:rsid w:val="00941F42"/>
    <w:rsid w:val="009534FD"/>
    <w:rsid w:val="00960B7A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20F15"/>
    <w:rsid w:val="00A300C3"/>
    <w:rsid w:val="00A3125F"/>
    <w:rsid w:val="00A54D93"/>
    <w:rsid w:val="00A722C3"/>
    <w:rsid w:val="00AA479B"/>
    <w:rsid w:val="00AC6F0A"/>
    <w:rsid w:val="00AD75C4"/>
    <w:rsid w:val="00AE1DE5"/>
    <w:rsid w:val="00AE48CF"/>
    <w:rsid w:val="00AE683C"/>
    <w:rsid w:val="00AF5097"/>
    <w:rsid w:val="00B3236D"/>
    <w:rsid w:val="00B41588"/>
    <w:rsid w:val="00B50143"/>
    <w:rsid w:val="00B63F74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313A4"/>
    <w:rsid w:val="00D43FC7"/>
    <w:rsid w:val="00D46621"/>
    <w:rsid w:val="00D60C96"/>
    <w:rsid w:val="00D65C95"/>
    <w:rsid w:val="00D80E6E"/>
    <w:rsid w:val="00DA2A17"/>
    <w:rsid w:val="00DC270C"/>
    <w:rsid w:val="00DD4CAB"/>
    <w:rsid w:val="00DD639D"/>
    <w:rsid w:val="00DF5A29"/>
    <w:rsid w:val="00DF7C88"/>
    <w:rsid w:val="00E00BEF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A0680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06FB-51C8-4804-9BF1-57F79374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8</cp:revision>
  <dcterms:created xsi:type="dcterms:W3CDTF">2019-05-10T09:03:00Z</dcterms:created>
  <dcterms:modified xsi:type="dcterms:W3CDTF">2019-06-04T09:25:00Z</dcterms:modified>
</cp:coreProperties>
</file>