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 Star MRP Summary</w:t>
      </w:r>
    </w:p>
    <w:p>
      <w:r>
        <w:t>Placeholder text. This paragraph stands in for author-written body content and exists only so the body invariant check has something to protect.</w:t>
      </w:r>
    </w:p>
    <w:p>
      <w:r>
        <w:t>Complete the Top 10 List (</w:t>
      </w:r>
      <w:sdt>
        <w:sdtPr>
          <w:tag w:val="bb:ref:top-10-list"/>
        </w:sdtPr>
        <w:sdtContent>
          <w:r>
            <w:t>A.03</w:t>
          </w:r>
        </w:sdtContent>
      </w:sdt>
      <w:r>
        <w:t xml:space="preserve">) first, then the outreach summary in </w:t>
      </w:r>
      <w:sdt>
        <w:sdtPr>
          <w:tag w:val="bb:ref:outreach-efforts"/>
        </w:sdtPr>
        <w:sdtContent>
          <w:r>
            <w:t>A.07</w:t>
          </w:r>
        </w:sdtContent>
      </w:sdt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Placeholder cell 1.1</w:t>
            </w:r>
          </w:p>
        </w:tc>
        <w:tc>
          <w:tcPr>
            <w:tcW w:type="dxa" w:w="4320"/>
          </w:tcPr>
          <w:p>
            <w:r>
              <w:t>Placeholder cell 1.2</w:t>
            </w:r>
          </w:p>
        </w:tc>
      </w:tr>
      <w:tr>
        <w:tc>
          <w:tcPr>
            <w:tcW w:type="dxa" w:w="4320"/>
          </w:tcPr>
          <w:p>
            <w:r>
              <w:t>Placeholder cell 2.1</w:t>
            </w:r>
          </w:p>
        </w:tc>
        <w:tc>
          <w:tcPr>
            <w:tcW w:type="dxa" w:w="4320"/>
          </w:tcPr>
          <w:p>
            <w:r>
              <w:t>Placeholder cell 2.2</w:t>
            </w:r>
          </w:p>
        </w:tc>
      </w:tr>
    </w:tbl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A.01</w:t>
    </w:r>
  </w:p>
  <w:p>
    <w:r>
      <w:t>North Star Media</w:t>
    </w:r>
  </w:p>
  <w:p>
    <w:r>
      <w:t>Management Binder</w:t>
    </w:r>
  </w:p>
  <w:p>
    <w:r>
      <w:t>North Star MRP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