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8188" w14:textId="77777777" w:rsidR="00356C88" w:rsidRDefault="00356C88" w:rsidP="00356C88"/>
    <w:p w14:paraId="570696CA" w14:textId="77777777" w:rsidR="00356C88" w:rsidRDefault="00356C88" w:rsidP="00356C88"/>
    <w:p w14:paraId="3F4A0E81" w14:textId="77777777" w:rsidR="00356C88" w:rsidRDefault="00356C88" w:rsidP="00356C88">
      <w:r>
        <w:t xml:space="preserve">## </w:t>
      </w:r>
      <w:r>
        <w:rPr>
          <w:rFonts w:ascii="Segoe UI Emoji" w:hAnsi="Segoe UI Emoji" w:cs="Segoe UI Emoji"/>
        </w:rPr>
        <w:t>❌</w:t>
      </w:r>
      <w:r>
        <w:t xml:space="preserve"> CONTRO / Rischi</w:t>
      </w:r>
    </w:p>
    <w:p w14:paraId="171B4B60" w14:textId="77777777" w:rsidR="00356C88" w:rsidRDefault="00356C88" w:rsidP="00356C88"/>
    <w:p w14:paraId="0D27538E" w14:textId="77777777" w:rsidR="00356C88" w:rsidRDefault="00356C88" w:rsidP="00356C88">
      <w:r>
        <w:t>1. **Solo desktop** — stessa limitazione del preventivatore. Nessun accesso da iPhone/tablet. Per un consulente che va dal cliente è un limite.</w:t>
      </w:r>
    </w:p>
    <w:p w14:paraId="38BD3279" w14:textId="77777777" w:rsidR="00356C88" w:rsidRDefault="00356C88" w:rsidP="00356C88"/>
    <w:p w14:paraId="4D461529" w14:textId="77777777" w:rsidR="00356C88" w:rsidRDefault="00356C88" w:rsidP="00356C88">
      <w:r>
        <w:t>2. **Dati soglie da mantenere** — ogni trimestre il MEF pubblica nuove soglie. Serve aggiornamento manuale del DB (o scraping automatico della Gazzetta Ufficiale).</w:t>
      </w:r>
    </w:p>
    <w:p w14:paraId="14A6B17F" w14:textId="77777777" w:rsidR="00356C88" w:rsidRDefault="00356C88" w:rsidP="00356C88"/>
    <w:p w14:paraId="59F40251" w14:textId="77777777" w:rsidR="00356C88" w:rsidRDefault="00356C88" w:rsidP="00356C88">
      <w:r>
        <w:t>3. **Precisione del calcolo TEG** — il metodo IRR è corretto, ma in tribunale un CTU potrebbe contestare il piano di ammortamento ricostruito. Il modulo anatocismo è solo uno stub.</w:t>
      </w:r>
    </w:p>
    <w:p w14:paraId="0109CB93" w14:textId="77777777" w:rsidR="00356C88" w:rsidRDefault="00356C88" w:rsidP="00356C88"/>
    <w:p w14:paraId="6FD37A53" w14:textId="77777777" w:rsidR="00356C88" w:rsidRDefault="00356C88" w:rsidP="00356C88">
      <w:r>
        <w:t>4. **Dipendenza da API Anthropic** — la Sessione E richiede connessione internet e una API key a pagamento (~$3/contratto medio). Se Claude è offline, il parsing non funziona.</w:t>
      </w:r>
    </w:p>
    <w:p w14:paraId="1F08BDA3" w14:textId="77777777" w:rsidR="00356C88" w:rsidRDefault="00356C88" w:rsidP="00356C88"/>
    <w:p w14:paraId="2D5FE26B" w14:textId="77777777" w:rsidR="00356C88" w:rsidRDefault="00356C88" w:rsidP="00356C88">
      <w:r>
        <w:t>5. **Nessuna gestione multi-utente** — un solo operatore. Se vuoi farlo usare da un team (avvocato + consulente + segretaria) manca completamente la gestione utenti.</w:t>
      </w:r>
    </w:p>
    <w:p w14:paraId="527DF24B" w14:textId="77777777" w:rsidR="00356C88" w:rsidRDefault="00356C88" w:rsidP="00356C88"/>
    <w:p w14:paraId="44C515C4" w14:textId="77777777" w:rsidR="00356C88" w:rsidRDefault="00356C88" w:rsidP="00356C88">
      <w:r>
        <w:t>6. **Report generico** — il PDF è standard per tutti. In realtà un avvocato vorrebbe personalizzarlo (logo studio, intestazione, formulazioni specifiche).</w:t>
      </w:r>
    </w:p>
    <w:p w14:paraId="57E0D6F8" w14:textId="77777777" w:rsidR="00356C88" w:rsidRDefault="00356C88" w:rsidP="00356C88"/>
    <w:p w14:paraId="67A3CEF8" w14:textId="77777777" w:rsidR="00356C88" w:rsidRDefault="00356C88" w:rsidP="00356C88">
      <w:r>
        <w:t>7. **Nessun piano di ammortamento ricostruito** — per i casi di anatocismo serve ricalcolare rata per rata. È solo uno stub. Senza questo, perdi una fetta importante di anomalie.</w:t>
      </w:r>
    </w:p>
    <w:p w14:paraId="1247E8FF" w14:textId="77777777" w:rsidR="00356C88" w:rsidRDefault="00356C88" w:rsidP="00356C88"/>
    <w:p w14:paraId="6BC23D80" w14:textId="77777777" w:rsidR="00356C88" w:rsidRDefault="00356C88" w:rsidP="00356C88">
      <w:r>
        <w:t>8. **Rischio legale** — anche con il disclaimer, se un cliente prende decisioni basate solo sul tuo report e perde, potresti avere problemi. Serve un avvocato che validi il flusso.</w:t>
      </w:r>
    </w:p>
    <w:p w14:paraId="15BE408D" w14:textId="77777777" w:rsidR="00356C88" w:rsidRDefault="00356C88" w:rsidP="00356C88"/>
    <w:p w14:paraId="3EBF2E2D" w14:textId="77777777" w:rsidR="00356C88" w:rsidRDefault="00356C88" w:rsidP="00356C88">
      <w:r>
        <w:t>9. **Formula soglia moratori** — il +2.1pp è un orientamento ABF, non una norma certa. La giurisprudenza è divisa. Va esplicitato meglio.</w:t>
      </w:r>
    </w:p>
    <w:p w14:paraId="475B3CBA" w14:textId="77777777" w:rsidR="00356C88" w:rsidRDefault="00356C88" w:rsidP="00356C88"/>
    <w:p w14:paraId="1235973F" w14:textId="77777777" w:rsidR="00356C88" w:rsidRDefault="00356C88" w:rsidP="00356C88">
      <w:r>
        <w:lastRenderedPageBreak/>
        <w:t>10. **Nessun test su dati reali sporchi** — il test proposto (caso Torino 53/2026) è pulito. I contratti reali hanno clausole ambigue, dati mancanti, formati PDF terribili.</w:t>
      </w:r>
    </w:p>
    <w:p w14:paraId="2CF8000A" w14:textId="77777777" w:rsidR="00356C88" w:rsidRDefault="00356C88" w:rsidP="00356C88"/>
    <w:p w14:paraId="4126434B" w14:textId="77777777" w:rsidR="00356C88" w:rsidRDefault="00356C88" w:rsidP="00356C88">
      <w:r>
        <w:t>---</w:t>
      </w:r>
    </w:p>
    <w:p w14:paraId="73F06EE8" w14:textId="77777777" w:rsidR="00356C88" w:rsidRDefault="00356C88" w:rsidP="00356C88"/>
    <w:p w14:paraId="69DBB23D" w14:textId="77777777" w:rsidR="00356C88" w:rsidRDefault="00356C88" w:rsidP="00356C88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COSA MIGLIORARE</w:t>
      </w:r>
    </w:p>
    <w:p w14:paraId="2C51C705" w14:textId="77777777" w:rsidR="00356C88" w:rsidRDefault="00356C88" w:rsidP="00356C88"/>
    <w:p w14:paraId="584CE421" w14:textId="77777777" w:rsidR="00356C88" w:rsidRDefault="00356C88" w:rsidP="00356C88">
      <w:r>
        <w:t>### Priorità alta</w:t>
      </w:r>
    </w:p>
    <w:p w14:paraId="18D8B39C" w14:textId="77777777" w:rsidR="00356C88" w:rsidRDefault="00356C88" w:rsidP="00356C88"/>
    <w:p w14:paraId="4C6F378C" w14:textId="77777777" w:rsidR="00356C88" w:rsidRDefault="00356C88" w:rsidP="00356C88">
      <w:r>
        <w:t>| Intervento | Perché |</w:t>
      </w:r>
    </w:p>
    <w:p w14:paraId="61B2C176" w14:textId="77777777" w:rsidR="00356C88" w:rsidRDefault="00356C88" w:rsidP="00356C88">
      <w:r>
        <w:t>|-----------|--------|</w:t>
      </w:r>
    </w:p>
    <w:p w14:paraId="21B4B046" w14:textId="77777777" w:rsidR="00356C88" w:rsidRDefault="00356C88" w:rsidP="00356C88">
      <w:r>
        <w:t>| **Completare il modulo anatocismo** | È il 40% delle anomalie reali su mutui francesi. Senza questo il tool è incompleto. |</w:t>
      </w:r>
    </w:p>
    <w:p w14:paraId="2BDB3031" w14:textId="77777777" w:rsidR="00356C88" w:rsidRDefault="00356C88" w:rsidP="00356C88">
      <w:r>
        <w:t>| **Aggiornamento soglie automatico** | Scraping/parser della Gazzetta Ufficiale trimestrale, altrimenti il DB diventa obsoleto |</w:t>
      </w:r>
    </w:p>
    <w:p w14:paraId="12D49B93" w14:textId="77777777" w:rsidR="00356C88" w:rsidRDefault="00356C88" w:rsidP="00356C88">
      <w:r>
        <w:t>| **Piano di ammortamento ricostruito** | Mostrare rata per rata la differenza tra dovuto e pagato. I CTU lo fanno sempre. |</w:t>
      </w:r>
    </w:p>
    <w:p w14:paraId="01610CBB" w14:textId="77777777" w:rsidR="00356C88" w:rsidRDefault="00356C88" w:rsidP="00356C88">
      <w:r>
        <w:t>| **Backup e export DB** | Un crash = tutte le pratiche perse. Serve export/import automatico. |</w:t>
      </w:r>
    </w:p>
    <w:p w14:paraId="03320980" w14:textId="77777777" w:rsidR="00356C88" w:rsidRDefault="00356C88" w:rsidP="00356C88"/>
    <w:p w14:paraId="31A32362" w14:textId="77777777" w:rsidR="00356C88" w:rsidRDefault="00356C88" w:rsidP="00356C88">
      <w:r>
        <w:t>### Priorità media</w:t>
      </w:r>
    </w:p>
    <w:p w14:paraId="5A912833" w14:textId="77777777" w:rsidR="00356C88" w:rsidRDefault="00356C88" w:rsidP="00356C88"/>
    <w:p w14:paraId="0DC0038F" w14:textId="77777777" w:rsidR="00356C88" w:rsidRDefault="00356C88" w:rsidP="00356C88">
      <w:r>
        <w:t>| Intervento | Perché |</w:t>
      </w:r>
    </w:p>
    <w:p w14:paraId="1A554AA3" w14:textId="77777777" w:rsidR="00356C88" w:rsidRDefault="00356C88" w:rsidP="00356C88">
      <w:r>
        <w:t>|-----------|--------|</w:t>
      </w:r>
    </w:p>
    <w:p w14:paraId="551CFFD8" w14:textId="77777777" w:rsidR="00356C88" w:rsidRDefault="00356C88" w:rsidP="00356C88">
      <w:r>
        <w:t>| **Versione web/cloud** | Stesso discorso del CRM: PWA per accedere da ovunque |</w:t>
      </w:r>
    </w:p>
    <w:p w14:paraId="548FD6E3" w14:textId="77777777" w:rsidR="00356C88" w:rsidRDefault="00356C88" w:rsidP="00356C88">
      <w:r>
        <w:t>| **Template report personalizzabili** | Logo e intestazione dello studio legale/consulente che lo usa |</w:t>
      </w:r>
    </w:p>
    <w:p w14:paraId="2D339F01" w14:textId="77777777" w:rsidR="00356C88" w:rsidRDefault="00356C88" w:rsidP="00356C88">
      <w:r>
        <w:t>| **Fallback parsing senza LLM** | Form assistito con regex per estrarre dati base anche offline |</w:t>
      </w:r>
    </w:p>
    <w:p w14:paraId="3067A95A" w14:textId="77777777" w:rsidR="00356C88" w:rsidRDefault="00356C88" w:rsidP="00356C88">
      <w:r>
        <w:t>| **Multi-pratica batch** | Analizzare 50 contratti insieme (per contenzioso collettivo) |</w:t>
      </w:r>
    </w:p>
    <w:p w14:paraId="13D8C02F" w14:textId="77777777" w:rsidR="00356C88" w:rsidRDefault="00356C88" w:rsidP="00356C88">
      <w:r>
        <w:lastRenderedPageBreak/>
        <w:t>| **Collegamento a perizia formale** | Export dati strutturati per CTU (formato che un perito può importare) |</w:t>
      </w:r>
    </w:p>
    <w:p w14:paraId="7D51806B" w14:textId="77777777" w:rsidR="00356C88" w:rsidRDefault="00356C88" w:rsidP="00356C88"/>
    <w:p w14:paraId="3AB895A9" w14:textId="77777777" w:rsidR="00356C88" w:rsidRDefault="00356C88" w:rsidP="00356C88">
      <w:r>
        <w:t>### Priorità bassa (evoluzione futura)</w:t>
      </w:r>
    </w:p>
    <w:p w14:paraId="565259EC" w14:textId="77777777" w:rsidR="00356C88" w:rsidRDefault="00356C88" w:rsidP="00356C88"/>
    <w:p w14:paraId="3050914C" w14:textId="77777777" w:rsidR="00356C88" w:rsidRDefault="00356C88" w:rsidP="00356C88">
      <w:r>
        <w:t>| Intervento | Perché |</w:t>
      </w:r>
    </w:p>
    <w:p w14:paraId="1DE2CCEE" w14:textId="77777777" w:rsidR="00356C88" w:rsidRDefault="00356C88" w:rsidP="00356C88">
      <w:r>
        <w:t>|-----------|--------|</w:t>
      </w:r>
    </w:p>
    <w:p w14:paraId="20DC8268" w14:textId="77777777" w:rsidR="00356C88" w:rsidRDefault="00356C88" w:rsidP="00356C88">
      <w:r>
        <w:t>| **SaaS multi-utente** | Vendere il tool a studi legali/consulenti bancari |</w:t>
      </w:r>
    </w:p>
    <w:p w14:paraId="46838F3F" w14:textId="77777777" w:rsidR="00356C88" w:rsidRDefault="00356C88" w:rsidP="00356C88">
      <w:r>
        <w:t>| **Integrazione PEC** | Invio automatico report via PEC al cliente/banca |</w:t>
      </w:r>
    </w:p>
    <w:p w14:paraId="401B37F5" w14:textId="77777777" w:rsidR="00356C88" w:rsidRDefault="00356C88" w:rsidP="00356C88">
      <w:r>
        <w:t>| **Storico giurisprudenziale aggiornato** | Feed di nuove sentenze rilevanti (Cassazione, ABF) |</w:t>
      </w:r>
    </w:p>
    <w:p w14:paraId="6F3E8433" w14:textId="77777777" w:rsidR="00356C88" w:rsidRDefault="00356C88" w:rsidP="00356C88"/>
    <w:p w14:paraId="7D264FA6" w14:textId="77777777" w:rsidR="00356C88" w:rsidRDefault="00356C88" w:rsidP="00356C88"/>
    <w:p w14:paraId="133377DB" w14:textId="77777777" w:rsidR="00356C88" w:rsidRDefault="00356C88" w:rsidP="00356C88"/>
    <w:p w14:paraId="19DAB0F3" w14:textId="77777777" w:rsidR="00356C88" w:rsidRDefault="00356C88" w:rsidP="00356C88"/>
    <w:p w14:paraId="3538863A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I punti davvero critici</w:t>
      </w:r>
    </w:p>
    <w:p w14:paraId="54823B3B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1) Il rischio maggiore non è tecnico: è normativo</w:t>
      </w:r>
    </w:p>
    <w:p w14:paraId="2327304F" w14:textId="77777777" w:rsidR="00356C88" w:rsidRPr="00356C88" w:rsidRDefault="00356C88" w:rsidP="00356C88">
      <w:r w:rsidRPr="00356C88">
        <w:t>Il progetto codifica logiche giuridico-tecniche molto specifiche: formula soglia pre/post 2011, trattamento polizze, moratori con extra 2.1 punti, orientamenti giurisprudenziali per epoca, riferimenti favorevoli/contrari, scoring legato alla forza del contenzioso. Tutto questo è implementabile, ma </w:t>
      </w:r>
      <w:r w:rsidRPr="00356C88">
        <w:rPr>
          <w:b/>
          <w:bCs/>
        </w:rPr>
        <w:t>non dovrebbe stare “hardcoded” come verità definitiva</w:t>
      </w:r>
      <w:r w:rsidRPr="00356C88">
        <w:t>: deve essere configurabile, versionato e validato da un professionista del settore. </w:t>
      </w:r>
      <w:hyperlink r:id="rId5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6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7" w:tgtFrame="_blank" w:history="1">
        <w:r w:rsidRPr="00356C88">
          <w:rPr>
            <w:rStyle w:val="Collegamentoipertestuale"/>
          </w:rPr>
          <w:t>Source</w:t>
        </w:r>
      </w:hyperlink>
    </w:p>
    <w:p w14:paraId="3175136D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2) L’IRR e il TEG reale sono fattibili, ma servono regole di tracciabilità</w:t>
      </w:r>
    </w:p>
    <w:p w14:paraId="7377166F" w14:textId="77777777" w:rsidR="00356C88" w:rsidRPr="00356C88" w:rsidRDefault="00356C88" w:rsidP="00356C88">
      <w:r w:rsidRPr="00356C88">
        <w:t>Calcolare il TEG reale con IRR su flussi mensili è assolutamente fattibile. Però in pratica, se un utente o un consulente contesta il risultato, il sistema deve poter spiegare </w:t>
      </w:r>
      <w:r w:rsidRPr="00356C88">
        <w:rPr>
          <w:b/>
          <w:bCs/>
        </w:rPr>
        <w:t>perché</w:t>
      </w:r>
      <w:r w:rsidRPr="00356C88">
        <w:t> una voce è stata inclusa o esclusa, con motivazione leggibile e ripetibile. Se manca questa “explainability”, il report perde credibilità. </w:t>
      </w:r>
      <w:hyperlink r:id="rId8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9" w:tgtFrame="_blank" w:history="1">
        <w:r w:rsidRPr="00356C88">
          <w:rPr>
            <w:rStyle w:val="Collegamentoipertestuale"/>
          </w:rPr>
          <w:t>Source</w:t>
        </w:r>
      </w:hyperlink>
    </w:p>
    <w:p w14:paraId="3AA4985C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3) L’OCR/LLM è utile, ma va trattato come assistenza, non come fonte certa</w:t>
      </w:r>
    </w:p>
    <w:p w14:paraId="5775DAF6" w14:textId="77777777" w:rsidR="00356C88" w:rsidRPr="00356C88" w:rsidRDefault="00356C88" w:rsidP="00356C88">
      <w:r w:rsidRPr="00356C88">
        <w:t>La Sessione E è valida come idea: estrazione raw, strutturazione in JSON, confidence score, review umana. Questo è il modo giusto. Ma l’accuratezza su contratti bancari reali può variare molto: scansioni, allegati, tabelle, clausole sparse, dati contraddittori, polizze su documenti separati. Quindi il parser deve essere visto come </w:t>
      </w:r>
      <w:r w:rsidRPr="00356C88">
        <w:rPr>
          <w:b/>
          <w:bCs/>
        </w:rPr>
        <w:t>pre-compilazione assistita</w:t>
      </w:r>
      <w:r w:rsidRPr="00356C88">
        <w:t>, non come acquisizione affidabile al 100%. </w:t>
      </w:r>
      <w:hyperlink r:id="rId10" w:tgtFrame="_blank" w:history="1">
        <w:r w:rsidRPr="00356C88">
          <w:rPr>
            <w:rStyle w:val="Collegamentoipertestuale"/>
          </w:rPr>
          <w:t>Source</w:t>
        </w:r>
      </w:hyperlink>
    </w:p>
    <w:p w14:paraId="5F5DEB87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lastRenderedPageBreak/>
        <w:t>4) Il modulo anatocismo è ancora incompleto</w:t>
      </w:r>
    </w:p>
    <w:p w14:paraId="312183EB" w14:textId="77777777" w:rsidR="00356C88" w:rsidRPr="00356C88" w:rsidRDefault="00356C88" w:rsidP="00356C88">
      <w:r w:rsidRPr="00356C88">
        <w:t>Nel progetto l’anatocismo è citato come obiettivo generale, ma in engine compare solo uno stub per l’ammortamento francese. Questo significa che oggi il progetto è più maturo per </w:t>
      </w:r>
      <w:r w:rsidRPr="00356C88">
        <w:rPr>
          <w:b/>
          <w:bCs/>
        </w:rPr>
        <w:t>usura/TEG/polizze/soglie</w:t>
      </w:r>
      <w:r w:rsidRPr="00356C88">
        <w:t> che per un’analisi forte e difendibile di anatocismo. </w:t>
      </w:r>
      <w:hyperlink r:id="rId11" w:tgtFrame="_blank" w:history="1">
        <w:r w:rsidRPr="00356C88">
          <w:rPr>
            <w:rStyle w:val="Collegamentoipertestuale"/>
          </w:rPr>
          <w:t>Source</w:t>
        </w:r>
      </w:hyperlink>
    </w:p>
    <w:p w14:paraId="6DCE9B18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5) SQLite va bene all’inizio, ma non se il prodotto cresce in multiutenza</w:t>
      </w:r>
    </w:p>
    <w:p w14:paraId="2A20E7EC" w14:textId="77777777" w:rsidR="00356C88" w:rsidRPr="00356C88" w:rsidRDefault="00356C88" w:rsidP="00356C88">
      <w:r w:rsidRPr="00356C88">
        <w:t>Per una desktop app è una scelta giusta. Però se domani volete archivio condiviso, lavoro di team, sincronizzazione cloud, versionamento pratiche o audit multioperatore, SQLite in locale diventa un limite. </w:t>
      </w:r>
      <w:hyperlink r:id="rId12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13" w:tgtFrame="_blank" w:history="1">
        <w:r w:rsidRPr="00356C88">
          <w:rPr>
            <w:rStyle w:val="Collegamentoipertestuale"/>
          </w:rPr>
          <w:t>Source</w:t>
        </w:r>
      </w:hyperlink>
    </w:p>
    <w:p w14:paraId="4B6E1A7B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6) Electron + Express locale è fattibile, ma forse superfluo</w:t>
      </w:r>
    </w:p>
    <w:p w14:paraId="59FAC10A" w14:textId="77777777" w:rsidR="00356C88" w:rsidRPr="00356C88" w:rsidRDefault="00356C88" w:rsidP="00356C88">
      <w:r w:rsidRPr="00356C88">
        <w:t>Si può fare, ma per questa tipologia di app spesso basta Electron con IPC ben organizzato. Aggiungere un Express locale può essere utile se vuoi esporre API interne o facilitare modularità, ma porta anche superficie in più da gestire. </w:t>
      </w:r>
      <w:hyperlink r:id="rId14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15" w:tgtFrame="_blank" w:history="1">
        <w:r w:rsidRPr="00356C88">
          <w:rPr>
            <w:rStyle w:val="Collegamentoipertestuale"/>
          </w:rPr>
          <w:t>Source</w:t>
        </w:r>
      </w:hyperlink>
    </w:p>
    <w:p w14:paraId="03CC8D1B" w14:textId="77777777" w:rsidR="00356C88" w:rsidRPr="00356C88" w:rsidRDefault="00356C88" w:rsidP="00356C88">
      <w:r w:rsidRPr="00356C88">
        <w:pict w14:anchorId="61396F0F">
          <v:rect id="_x0000_i1055" style="width:0;height:1.5pt" o:hralign="center" o:hrstd="t" o:hrnoshade="t" o:hr="t" fillcolor="#eaeaea" stroked="f"/>
        </w:pict>
      </w:r>
    </w:p>
    <w:p w14:paraId="594DEA92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Pro</w:t>
      </w:r>
    </w:p>
    <w:p w14:paraId="1D2CD1DC" w14:textId="77777777" w:rsidR="00356C88" w:rsidRPr="00356C88" w:rsidRDefault="00356C88" w:rsidP="00356C88">
      <w:pPr>
        <w:numPr>
          <w:ilvl w:val="0"/>
          <w:numId w:val="1"/>
        </w:numPr>
      </w:pPr>
      <w:r w:rsidRPr="00356C88">
        <w:rPr>
          <w:b/>
          <w:bCs/>
        </w:rPr>
        <w:t>Architettura chiara e modulare</w:t>
      </w:r>
      <w:r w:rsidRPr="00356C88">
        <w:t>, con separazione tra DB, engine, UI, report e parser. </w:t>
      </w:r>
      <w:hyperlink r:id="rId16" w:tgtFrame="_blank" w:history="1">
        <w:r w:rsidRPr="00356C88">
          <w:rPr>
            <w:rStyle w:val="Collegamentoipertestuale"/>
          </w:rPr>
          <w:t>Source</w:t>
        </w:r>
      </w:hyperlink>
    </w:p>
    <w:p w14:paraId="5B7BB133" w14:textId="77777777" w:rsidR="00356C88" w:rsidRPr="00356C88" w:rsidRDefault="00356C88" w:rsidP="00356C88">
      <w:pPr>
        <w:numPr>
          <w:ilvl w:val="0"/>
          <w:numId w:val="1"/>
        </w:numPr>
      </w:pPr>
      <w:r w:rsidRPr="00356C88">
        <w:rPr>
          <w:b/>
          <w:bCs/>
        </w:rPr>
        <w:t>Ottimo fit per app desktop professionale</w:t>
      </w:r>
      <w:r w:rsidRPr="00356C88">
        <w:t>, senza dipendere da infrastrutture cloud pesanti. </w:t>
      </w:r>
      <w:hyperlink r:id="rId17" w:tgtFrame="_blank" w:history="1">
        <w:r w:rsidRPr="00356C88">
          <w:rPr>
            <w:rStyle w:val="Collegamentoipertestuale"/>
          </w:rPr>
          <w:t>Source</w:t>
        </w:r>
      </w:hyperlink>
    </w:p>
    <w:p w14:paraId="3349C7EC" w14:textId="77777777" w:rsidR="00356C88" w:rsidRPr="00356C88" w:rsidRDefault="00356C88" w:rsidP="00356C88">
      <w:pPr>
        <w:numPr>
          <w:ilvl w:val="0"/>
          <w:numId w:val="1"/>
        </w:numPr>
      </w:pPr>
      <w:r w:rsidRPr="00356C88">
        <w:rPr>
          <w:b/>
          <w:bCs/>
        </w:rPr>
        <w:t>Workflow credibile per l’utente finale</w:t>
      </w:r>
      <w:r w:rsidRPr="00356C88">
        <w:t>: input → verifica → analisi → report → archivio. </w:t>
      </w:r>
      <w:hyperlink r:id="rId18" w:tgtFrame="_blank" w:history="1">
        <w:r w:rsidRPr="00356C88">
          <w:rPr>
            <w:rStyle w:val="Collegamentoipertestuale"/>
          </w:rPr>
          <w:t>Source</w:t>
        </w:r>
      </w:hyperlink>
    </w:p>
    <w:p w14:paraId="30876CC5" w14:textId="77777777" w:rsidR="00356C88" w:rsidRPr="00356C88" w:rsidRDefault="00356C88" w:rsidP="00356C88">
      <w:pPr>
        <w:numPr>
          <w:ilvl w:val="0"/>
          <w:numId w:val="1"/>
        </w:numPr>
      </w:pPr>
      <w:r w:rsidRPr="00356C88">
        <w:rPr>
          <w:b/>
          <w:bCs/>
        </w:rPr>
        <w:t>Valore commerciale concreto</w:t>
      </w:r>
      <w:r w:rsidRPr="00356C88">
        <w:t>: dashboard, archivio, export, report PDF, scoring e supporto documentale. </w:t>
      </w:r>
      <w:hyperlink r:id="rId19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20" w:tgtFrame="_blank" w:history="1">
        <w:r w:rsidRPr="00356C88">
          <w:rPr>
            <w:rStyle w:val="Collegamentoipertestuale"/>
          </w:rPr>
          <w:t>Source</w:t>
        </w:r>
      </w:hyperlink>
    </w:p>
    <w:p w14:paraId="566498B5" w14:textId="77777777" w:rsidR="00356C88" w:rsidRPr="00356C88" w:rsidRDefault="00356C88" w:rsidP="00356C88">
      <w:pPr>
        <w:numPr>
          <w:ilvl w:val="0"/>
          <w:numId w:val="1"/>
        </w:numPr>
      </w:pPr>
      <w:r w:rsidRPr="00356C88">
        <w:rPr>
          <w:b/>
          <w:bCs/>
        </w:rPr>
        <w:t>Buona attenzione alla prudenza legale</w:t>
      </w:r>
      <w:r w:rsidRPr="00356C88">
        <w:t>, grazie a disclaimer e presenza di riferimenti favorevoli/contrari. </w:t>
      </w:r>
      <w:hyperlink r:id="rId21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22" w:tgtFrame="_blank" w:history="1">
        <w:r w:rsidRPr="00356C88">
          <w:rPr>
            <w:rStyle w:val="Collegamentoipertestuale"/>
          </w:rPr>
          <w:t>Source</w:t>
        </w:r>
      </w:hyperlink>
    </w:p>
    <w:p w14:paraId="6C433B1B" w14:textId="77777777" w:rsidR="00356C88" w:rsidRPr="00356C88" w:rsidRDefault="00356C88" w:rsidP="00356C88">
      <w:pPr>
        <w:numPr>
          <w:ilvl w:val="0"/>
          <w:numId w:val="1"/>
        </w:numPr>
      </w:pPr>
      <w:r w:rsidRPr="00356C88">
        <w:rPr>
          <w:b/>
          <w:bCs/>
        </w:rPr>
        <w:t>Parser documentale ben pensato</w:t>
      </w:r>
      <w:r w:rsidRPr="00356C88">
        <w:t>, perché include review umana e confidence score. </w:t>
      </w:r>
      <w:hyperlink r:id="rId23" w:tgtFrame="_blank" w:history="1">
        <w:r w:rsidRPr="00356C88">
          <w:rPr>
            <w:rStyle w:val="Collegamentoipertestuale"/>
          </w:rPr>
          <w:t>Source</w:t>
        </w:r>
      </w:hyperlink>
    </w:p>
    <w:p w14:paraId="6A3F7577" w14:textId="77777777" w:rsidR="00356C88" w:rsidRPr="00356C88" w:rsidRDefault="00356C88" w:rsidP="00356C88">
      <w:r w:rsidRPr="00356C88">
        <w:pict w14:anchorId="73667C52">
          <v:rect id="_x0000_i1056" style="width:0;height:1.5pt" o:hralign="center" o:hrstd="t" o:hrnoshade="t" o:hr="t" fillcolor="#eaeaea" stroked="f"/>
        </w:pict>
      </w:r>
    </w:p>
    <w:p w14:paraId="1F8A3D69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Contro</w:t>
      </w:r>
    </w:p>
    <w:p w14:paraId="15629D32" w14:textId="77777777" w:rsidR="00356C88" w:rsidRPr="00356C88" w:rsidRDefault="00356C88" w:rsidP="00356C88">
      <w:pPr>
        <w:numPr>
          <w:ilvl w:val="0"/>
          <w:numId w:val="2"/>
        </w:numPr>
      </w:pPr>
      <w:r w:rsidRPr="00356C88">
        <w:rPr>
          <w:b/>
          <w:bCs/>
        </w:rPr>
        <w:t>Alto rischio di semplificazione eccessiva della materia legale</w:t>
      </w:r>
      <w:r w:rsidRPr="00356C88">
        <w:t> se le regole restano codificate in modo rigido. </w:t>
      </w:r>
      <w:hyperlink r:id="rId24" w:tgtFrame="_blank" w:history="1">
        <w:r w:rsidRPr="00356C88">
          <w:rPr>
            <w:rStyle w:val="Collegamentoipertestuale"/>
          </w:rPr>
          <w:t>Source</w:t>
        </w:r>
      </w:hyperlink>
    </w:p>
    <w:p w14:paraId="0335358C" w14:textId="77777777" w:rsidR="00356C88" w:rsidRPr="00356C88" w:rsidRDefault="00356C88" w:rsidP="00356C88">
      <w:pPr>
        <w:numPr>
          <w:ilvl w:val="0"/>
          <w:numId w:val="2"/>
        </w:numPr>
      </w:pPr>
      <w:r w:rsidRPr="00356C88">
        <w:rPr>
          <w:b/>
          <w:bCs/>
        </w:rPr>
        <w:t>Possibili contestazioni sul metodo di calcolo</w:t>
      </w:r>
      <w:r w:rsidRPr="00356C88">
        <w:t> se non esiste un tracciato completo delle assunzioni e delle esclusioni/inclusioni. </w:t>
      </w:r>
      <w:hyperlink r:id="rId25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26" w:tgtFrame="_blank" w:history="1">
        <w:r w:rsidRPr="00356C88">
          <w:rPr>
            <w:rStyle w:val="Collegamentoipertestuale"/>
          </w:rPr>
          <w:t>Source</w:t>
        </w:r>
      </w:hyperlink>
    </w:p>
    <w:p w14:paraId="2B54000C" w14:textId="77777777" w:rsidR="00356C88" w:rsidRPr="00356C88" w:rsidRDefault="00356C88" w:rsidP="00356C88">
      <w:pPr>
        <w:numPr>
          <w:ilvl w:val="0"/>
          <w:numId w:val="2"/>
        </w:numPr>
      </w:pPr>
      <w:r w:rsidRPr="00356C88">
        <w:rPr>
          <w:b/>
          <w:bCs/>
        </w:rPr>
        <w:lastRenderedPageBreak/>
        <w:t>OCR/LLM non deterministico</w:t>
      </w:r>
      <w:r w:rsidRPr="00356C88">
        <w:t>, quindi errore documentale possibile e necessità di controllo umano costante. </w:t>
      </w:r>
      <w:hyperlink r:id="rId27" w:tgtFrame="_blank" w:history="1">
        <w:r w:rsidRPr="00356C88">
          <w:rPr>
            <w:rStyle w:val="Collegamentoipertestuale"/>
          </w:rPr>
          <w:t>Source</w:t>
        </w:r>
      </w:hyperlink>
    </w:p>
    <w:p w14:paraId="50928B13" w14:textId="77777777" w:rsidR="00356C88" w:rsidRPr="00356C88" w:rsidRDefault="00356C88" w:rsidP="00356C88">
      <w:pPr>
        <w:numPr>
          <w:ilvl w:val="0"/>
          <w:numId w:val="2"/>
        </w:numPr>
      </w:pPr>
      <w:r w:rsidRPr="00356C88">
        <w:rPr>
          <w:b/>
          <w:bCs/>
        </w:rPr>
        <w:t>Scope già ampio</w:t>
      </w:r>
      <w:r w:rsidRPr="00356C88">
        <w:t>: DB, engine, UI, report, parser, configurazione API, export. Per un primo rilascio è tanto. </w:t>
      </w:r>
      <w:hyperlink r:id="rId28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29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30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31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32" w:tgtFrame="_blank" w:history="1">
        <w:r w:rsidRPr="00356C88">
          <w:rPr>
            <w:rStyle w:val="Collegamentoipertestuale"/>
          </w:rPr>
          <w:t>Source</w:t>
        </w:r>
      </w:hyperlink>
    </w:p>
    <w:p w14:paraId="20EE4A05" w14:textId="77777777" w:rsidR="00356C88" w:rsidRPr="00356C88" w:rsidRDefault="00356C88" w:rsidP="00356C88">
      <w:pPr>
        <w:numPr>
          <w:ilvl w:val="0"/>
          <w:numId w:val="2"/>
        </w:numPr>
      </w:pPr>
      <w:r w:rsidRPr="00356C88">
        <w:rPr>
          <w:b/>
          <w:bCs/>
        </w:rPr>
        <w:t>Anatocismo non realmente coperto</w:t>
      </w:r>
      <w:r w:rsidRPr="00356C88">
        <w:t> nel disegno attuale. </w:t>
      </w:r>
      <w:hyperlink r:id="rId33" w:tgtFrame="_blank" w:history="1">
        <w:r w:rsidRPr="00356C88">
          <w:rPr>
            <w:rStyle w:val="Collegamentoipertestuale"/>
          </w:rPr>
          <w:t>Source</w:t>
        </w:r>
      </w:hyperlink>
    </w:p>
    <w:p w14:paraId="709A6DCB" w14:textId="77777777" w:rsidR="00356C88" w:rsidRPr="00356C88" w:rsidRDefault="00356C88" w:rsidP="00356C88">
      <w:pPr>
        <w:numPr>
          <w:ilvl w:val="0"/>
          <w:numId w:val="2"/>
        </w:numPr>
      </w:pPr>
      <w:r w:rsidRPr="00356C88">
        <w:rPr>
          <w:b/>
          <w:bCs/>
        </w:rPr>
        <w:t>Scalabilità limitata</w:t>
      </w:r>
      <w:r w:rsidRPr="00356C88">
        <w:t> se in futuro volete collaborazione multiutente o cloud sync. </w:t>
      </w:r>
      <w:hyperlink r:id="rId34" w:tgtFrame="_blank" w:history="1">
        <w:r w:rsidRPr="00356C88">
          <w:rPr>
            <w:rStyle w:val="Collegamentoipertestuale"/>
          </w:rPr>
          <w:t>Source</w:t>
        </w:r>
      </w:hyperlink>
    </w:p>
    <w:p w14:paraId="6F72E5A0" w14:textId="77777777" w:rsidR="00356C88" w:rsidRPr="00356C88" w:rsidRDefault="00356C88" w:rsidP="00356C88">
      <w:r w:rsidRPr="00356C88">
        <w:pict w14:anchorId="3DBC48E1">
          <v:rect id="_x0000_i1057" style="width:0;height:1.5pt" o:hralign="center" o:hrstd="t" o:hrnoshade="t" o:hr="t" fillcolor="#eaeaea" stroked="f"/>
        </w:pict>
      </w:r>
    </w:p>
    <w:p w14:paraId="25E02616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È migliorabile? Sì, molto. Ecco come.</w:t>
      </w:r>
    </w:p>
    <w:p w14:paraId="2321D051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1) Separare “motore matematico” da “motore normativo”</w:t>
      </w:r>
    </w:p>
    <w:p w14:paraId="63418159" w14:textId="77777777" w:rsidR="00356C88" w:rsidRPr="00356C88" w:rsidRDefault="00356C88" w:rsidP="00356C88">
      <w:r w:rsidRPr="00356C88">
        <w:t>Il calcolo IRR/TEG dovrebbe essere un modulo puro e deterministico. Le regole normative e giurisprudenziali invece dovrebbero stare in un livello separato, con tabelle/versioni/parametri. Così potete aggiornare interpretazioni, soglie, orientamenti e testi report senza toccare l’algoritmo matematico. Questo è forse il miglior miglioramento possibile. </w:t>
      </w:r>
      <w:hyperlink r:id="rId35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36" w:tgtFrame="_blank" w:history="1">
        <w:r w:rsidRPr="00356C88">
          <w:rPr>
            <w:rStyle w:val="Collegamentoipertestuale"/>
          </w:rPr>
          <w:t>Source</w:t>
        </w:r>
      </w:hyperlink>
    </w:p>
    <w:p w14:paraId="630C2FF0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2) Rendere lo scoring spiegabile</w:t>
      </w:r>
    </w:p>
    <w:p w14:paraId="6597E6A6" w14:textId="77777777" w:rsidR="00356C88" w:rsidRPr="00356C88" w:rsidRDefault="00356C88" w:rsidP="00356C88">
      <w:r w:rsidRPr="00356C88">
        <w:t>Oggi lo score 0-4 è utile, ma rischia di sembrare “magico”. Io aggiungerei sempre una scheda “come è stato determinato lo score”, con 5-10 fattori espliciti: delta soglia, presenza polizza condizionante, epoca contratto, esito moratori, completezza documentale, affidabilità estrazione. </w:t>
      </w:r>
      <w:hyperlink r:id="rId37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38" w:tgtFrame="_blank" w:history="1">
        <w:r w:rsidRPr="00356C88">
          <w:rPr>
            <w:rStyle w:val="Collegamentoipertestuale"/>
          </w:rPr>
          <w:t>Source</w:t>
        </w:r>
      </w:hyperlink>
    </w:p>
    <w:p w14:paraId="0F784DB1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3) Creare un audit trail per ogni analisi</w:t>
      </w:r>
    </w:p>
    <w:p w14:paraId="15493B8C" w14:textId="77777777" w:rsidR="00356C88" w:rsidRPr="00356C88" w:rsidRDefault="00356C88" w:rsidP="00356C88">
      <w:r w:rsidRPr="00356C88">
        <w:t>Per ogni pratica salverei: input originari, regole applicate, versione del dataset soglie, versione del motore, elenco voci incluse/escluse, warnings, timestamp, utente e hash del report. Questo rende il sistema molto più solido in revisione interna e verso il cliente. </w:t>
      </w:r>
      <w:hyperlink r:id="rId39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40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41" w:tgtFrame="_blank" w:history="1">
        <w:r w:rsidRPr="00356C88">
          <w:rPr>
            <w:rStyle w:val="Collegamentoipertestuale"/>
          </w:rPr>
          <w:t>Source</w:t>
        </w:r>
      </w:hyperlink>
    </w:p>
    <w:p w14:paraId="357E1ED6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4) Non hardcodare le soglie e le sentenze nel codice</w:t>
      </w:r>
    </w:p>
    <w:p w14:paraId="4271BB54" w14:textId="77777777" w:rsidR="00356C88" w:rsidRPr="00356C88" w:rsidRDefault="00356C88" w:rsidP="00356C88">
      <w:r w:rsidRPr="00356C88">
        <w:t>Le soglie storiche possono essere seedate, sì, ma con </w:t>
      </w:r>
      <w:r w:rsidRPr="00356C88">
        <w:rPr>
          <w:b/>
          <w:bCs/>
        </w:rPr>
        <w:t>fonte, versione, data aggiornamento e importazione tracciata</w:t>
      </w:r>
      <w:r w:rsidRPr="00356C88">
        <w:t>. Lo stesso vale per i riferimenti giurisprudenziali: meglio tenerli in DB o in file configurabili, con stato attivo/disattivo e note redazionali. </w:t>
      </w:r>
      <w:hyperlink r:id="rId42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43" w:tgtFrame="_blank" w:history="1">
        <w:r w:rsidRPr="00356C88">
          <w:rPr>
            <w:rStyle w:val="Collegamentoipertestuale"/>
          </w:rPr>
          <w:t>Source</w:t>
        </w:r>
      </w:hyperlink>
    </w:p>
    <w:p w14:paraId="202C5936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5) Introdurre livelli di affidabilità dell’analisi</w:t>
      </w:r>
    </w:p>
    <w:p w14:paraId="60674255" w14:textId="77777777" w:rsidR="00356C88" w:rsidRPr="00356C88" w:rsidRDefault="00356C88" w:rsidP="00356C88">
      <w:r w:rsidRPr="00356C88">
        <w:t>Ottima l’idea della confidence sui campi estratti. La estenderei all’intera pratica, con indicatori tipo: </w:t>
      </w:r>
      <w:r w:rsidRPr="00356C88">
        <w:rPr>
          <w:b/>
          <w:bCs/>
        </w:rPr>
        <w:t>alta affidabilità / media / bassa</w:t>
      </w:r>
      <w:r w:rsidRPr="00356C88">
        <w:t>, in base a completezza dati, qualità parser, presenza documento, numero campi stimati, presenza polizze non chiare. Questo evita che report “deboli” siano letti come conclusivi. </w:t>
      </w:r>
      <w:hyperlink r:id="rId44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45" w:tgtFrame="_blank" w:history="1">
        <w:r w:rsidRPr="00356C88">
          <w:rPr>
            <w:rStyle w:val="Collegamentoipertestuale"/>
          </w:rPr>
          <w:t>Source</w:t>
        </w:r>
      </w:hyperlink>
    </w:p>
    <w:p w14:paraId="7468AF49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lastRenderedPageBreak/>
        <w:t>6) Ridurre lo scope del primo rilascio</w:t>
      </w:r>
    </w:p>
    <w:p w14:paraId="6F197FC0" w14:textId="77777777" w:rsidR="00356C88" w:rsidRPr="00356C88" w:rsidRDefault="00356C88" w:rsidP="00356C88">
      <w:r w:rsidRPr="00356C88">
        <w:t>Se volete consegnare davvero, io farei un MVP così:</w:t>
      </w:r>
    </w:p>
    <w:p w14:paraId="4046C8E2" w14:textId="77777777" w:rsidR="00356C88" w:rsidRPr="00356C88" w:rsidRDefault="00356C88" w:rsidP="00356C88">
      <w:pPr>
        <w:numPr>
          <w:ilvl w:val="0"/>
          <w:numId w:val="3"/>
        </w:numPr>
      </w:pPr>
      <w:r w:rsidRPr="00356C88">
        <w:t>inserimento manuale;</w:t>
      </w:r>
    </w:p>
    <w:p w14:paraId="769561BC" w14:textId="77777777" w:rsidR="00356C88" w:rsidRPr="00356C88" w:rsidRDefault="00356C88" w:rsidP="00356C88">
      <w:pPr>
        <w:numPr>
          <w:ilvl w:val="0"/>
          <w:numId w:val="3"/>
        </w:numPr>
      </w:pPr>
      <w:r w:rsidRPr="00356C88">
        <w:t>calcolo TEG reale + soglia;</w:t>
      </w:r>
    </w:p>
    <w:p w14:paraId="5BD36F1E" w14:textId="77777777" w:rsidR="00356C88" w:rsidRPr="00356C88" w:rsidRDefault="00356C88" w:rsidP="00356C88">
      <w:pPr>
        <w:numPr>
          <w:ilvl w:val="0"/>
          <w:numId w:val="3"/>
        </w:numPr>
      </w:pPr>
      <w:r w:rsidRPr="00356C88">
        <w:t>score spiegabile;</w:t>
      </w:r>
    </w:p>
    <w:p w14:paraId="595ABB9F" w14:textId="77777777" w:rsidR="00356C88" w:rsidRPr="00356C88" w:rsidRDefault="00356C88" w:rsidP="00356C88">
      <w:pPr>
        <w:numPr>
          <w:ilvl w:val="0"/>
          <w:numId w:val="3"/>
        </w:numPr>
      </w:pPr>
      <w:r w:rsidRPr="00356C88">
        <w:t>report PDF;</w:t>
      </w:r>
    </w:p>
    <w:p w14:paraId="08DCA7EB" w14:textId="77777777" w:rsidR="00356C88" w:rsidRPr="00356C88" w:rsidRDefault="00356C88" w:rsidP="00356C88">
      <w:pPr>
        <w:numPr>
          <w:ilvl w:val="0"/>
          <w:numId w:val="3"/>
        </w:numPr>
      </w:pPr>
      <w:r w:rsidRPr="00356C88">
        <w:t>archivio pratiche.</w:t>
      </w:r>
      <w:r w:rsidRPr="00356C88">
        <w:br/>
        <w:t>L’OCR/LLM lo metterei in </w:t>
      </w:r>
      <w:r w:rsidRPr="00356C88">
        <w:rPr>
          <w:b/>
          <w:bCs/>
        </w:rPr>
        <w:t>fase 2</w:t>
      </w:r>
      <w:r w:rsidRPr="00356C88">
        <w:t>, e l’anatocismo in </w:t>
      </w:r>
      <w:r w:rsidRPr="00356C88">
        <w:rPr>
          <w:b/>
          <w:bCs/>
        </w:rPr>
        <w:t>fase 3</w:t>
      </w:r>
      <w:r w:rsidRPr="00356C88">
        <w:t>. </w:t>
      </w:r>
      <w:hyperlink r:id="rId46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47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48" w:tgtFrame="_blank" w:history="1">
        <w:r w:rsidRPr="00356C88">
          <w:rPr>
            <w:rStyle w:val="Collegamentoipertestuale"/>
          </w:rPr>
          <w:t>Source</w:t>
        </w:r>
      </w:hyperlink>
    </w:p>
    <w:p w14:paraId="14229E18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7) Valutare TypeScript</w:t>
      </w:r>
    </w:p>
    <w:p w14:paraId="0F17A948" w14:textId="77777777" w:rsidR="00356C88" w:rsidRPr="00356C88" w:rsidRDefault="00356C88" w:rsidP="00356C88">
      <w:r w:rsidRPr="00356C88">
        <w:t>Non è obbligatorio, ma per un progetto con tanti DTO, contratti, tabelle, IPC handler e moduli engine/report/parser, TypeScript darebbe molto valore: meno errori silenziosi e maggiore manutenibilità. Le sessioni attuali sono in JS puro; funziona, ma nel medio periodo TS è più sano. </w:t>
      </w:r>
      <w:hyperlink r:id="rId49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50" w:tgtFrame="_blank" w:history="1">
        <w:r w:rsidRPr="00356C88">
          <w:rPr>
            <w:rStyle w:val="Collegamentoipertestuale"/>
          </w:rPr>
          <w:t>Source</w:t>
        </w:r>
      </w:hyperlink>
    </w:p>
    <w:p w14:paraId="19C5E93A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8) Rafforzare la sicurezza Electron</w:t>
      </w:r>
    </w:p>
    <w:p w14:paraId="58912724" w14:textId="77777777" w:rsidR="00356C88" w:rsidRPr="00356C88" w:rsidRDefault="00356C88" w:rsidP="00356C88">
      <w:r w:rsidRPr="00356C88">
        <w:t>Dato che c’è IPC, gestione file locali e API key esterna, bisogna blindare bene preload, context isolation, sanitizzazione input, limitazione canali IPC e protezione dei path. Il progetto lo lascia implicito, ma per un’app professionale questo è essenziale. </w:t>
      </w:r>
      <w:hyperlink r:id="rId51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52" w:tgtFrame="_blank" w:history="1">
        <w:r w:rsidRPr="00356C88">
          <w:rPr>
            <w:rStyle w:val="Collegamentoipertestuale"/>
          </w:rPr>
          <w:t>Source</w:t>
        </w:r>
      </w:hyperlink>
    </w:p>
    <w:p w14:paraId="53977E72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9) Curare privacy e governance dati</w:t>
      </w:r>
    </w:p>
    <w:p w14:paraId="75DACA9B" w14:textId="77777777" w:rsidR="00356C88" w:rsidRPr="00356C88" w:rsidRDefault="00356C88" w:rsidP="00356C88">
      <w:r w:rsidRPr="00356C88">
        <w:t>Molto bene non salvare il testo raw del contratto nel DB. Aggiungerei anche: cifratura locale delle configurazioni sensibili, retention policy degli allegati, log minimizzati, redazione automatica dei dati sensibili in debug e possibilità di cancellazione completa della pratica. </w:t>
      </w:r>
      <w:hyperlink r:id="rId53" w:tgtFrame="_blank" w:history="1">
        <w:r w:rsidRPr="00356C88">
          <w:rPr>
            <w:rStyle w:val="Collegamentoipertestuale"/>
          </w:rPr>
          <w:t>Source</w:t>
        </w:r>
      </w:hyperlink>
    </w:p>
    <w:p w14:paraId="659B8B6D" w14:textId="77777777" w:rsidR="00356C88" w:rsidRPr="00356C88" w:rsidRDefault="00356C88" w:rsidP="00356C88">
      <w:r w:rsidRPr="00356C88">
        <w:pict w14:anchorId="7B44B993">
          <v:rect id="_x0000_i1058" style="width:0;height:1.5pt" o:hralign="center" o:hrstd="t" o:hrnoshade="t" o:hr="t" fillcolor="#eaeaea" stroked="f"/>
        </w:pict>
      </w:r>
    </w:p>
    <w:p w14:paraId="1B40BCD3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t>Il mio giudizio pratico</w:t>
      </w:r>
    </w:p>
    <w:p w14:paraId="1D98B788" w14:textId="77777777" w:rsidR="00356C88" w:rsidRPr="00356C88" w:rsidRDefault="00356C88" w:rsidP="00356C88">
      <w:r w:rsidRPr="00356C88">
        <w:t>Se il tuo obiettivo è un </w:t>
      </w:r>
      <w:r w:rsidRPr="00356C88">
        <w:rPr>
          <w:b/>
          <w:bCs/>
        </w:rPr>
        <w:t>tool interno o commerciale di pre-analisi</w:t>
      </w:r>
      <w:r w:rsidRPr="00356C88">
        <w:t>, il progetto è buono e concretamente realizzabile.</w:t>
      </w:r>
      <w:r w:rsidRPr="00356C88">
        <w:br/>
        <w:t>Se il tuo obiettivo è uno strumento che “sostituisce” l’analisi tecnico-legale, allora </w:t>
      </w:r>
      <w:r w:rsidRPr="00356C88">
        <w:rPr>
          <w:b/>
          <w:bCs/>
        </w:rPr>
        <w:t>così com’è non basta</w:t>
      </w:r>
      <w:r w:rsidRPr="00356C88">
        <w:t>. Serve una seconda progettazione centrata su: versioning normativo, audit, explainability, qualità dei dati e governance del rischio. </w:t>
      </w:r>
      <w:hyperlink r:id="rId54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55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56" w:tgtFrame="_blank" w:history="1">
        <w:r w:rsidRPr="00356C88">
          <w:rPr>
            <w:rStyle w:val="Collegamentoipertestuale"/>
          </w:rPr>
          <w:t>Source</w:t>
        </w:r>
      </w:hyperlink>
    </w:p>
    <w:p w14:paraId="06C59DD3" w14:textId="77777777" w:rsidR="00356C88" w:rsidRPr="00356C88" w:rsidRDefault="00356C88" w:rsidP="00356C88">
      <w:r w:rsidRPr="00356C88">
        <w:t>In sintesi: </w:t>
      </w:r>
      <w:r w:rsidRPr="00356C88">
        <w:rPr>
          <w:b/>
          <w:bCs/>
        </w:rPr>
        <w:t>promosso come base prodotto</w:t>
      </w:r>
      <w:r w:rsidRPr="00356C88">
        <w:t>, ma da trattare come </w:t>
      </w:r>
      <w:r w:rsidRPr="00356C88">
        <w:rPr>
          <w:b/>
          <w:bCs/>
        </w:rPr>
        <w:t>decision support system</w:t>
      </w:r>
      <w:r w:rsidRPr="00356C88">
        <w:t>, non come verità automatica. Questa è la distinzione che farà la differenza tra un progetto “interessante” e un progetto davvero vendibile e difendibile. </w:t>
      </w:r>
      <w:hyperlink r:id="rId57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58" w:tgtFrame="_blank" w:history="1">
        <w:r w:rsidRPr="00356C88">
          <w:rPr>
            <w:rStyle w:val="Collegamentoipertestuale"/>
          </w:rPr>
          <w:t>Source</w:t>
        </w:r>
      </w:hyperlink>
    </w:p>
    <w:p w14:paraId="66444AB7" w14:textId="77777777" w:rsidR="00356C88" w:rsidRPr="00356C88" w:rsidRDefault="00356C88" w:rsidP="00356C88">
      <w:r w:rsidRPr="00356C88">
        <w:pict w14:anchorId="16903471">
          <v:rect id="_x0000_i1059" style="width:0;height:1.5pt" o:hralign="center" o:hrstd="t" o:hrnoshade="t" o:hr="t" fillcolor="#eaeaea" stroked="f"/>
        </w:pict>
      </w:r>
    </w:p>
    <w:p w14:paraId="64F34EFB" w14:textId="77777777" w:rsidR="00356C88" w:rsidRPr="00356C88" w:rsidRDefault="00356C88" w:rsidP="00356C88">
      <w:pPr>
        <w:rPr>
          <w:b/>
          <w:bCs/>
        </w:rPr>
      </w:pPr>
      <w:r w:rsidRPr="00356C88">
        <w:rPr>
          <w:b/>
          <w:bCs/>
        </w:rPr>
        <w:lastRenderedPageBreak/>
        <w:t>Consiglio finale molto concreto</w:t>
      </w:r>
    </w:p>
    <w:p w14:paraId="6529E0BA" w14:textId="77777777" w:rsidR="00356C88" w:rsidRPr="00356C88" w:rsidRDefault="00356C88" w:rsidP="00356C88">
      <w:r w:rsidRPr="00356C88">
        <w:t>Io lo svilupperei in questo ordine:</w:t>
      </w:r>
    </w:p>
    <w:p w14:paraId="129F2ED8" w14:textId="77777777" w:rsidR="00356C88" w:rsidRPr="00356C88" w:rsidRDefault="00356C88" w:rsidP="00356C88">
      <w:r w:rsidRPr="00356C88">
        <w:rPr>
          <w:b/>
          <w:bCs/>
        </w:rPr>
        <w:t>Fase 1 — MVP solido</w:t>
      </w:r>
      <w:r w:rsidRPr="00356C88">
        <w:br/>
        <w:t>DB + inserimento manuale + engine TEG/soglie + score spiegabile + PDF + archivio. </w:t>
      </w:r>
      <w:hyperlink r:id="rId59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60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61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62" w:tgtFrame="_blank" w:history="1">
        <w:r w:rsidRPr="00356C88">
          <w:rPr>
            <w:rStyle w:val="Collegamentoipertestuale"/>
          </w:rPr>
          <w:t>Source</w:t>
        </w:r>
      </w:hyperlink>
    </w:p>
    <w:p w14:paraId="7FD4BDD3" w14:textId="77777777" w:rsidR="00356C88" w:rsidRPr="00356C88" w:rsidRDefault="00356C88" w:rsidP="00356C88">
      <w:r w:rsidRPr="00356C88">
        <w:rPr>
          <w:b/>
          <w:bCs/>
        </w:rPr>
        <w:t>Fase 2 — Affidabilità</w:t>
      </w:r>
      <w:r w:rsidRPr="00356C88">
        <w:br/>
        <w:t>test numerici forti, audit trail, versioning soglie, configurazione normativa, sicurezza Electron, qualità report. </w:t>
      </w:r>
      <w:hyperlink r:id="rId63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64" w:tgtFrame="_blank" w:history="1">
        <w:r w:rsidRPr="00356C88">
          <w:rPr>
            <w:rStyle w:val="Collegamentoipertestuale"/>
          </w:rPr>
          <w:t>Source</w:t>
        </w:r>
      </w:hyperlink>
    </w:p>
    <w:p w14:paraId="1F83520C" w14:textId="77777777" w:rsidR="00356C88" w:rsidRPr="00356C88" w:rsidRDefault="00356C88" w:rsidP="00356C88">
      <w:r w:rsidRPr="00356C88">
        <w:rPr>
          <w:b/>
          <w:bCs/>
        </w:rPr>
        <w:t>Fase 3 — Automazione assistita</w:t>
      </w:r>
      <w:r w:rsidRPr="00356C88">
        <w:br/>
        <w:t>upload PDF/DOCX, parser LLM, confidence, review operatore. </w:t>
      </w:r>
      <w:hyperlink r:id="rId65" w:tgtFrame="_blank" w:history="1">
        <w:r w:rsidRPr="00356C88">
          <w:rPr>
            <w:rStyle w:val="Collegamentoipertestuale"/>
          </w:rPr>
          <w:t>Source</w:t>
        </w:r>
      </w:hyperlink>
    </w:p>
    <w:p w14:paraId="0BEF5CB8" w14:textId="77777777" w:rsidR="00356C88" w:rsidRPr="00356C88" w:rsidRDefault="00356C88" w:rsidP="00356C88">
      <w:r w:rsidRPr="00356C88">
        <w:rPr>
          <w:b/>
          <w:bCs/>
        </w:rPr>
        <w:t>Fase 4 — Moduli avanzati</w:t>
      </w:r>
      <w:r w:rsidRPr="00356C88">
        <w:br/>
        <w:t>anatocismo vero, scenari contenzioso, import massivo, eventuale sync cloud. </w:t>
      </w:r>
      <w:hyperlink r:id="rId66" w:tgtFrame="_blank" w:history="1">
        <w:r w:rsidRPr="00356C88">
          <w:rPr>
            <w:rStyle w:val="Collegamentoipertestuale"/>
          </w:rPr>
          <w:t>Source</w:t>
        </w:r>
      </w:hyperlink>
      <w:r w:rsidRPr="00356C88">
        <w:t> </w:t>
      </w:r>
      <w:hyperlink r:id="rId67" w:tgtFrame="_blank" w:history="1">
        <w:r w:rsidRPr="00356C88">
          <w:rPr>
            <w:rStyle w:val="Collegamentoipertestuale"/>
          </w:rPr>
          <w:t>Source</w:t>
        </w:r>
      </w:hyperlink>
    </w:p>
    <w:p w14:paraId="593AFC88" w14:textId="77777777" w:rsidR="00356C88" w:rsidRDefault="00356C88" w:rsidP="00356C88"/>
    <w:sectPr w:rsidR="00356C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F7ACD"/>
    <w:multiLevelType w:val="multilevel"/>
    <w:tmpl w:val="A5A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A637B9"/>
    <w:multiLevelType w:val="multilevel"/>
    <w:tmpl w:val="D36A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7277D6"/>
    <w:multiLevelType w:val="multilevel"/>
    <w:tmpl w:val="3CC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0314284">
    <w:abstractNumId w:val="0"/>
  </w:num>
  <w:num w:numId="2" w16cid:durableId="1469277726">
    <w:abstractNumId w:val="2"/>
  </w:num>
  <w:num w:numId="3" w16cid:durableId="724331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88"/>
    <w:rsid w:val="00356C88"/>
    <w:rsid w:val="005D398C"/>
    <w:rsid w:val="00645F88"/>
    <w:rsid w:val="00AB36B4"/>
    <w:rsid w:val="00FC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0FC7B"/>
  <w15:chartTrackingRefBased/>
  <w15:docId w15:val="{B39D67B4-BD24-4A54-9048-893A8C71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5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5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56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5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56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5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5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5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5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56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56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56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56C8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56C8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56C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56C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56C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56C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5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5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5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5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5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56C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56C8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56C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56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56C8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56C8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56C8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56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enspark.ai/api/files/s/gbRrAkAl" TargetMode="External"/><Relationship Id="rId21" Type="http://schemas.openxmlformats.org/officeDocument/2006/relationships/hyperlink" Target="https://www.genspark.ai/api/files/s/qYvukVQj" TargetMode="External"/><Relationship Id="rId42" Type="http://schemas.openxmlformats.org/officeDocument/2006/relationships/hyperlink" Target="https://www.genspark.ai/api/files/s/Lu7k93ht" TargetMode="External"/><Relationship Id="rId47" Type="http://schemas.openxmlformats.org/officeDocument/2006/relationships/hyperlink" Target="https://www.genspark.ai/api/files/s/qYvukVQj" TargetMode="External"/><Relationship Id="rId63" Type="http://schemas.openxmlformats.org/officeDocument/2006/relationships/hyperlink" Target="https://www.genspark.ai/api/files/s/qYvukVQj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www.genspark.ai/api/files/s/gbRrAk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nspark.ai/api/files/s/Lu7k93ht" TargetMode="External"/><Relationship Id="rId29" Type="http://schemas.openxmlformats.org/officeDocument/2006/relationships/hyperlink" Target="https://www.genspark.ai/api/files/s/qYvukVQj" TargetMode="External"/><Relationship Id="rId11" Type="http://schemas.openxmlformats.org/officeDocument/2006/relationships/hyperlink" Target="https://www.genspark.ai/api/files/s/qYvukVQj" TargetMode="External"/><Relationship Id="rId24" Type="http://schemas.openxmlformats.org/officeDocument/2006/relationships/hyperlink" Target="https://www.genspark.ai/api/files/s/qYvukVQj" TargetMode="External"/><Relationship Id="rId32" Type="http://schemas.openxmlformats.org/officeDocument/2006/relationships/hyperlink" Target="https://www.genspark.ai/api/files/s/QXWSeN91" TargetMode="External"/><Relationship Id="rId37" Type="http://schemas.openxmlformats.org/officeDocument/2006/relationships/hyperlink" Target="https://www.genspark.ai/api/files/s/qYvukVQj" TargetMode="External"/><Relationship Id="rId40" Type="http://schemas.openxmlformats.org/officeDocument/2006/relationships/hyperlink" Target="https://www.genspark.ai/api/files/s/qYvukVQj" TargetMode="External"/><Relationship Id="rId45" Type="http://schemas.openxmlformats.org/officeDocument/2006/relationships/hyperlink" Target="https://www.genspark.ai/api/files/s/gbRrAkAl" TargetMode="External"/><Relationship Id="rId53" Type="http://schemas.openxmlformats.org/officeDocument/2006/relationships/hyperlink" Target="https://www.genspark.ai/api/files/s/QXWSeN91" TargetMode="External"/><Relationship Id="rId58" Type="http://schemas.openxmlformats.org/officeDocument/2006/relationships/hyperlink" Target="https://www.genspark.ai/api/files/s/gbRrAkAl" TargetMode="External"/><Relationship Id="rId66" Type="http://schemas.openxmlformats.org/officeDocument/2006/relationships/hyperlink" Target="https://www.genspark.ai/api/files/s/GE52CrF3" TargetMode="External"/><Relationship Id="rId5" Type="http://schemas.openxmlformats.org/officeDocument/2006/relationships/hyperlink" Target="https://www.genspark.ai/api/files/s/Lu7k93ht" TargetMode="External"/><Relationship Id="rId61" Type="http://schemas.openxmlformats.org/officeDocument/2006/relationships/hyperlink" Target="https://www.genspark.ai/api/files/s/N1RryAWW" TargetMode="External"/><Relationship Id="rId19" Type="http://schemas.openxmlformats.org/officeDocument/2006/relationships/hyperlink" Target="https://www.genspark.ai/api/files/s/N1RryAWW" TargetMode="External"/><Relationship Id="rId14" Type="http://schemas.openxmlformats.org/officeDocument/2006/relationships/hyperlink" Target="https://www.genspark.ai/api/files/s/Lu7k93ht" TargetMode="External"/><Relationship Id="rId22" Type="http://schemas.openxmlformats.org/officeDocument/2006/relationships/hyperlink" Target="https://www.genspark.ai/api/files/s/gbRrAkAl" TargetMode="External"/><Relationship Id="rId27" Type="http://schemas.openxmlformats.org/officeDocument/2006/relationships/hyperlink" Target="https://www.genspark.ai/api/files/s/QXWSeN91" TargetMode="External"/><Relationship Id="rId30" Type="http://schemas.openxmlformats.org/officeDocument/2006/relationships/hyperlink" Target="https://www.genspark.ai/api/files/s/N1RryAWW" TargetMode="External"/><Relationship Id="rId35" Type="http://schemas.openxmlformats.org/officeDocument/2006/relationships/hyperlink" Target="https://www.genspark.ai/api/files/s/qYvukVQj" TargetMode="External"/><Relationship Id="rId43" Type="http://schemas.openxmlformats.org/officeDocument/2006/relationships/hyperlink" Target="https://www.genspark.ai/api/files/s/qYvukVQj" TargetMode="External"/><Relationship Id="rId48" Type="http://schemas.openxmlformats.org/officeDocument/2006/relationships/hyperlink" Target="https://www.genspark.ai/api/files/s/QXWSeN91" TargetMode="External"/><Relationship Id="rId56" Type="http://schemas.openxmlformats.org/officeDocument/2006/relationships/hyperlink" Target="https://www.genspark.ai/api/files/s/QXWSeN91" TargetMode="External"/><Relationship Id="rId64" Type="http://schemas.openxmlformats.org/officeDocument/2006/relationships/hyperlink" Target="https://www.genspark.ai/api/files/s/gbRrAkAl" TargetMode="External"/><Relationship Id="rId69" Type="http://schemas.openxmlformats.org/officeDocument/2006/relationships/theme" Target="theme/theme1.xml"/><Relationship Id="rId8" Type="http://schemas.openxmlformats.org/officeDocument/2006/relationships/hyperlink" Target="https://www.genspark.ai/api/files/s/qYvukVQj" TargetMode="External"/><Relationship Id="rId51" Type="http://schemas.openxmlformats.org/officeDocument/2006/relationships/hyperlink" Target="https://www.genspark.ai/api/files/s/N1RryAWW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nspark.ai/api/files/s/Lu7k93ht" TargetMode="External"/><Relationship Id="rId17" Type="http://schemas.openxmlformats.org/officeDocument/2006/relationships/hyperlink" Target="https://www.genspark.ai/api/files/s/Lu7k93ht" TargetMode="External"/><Relationship Id="rId25" Type="http://schemas.openxmlformats.org/officeDocument/2006/relationships/hyperlink" Target="https://www.genspark.ai/api/files/s/qYvukVQj" TargetMode="External"/><Relationship Id="rId33" Type="http://schemas.openxmlformats.org/officeDocument/2006/relationships/hyperlink" Target="https://www.genspark.ai/api/files/s/qYvukVQj" TargetMode="External"/><Relationship Id="rId38" Type="http://schemas.openxmlformats.org/officeDocument/2006/relationships/hyperlink" Target="https://www.genspark.ai/api/files/s/N1RryAWW" TargetMode="External"/><Relationship Id="rId46" Type="http://schemas.openxmlformats.org/officeDocument/2006/relationships/hyperlink" Target="https://www.genspark.ai/api/files/s/GE52CrF3" TargetMode="External"/><Relationship Id="rId59" Type="http://schemas.openxmlformats.org/officeDocument/2006/relationships/hyperlink" Target="https://www.genspark.ai/api/files/s/Lu7k93ht" TargetMode="External"/><Relationship Id="rId67" Type="http://schemas.openxmlformats.org/officeDocument/2006/relationships/hyperlink" Target="https://www.genspark.ai/api/files/s/qYvukVQj" TargetMode="External"/><Relationship Id="rId20" Type="http://schemas.openxmlformats.org/officeDocument/2006/relationships/hyperlink" Target="https://www.genspark.ai/api/files/s/gbRrAkAl" TargetMode="External"/><Relationship Id="rId41" Type="http://schemas.openxmlformats.org/officeDocument/2006/relationships/hyperlink" Target="https://www.genspark.ai/api/files/s/gbRrAkAl" TargetMode="External"/><Relationship Id="rId54" Type="http://schemas.openxmlformats.org/officeDocument/2006/relationships/hyperlink" Target="https://www.genspark.ai/api/files/s/qYvukVQj" TargetMode="External"/><Relationship Id="rId62" Type="http://schemas.openxmlformats.org/officeDocument/2006/relationships/hyperlink" Target="https://www.genspark.ai/api/files/s/gbRrAk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nspark.ai/api/files/s/qYvukVQj" TargetMode="External"/><Relationship Id="rId15" Type="http://schemas.openxmlformats.org/officeDocument/2006/relationships/hyperlink" Target="https://www.genspark.ai/api/files/s/N1RryAWW" TargetMode="External"/><Relationship Id="rId23" Type="http://schemas.openxmlformats.org/officeDocument/2006/relationships/hyperlink" Target="https://www.genspark.ai/api/files/s/QXWSeN91" TargetMode="External"/><Relationship Id="rId28" Type="http://schemas.openxmlformats.org/officeDocument/2006/relationships/hyperlink" Target="https://www.genspark.ai/api/files/s/Lu7k93ht" TargetMode="External"/><Relationship Id="rId36" Type="http://schemas.openxmlformats.org/officeDocument/2006/relationships/hyperlink" Target="https://www.genspark.ai/api/files/s/gbRrAkAl" TargetMode="External"/><Relationship Id="rId49" Type="http://schemas.openxmlformats.org/officeDocument/2006/relationships/hyperlink" Target="https://www.genspark.ai/api/files/s/Lu7k93ht" TargetMode="External"/><Relationship Id="rId57" Type="http://schemas.openxmlformats.org/officeDocument/2006/relationships/hyperlink" Target="https://www.genspark.ai/api/files/s/GE52CrF3" TargetMode="External"/><Relationship Id="rId10" Type="http://schemas.openxmlformats.org/officeDocument/2006/relationships/hyperlink" Target="https://www.genspark.ai/api/files/s/QXWSeN91" TargetMode="External"/><Relationship Id="rId31" Type="http://schemas.openxmlformats.org/officeDocument/2006/relationships/hyperlink" Target="https://www.genspark.ai/api/files/s/gbRrAkAl" TargetMode="External"/><Relationship Id="rId44" Type="http://schemas.openxmlformats.org/officeDocument/2006/relationships/hyperlink" Target="https://www.genspark.ai/api/files/s/QXWSeN91" TargetMode="External"/><Relationship Id="rId52" Type="http://schemas.openxmlformats.org/officeDocument/2006/relationships/hyperlink" Target="https://www.genspark.ai/api/files/s/QXWSeN91" TargetMode="External"/><Relationship Id="rId60" Type="http://schemas.openxmlformats.org/officeDocument/2006/relationships/hyperlink" Target="https://www.genspark.ai/api/files/s/qYvukVQj" TargetMode="External"/><Relationship Id="rId65" Type="http://schemas.openxmlformats.org/officeDocument/2006/relationships/hyperlink" Target="https://www.genspark.ai/api/files/s/QXWSeN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nspark.ai/api/files/s/gbRrAkAl" TargetMode="External"/><Relationship Id="rId13" Type="http://schemas.openxmlformats.org/officeDocument/2006/relationships/hyperlink" Target="https://www.genspark.ai/api/files/s/GE52CrF3" TargetMode="External"/><Relationship Id="rId18" Type="http://schemas.openxmlformats.org/officeDocument/2006/relationships/hyperlink" Target="https://www.genspark.ai/api/files/s/GE52CrF3" TargetMode="External"/><Relationship Id="rId39" Type="http://schemas.openxmlformats.org/officeDocument/2006/relationships/hyperlink" Target="https://www.genspark.ai/api/files/s/GE52CrF3" TargetMode="External"/><Relationship Id="rId34" Type="http://schemas.openxmlformats.org/officeDocument/2006/relationships/hyperlink" Target="https://www.genspark.ai/api/files/s/Lu7k93ht" TargetMode="External"/><Relationship Id="rId50" Type="http://schemas.openxmlformats.org/officeDocument/2006/relationships/hyperlink" Target="https://www.genspark.ai/api/files/s/N1RryAWW" TargetMode="External"/><Relationship Id="rId55" Type="http://schemas.openxmlformats.org/officeDocument/2006/relationships/hyperlink" Target="https://www.genspark.ai/api/files/s/gbRrAk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2330</Words>
  <Characters>13283</Characters>
  <Application>Microsoft Office Word</Application>
  <DocSecurity>0</DocSecurity>
  <Lines>110</Lines>
  <Paragraphs>31</Paragraphs>
  <ScaleCrop>false</ScaleCrop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Barbieri</dc:creator>
  <cp:keywords/>
  <dc:description/>
  <cp:lastModifiedBy>Giuseppe Barbieri</cp:lastModifiedBy>
  <cp:revision>1</cp:revision>
  <dcterms:created xsi:type="dcterms:W3CDTF">2026-05-07T14:41:00Z</dcterms:created>
  <dcterms:modified xsi:type="dcterms:W3CDTF">2026-05-07T14:44:00Z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7affb2c1-90ae-4668-81e9-d8101e1129f8</vt:lpwstr>
  </property>
</Properties>
</file>