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tag w:val="TitlePage"/>
        <w:id w:val="1023517649"/>
        <w:placeholder>
          <w:docPart w:val="DefaultPlaceholder_-1854013440"/>
        </w:placeholder>
        <w15:appearance w15:val="hidden"/>
      </w:sdtPr>
      <w:sdtContent>
        <w:p w14:paraId="2BE5A7BA" w14:textId="77777777" w:rsidR="00571378" w:rsidRDefault="00571378" w:rsidP="001E13C0">
          <w:pPr>
            <w:pStyle w:val="APAHeadingCenter"/>
          </w:pPr>
        </w:p>
        <w:p w14:paraId="52ABBE61" w14:textId="77777777" w:rsidR="001E13C0" w:rsidRDefault="001E13C0" w:rsidP="001E13C0">
          <w:pPr>
            <w:pStyle w:val="APAHeadingCenter"/>
          </w:pPr>
        </w:p>
        <w:p w14:paraId="7A6E5A76" w14:textId="77777777" w:rsidR="001E13C0" w:rsidRDefault="001E13C0" w:rsidP="001E13C0">
          <w:pPr>
            <w:pStyle w:val="APAHeadingCenter"/>
          </w:pPr>
        </w:p>
        <w:sdt>
          <w:sdtPr>
            <w:tag w:val="TitlePageTitle"/>
            <w:id w:val="997855140"/>
            <w:lock w:val="contentLocked"/>
            <w:placeholder>
              <w:docPart w:val="DefaultPlaceholder_-1854013440"/>
            </w:placeholder>
          </w:sdtPr>
          <w:sdtContent>
            <w:p w14:paraId="376FEC00" w14:textId="77777777" w:rsidR="001E13C0" w:rsidRDefault="001E13C0" w:rsidP="001E13C0">
              <w:pPr>
                <w:pStyle w:val="APATitle"/>
              </w:pPr>
              <w:r>
                <w:t>Term Project Milestone 1</w:t>
              </w:r>
            </w:p>
          </w:sdtContent>
        </w:sdt>
        <w:p w14:paraId="14357EC1" w14:textId="77777777" w:rsidR="001E13C0" w:rsidRDefault="001E13C0" w:rsidP="001E13C0">
          <w:pPr>
            <w:pStyle w:val="APAHeadingCenter"/>
          </w:pPr>
        </w:p>
        <w:sdt>
          <w:sdtPr>
            <w:tag w:val="TitlePageAuthor"/>
            <w:id w:val="-2073879388"/>
            <w:lock w:val="contentLocked"/>
            <w:placeholder>
              <w:docPart w:val="DefaultPlaceholder_-1854013440"/>
            </w:placeholder>
          </w:sdtPr>
          <w:sdtContent>
            <w:p w14:paraId="1131E3D7" w14:textId="77777777" w:rsidR="001E13C0" w:rsidRDefault="001E13C0" w:rsidP="001E13C0">
              <w:pPr>
                <w:pStyle w:val="APAHeadingCenter"/>
              </w:pPr>
              <w:r>
                <w:t>Brian Reppeto</w:t>
              </w:r>
            </w:p>
          </w:sdtContent>
        </w:sdt>
        <w:sdt>
          <w:sdtPr>
            <w:tag w:val="TitlePageAffiliation"/>
            <w:id w:val="-1406835734"/>
            <w:lock w:val="contentLocked"/>
            <w:placeholder>
              <w:docPart w:val="DefaultPlaceholder_-1854013440"/>
            </w:placeholder>
          </w:sdtPr>
          <w:sdtContent>
            <w:p w14:paraId="00788496" w14:textId="77777777" w:rsidR="001E13C0" w:rsidRDefault="001E13C0" w:rsidP="001E13C0">
              <w:pPr>
                <w:pStyle w:val="APAHeadingCenter"/>
              </w:pPr>
              <w:r>
                <w:t>Bellevue University</w:t>
              </w:r>
            </w:p>
          </w:sdtContent>
        </w:sdt>
        <w:sdt>
          <w:sdtPr>
            <w:tag w:val="TitlePageCourse"/>
            <w:id w:val="-2021690100"/>
            <w:lock w:val="contentLocked"/>
            <w:placeholder>
              <w:docPart w:val="DefaultPlaceholder_-1854013440"/>
            </w:placeholder>
          </w:sdtPr>
          <w:sdtContent>
            <w:p w14:paraId="77358C22" w14:textId="77777777" w:rsidR="001E13C0" w:rsidRDefault="001E13C0" w:rsidP="001E13C0">
              <w:pPr>
                <w:pStyle w:val="APAHeadingCenter"/>
              </w:pPr>
              <w:r>
                <w:t>DSC 640</w:t>
              </w:r>
            </w:p>
          </w:sdtContent>
        </w:sdt>
        <w:sdt>
          <w:sdtPr>
            <w:tag w:val="TitlePageInstructor"/>
            <w:id w:val="-1059320950"/>
            <w:lock w:val="contentLocked"/>
            <w:placeholder>
              <w:docPart w:val="DefaultPlaceholder_-1854013440"/>
            </w:placeholder>
          </w:sdtPr>
          <w:sdtContent>
            <w:p w14:paraId="29D900F2" w14:textId="77777777" w:rsidR="001E13C0" w:rsidRDefault="001E13C0" w:rsidP="001E13C0">
              <w:pPr>
                <w:pStyle w:val="APAHeadingCenter"/>
              </w:pPr>
              <w:r>
                <w:t>Catherine Williams</w:t>
              </w:r>
            </w:p>
          </w:sdtContent>
        </w:sdt>
        <w:sdt>
          <w:sdtPr>
            <w:tag w:val="TitlePageDueDate"/>
            <w:id w:val="-1009445350"/>
            <w:lock w:val="contentLocked"/>
            <w:placeholder>
              <w:docPart w:val="DefaultPlaceholder_-1854013440"/>
            </w:placeholder>
          </w:sdtPr>
          <w:sdtContent>
            <w:p w14:paraId="75779750" w14:textId="77777777" w:rsidR="001E13C0" w:rsidRDefault="001E13C0" w:rsidP="001E13C0">
              <w:pPr>
                <w:pStyle w:val="APAHeadingCenter"/>
              </w:pPr>
              <w:r>
                <w:t>December 8, 2024</w:t>
              </w:r>
            </w:p>
          </w:sdtContent>
        </w:sdt>
        <w:p w14:paraId="299AFE01" w14:textId="12983D62" w:rsidR="00266085" w:rsidRPr="00571378" w:rsidRDefault="00000000" w:rsidP="001E13C0">
          <w:pPr>
            <w:pStyle w:val="APAHeadingCenter"/>
            <w:sectPr w:rsidR="00266085" w:rsidRPr="00571378" w:rsidSect="00971F7F">
              <w:headerReference w:type="default" r:id="rId7"/>
              <w:headerReference w:type="first" r:id="rId8"/>
              <w:pgSz w:w="12240" w:h="15840"/>
              <w:pgMar w:top="1440" w:right="1440" w:bottom="1440" w:left="1440" w:header="708" w:footer="708" w:gutter="0"/>
              <w:cols w:space="708"/>
              <w:docGrid w:linePitch="360"/>
            </w:sectPr>
          </w:pPr>
        </w:p>
      </w:sdtContent>
    </w:sdt>
    <w:sdt>
      <w:sdtPr>
        <w:tag w:val="FirstPageTitle"/>
        <w:id w:val="-317652664"/>
        <w:lock w:val="contentLocked"/>
        <w:placeholder>
          <w:docPart w:val="DefaultPlaceholder_-1854013440"/>
        </w:placeholder>
        <w15:appearance w15:val="hidden"/>
      </w:sdtPr>
      <w:sdtContent>
        <w:p w14:paraId="74F6BAF7" w14:textId="574A582D" w:rsidR="005508A1" w:rsidRPr="00541E43" w:rsidRDefault="001E13C0" w:rsidP="001E13C0">
          <w:pPr>
            <w:pStyle w:val="APAFirstPageTitle"/>
          </w:pPr>
          <w:r>
            <w:t>Term Project Milestone 1</w:t>
          </w:r>
        </w:p>
      </w:sdtContent>
    </w:sdt>
    <w:p w14:paraId="629A2256" w14:textId="77777777" w:rsidR="001E13C0" w:rsidRPr="001E13C0" w:rsidRDefault="001E13C0" w:rsidP="001E13C0">
      <w:pPr>
        <w:pStyle w:val="APA"/>
        <w:rPr>
          <w:b/>
          <w:bCs/>
        </w:rPr>
      </w:pPr>
      <w:r w:rsidRPr="001E13C0">
        <w:rPr>
          <w:b/>
          <w:bCs/>
        </w:rPr>
        <w:t>Summary of Analysis</w:t>
      </w:r>
    </w:p>
    <w:p w14:paraId="5CC0EDD4" w14:textId="288274FD" w:rsidR="001E13C0" w:rsidRPr="001E13C0" w:rsidRDefault="001E13C0" w:rsidP="003B3F58">
      <w:pPr>
        <w:pStyle w:val="APA"/>
      </w:pPr>
      <w:r w:rsidRPr="001E13C0">
        <w:t xml:space="preserve">The dataset </w:t>
      </w:r>
      <w:r w:rsidR="00FB5631">
        <w:t>consists of</w:t>
      </w:r>
      <w:r w:rsidRPr="001E13C0">
        <w:t xml:space="preserve"> childcare costs for infants, toddlers, and preschoolers across </w:t>
      </w:r>
      <w:r w:rsidR="00FB5631">
        <w:t xml:space="preserve">the </w:t>
      </w:r>
      <w:r w:rsidRPr="001E13C0">
        <w:t>U.S.</w:t>
      </w:r>
      <w:r w:rsidR="00FB5631">
        <w:t>,</w:t>
      </w:r>
      <w:r w:rsidRPr="001E13C0">
        <w:t xml:space="preserve"> </w:t>
      </w:r>
      <w:r w:rsidR="00FB5631">
        <w:t>and includes</w:t>
      </w:r>
      <w:r w:rsidRPr="001E13C0">
        <w:t xml:space="preserve"> median household income (MHI). U</w:t>
      </w:r>
      <w:r w:rsidR="00FB5631">
        <w:t>tilizing</w:t>
      </w:r>
      <w:r w:rsidRPr="001E13C0">
        <w:t xml:space="preserve"> this data, </w:t>
      </w:r>
      <w:r w:rsidR="00FB5631">
        <w:t xml:space="preserve">I </w:t>
      </w:r>
      <w:r w:rsidRPr="001E13C0">
        <w:t>explored trends, geographic disparities, and the relationship between childcare costs and household income. The findings highlight significant financial burdens faced by families and provide</w:t>
      </w:r>
      <w:r w:rsidR="00FB5631">
        <w:t>s</w:t>
      </w:r>
      <w:r w:rsidRPr="001E13C0">
        <w:t xml:space="preserve"> insights into the inequalities across regions and age groups.</w:t>
      </w:r>
    </w:p>
    <w:p w14:paraId="7070D287" w14:textId="77777777" w:rsidR="001E13C0" w:rsidRPr="001E13C0" w:rsidRDefault="001E13C0" w:rsidP="001E13C0">
      <w:pPr>
        <w:pStyle w:val="APA"/>
        <w:rPr>
          <w:b/>
          <w:bCs/>
        </w:rPr>
      </w:pPr>
      <w:r w:rsidRPr="001E13C0">
        <w:rPr>
          <w:b/>
          <w:bCs/>
        </w:rPr>
        <w:t>Findings</w:t>
      </w:r>
    </w:p>
    <w:p w14:paraId="33497031" w14:textId="77777777" w:rsidR="001E13C0" w:rsidRPr="001E13C0" w:rsidRDefault="001E13C0" w:rsidP="001E13C0">
      <w:pPr>
        <w:pStyle w:val="APA"/>
        <w:numPr>
          <w:ilvl w:val="0"/>
          <w:numId w:val="14"/>
        </w:numPr>
      </w:pPr>
      <w:r w:rsidRPr="001E13C0">
        <w:rPr>
          <w:b/>
          <w:bCs/>
        </w:rPr>
        <w:t>Geographic Disparities</w:t>
      </w:r>
      <w:r w:rsidRPr="001E13C0">
        <w:t>:</w:t>
      </w:r>
    </w:p>
    <w:p w14:paraId="2361D80D" w14:textId="77777777" w:rsidR="001E13C0" w:rsidRPr="001E13C0" w:rsidRDefault="001E13C0" w:rsidP="001E13C0">
      <w:pPr>
        <w:pStyle w:val="APA"/>
        <w:numPr>
          <w:ilvl w:val="1"/>
          <w:numId w:val="14"/>
        </w:numPr>
      </w:pPr>
      <w:r w:rsidRPr="001E13C0">
        <w:t>States like California and New York have the highest average infant care costs, while states like Alabama and Mississippi have the lowest.</w:t>
      </w:r>
    </w:p>
    <w:p w14:paraId="406AF717" w14:textId="507DC3B9" w:rsidR="00D119D4" w:rsidRDefault="001E13C0" w:rsidP="00D119D4">
      <w:pPr>
        <w:pStyle w:val="APA"/>
        <w:numPr>
          <w:ilvl w:val="1"/>
          <w:numId w:val="14"/>
        </w:numPr>
      </w:pPr>
      <w:r w:rsidRPr="001E13C0">
        <w:t>Urban areas generally exhibit higher childcare costs than rural areas.</w:t>
      </w:r>
    </w:p>
    <w:p w14:paraId="092E9C45" w14:textId="7AA931F4" w:rsidR="00FB5631" w:rsidRDefault="00FB5631" w:rsidP="00FB5631">
      <w:pPr>
        <w:pStyle w:val="APA"/>
        <w:ind w:firstLine="0"/>
      </w:pPr>
      <w:r w:rsidRPr="00FB5631">
        <w:rPr>
          <w:noProof/>
        </w:rPr>
        <w:drawing>
          <wp:inline distT="0" distB="0" distL="0" distR="0" wp14:anchorId="47EE5873" wp14:editId="6A21EA1F">
            <wp:extent cx="5943600" cy="3502025"/>
            <wp:effectExtent l="0" t="0" r="0" b="3175"/>
            <wp:docPr id="1531122809"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22809" name="Picture 1" descr="A graph of blue and orange bars&#10;&#10;Description automatically generated"/>
                    <pic:cNvPicPr/>
                  </pic:nvPicPr>
                  <pic:blipFill>
                    <a:blip r:embed="rId9"/>
                    <a:stretch>
                      <a:fillRect/>
                    </a:stretch>
                  </pic:blipFill>
                  <pic:spPr>
                    <a:xfrm>
                      <a:off x="0" y="0"/>
                      <a:ext cx="5943600" cy="3502025"/>
                    </a:xfrm>
                    <a:prstGeom prst="rect">
                      <a:avLst/>
                    </a:prstGeom>
                  </pic:spPr>
                </pic:pic>
              </a:graphicData>
            </a:graphic>
          </wp:inline>
        </w:drawing>
      </w:r>
    </w:p>
    <w:p w14:paraId="2B6D52A9" w14:textId="77777777" w:rsidR="003B3F58" w:rsidRPr="001E13C0" w:rsidRDefault="003B3F58" w:rsidP="00FB5631">
      <w:pPr>
        <w:pStyle w:val="APA"/>
        <w:ind w:firstLine="0"/>
      </w:pPr>
    </w:p>
    <w:p w14:paraId="4B6BD8A2" w14:textId="77777777" w:rsidR="001E13C0" w:rsidRPr="001E13C0" w:rsidRDefault="001E13C0" w:rsidP="001E13C0">
      <w:pPr>
        <w:pStyle w:val="APA"/>
        <w:numPr>
          <w:ilvl w:val="0"/>
          <w:numId w:val="14"/>
        </w:numPr>
      </w:pPr>
      <w:r w:rsidRPr="001E13C0">
        <w:rPr>
          <w:b/>
          <w:bCs/>
        </w:rPr>
        <w:lastRenderedPageBreak/>
        <w:t>Temporal Trends</w:t>
      </w:r>
      <w:r w:rsidRPr="001E13C0">
        <w:t>:</w:t>
      </w:r>
    </w:p>
    <w:p w14:paraId="0362A9EE" w14:textId="77777777" w:rsidR="001E13C0" w:rsidRPr="001E13C0" w:rsidRDefault="001E13C0" w:rsidP="001E13C0">
      <w:pPr>
        <w:pStyle w:val="APA"/>
        <w:numPr>
          <w:ilvl w:val="1"/>
          <w:numId w:val="14"/>
        </w:numPr>
      </w:pPr>
      <w:r w:rsidRPr="001E13C0">
        <w:t>Childcare costs for all age groups have steadily increased over the years, with infant care consistently being the most expensive.</w:t>
      </w:r>
    </w:p>
    <w:p w14:paraId="241C4070" w14:textId="69CB8189" w:rsidR="00D119D4" w:rsidRDefault="001E13C0" w:rsidP="00D119D4">
      <w:pPr>
        <w:pStyle w:val="APA"/>
        <w:numPr>
          <w:ilvl w:val="1"/>
          <w:numId w:val="14"/>
        </w:numPr>
      </w:pPr>
      <w:r w:rsidRPr="001E13C0">
        <w:t>The gap in cost between infants, toddlers, and preschoolers has widened, reflecting higher resource demands for infant care.</w:t>
      </w:r>
    </w:p>
    <w:p w14:paraId="4C6E3F9C" w14:textId="77777777" w:rsidR="00D119D4" w:rsidRDefault="00D119D4" w:rsidP="00D119D4">
      <w:pPr>
        <w:pStyle w:val="APA"/>
        <w:ind w:left="1440" w:firstLine="0"/>
      </w:pPr>
    </w:p>
    <w:p w14:paraId="032914C0" w14:textId="7B1D6B99" w:rsidR="00FB5631" w:rsidRDefault="00FB5631" w:rsidP="00FB5631">
      <w:pPr>
        <w:pStyle w:val="APA"/>
        <w:ind w:firstLine="0"/>
      </w:pPr>
      <w:r w:rsidRPr="00FB5631">
        <w:rPr>
          <w:noProof/>
        </w:rPr>
        <w:drawing>
          <wp:inline distT="0" distB="0" distL="0" distR="0" wp14:anchorId="32B5B8EE" wp14:editId="535811CF">
            <wp:extent cx="5943600" cy="3372485"/>
            <wp:effectExtent l="0" t="0" r="0" b="0"/>
            <wp:docPr id="240687912" name="Picture 1" descr="A graph of growth in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87912" name="Picture 1" descr="A graph of growth in different colors&#10;&#10;Description automatically generated with medium confidence"/>
                    <pic:cNvPicPr/>
                  </pic:nvPicPr>
                  <pic:blipFill>
                    <a:blip r:embed="rId10"/>
                    <a:stretch>
                      <a:fillRect/>
                    </a:stretch>
                  </pic:blipFill>
                  <pic:spPr>
                    <a:xfrm>
                      <a:off x="0" y="0"/>
                      <a:ext cx="5943600" cy="3372485"/>
                    </a:xfrm>
                    <a:prstGeom prst="rect">
                      <a:avLst/>
                    </a:prstGeom>
                  </pic:spPr>
                </pic:pic>
              </a:graphicData>
            </a:graphic>
          </wp:inline>
        </w:drawing>
      </w:r>
    </w:p>
    <w:p w14:paraId="1F54E6B8" w14:textId="77777777" w:rsidR="003B3F58" w:rsidRDefault="003B3F58" w:rsidP="00FB5631">
      <w:pPr>
        <w:pStyle w:val="APA"/>
        <w:ind w:firstLine="0"/>
      </w:pPr>
    </w:p>
    <w:p w14:paraId="599A05A7" w14:textId="77777777" w:rsidR="003B3F58" w:rsidRDefault="003B3F58" w:rsidP="00FB5631">
      <w:pPr>
        <w:pStyle w:val="APA"/>
        <w:ind w:firstLine="0"/>
      </w:pPr>
    </w:p>
    <w:p w14:paraId="61967BD6" w14:textId="77777777" w:rsidR="003B3F58" w:rsidRDefault="003B3F58" w:rsidP="00FB5631">
      <w:pPr>
        <w:pStyle w:val="APA"/>
        <w:ind w:firstLine="0"/>
      </w:pPr>
    </w:p>
    <w:p w14:paraId="25BE901A" w14:textId="77777777" w:rsidR="003B3F58" w:rsidRDefault="003B3F58" w:rsidP="00FB5631">
      <w:pPr>
        <w:pStyle w:val="APA"/>
        <w:ind w:firstLine="0"/>
      </w:pPr>
    </w:p>
    <w:p w14:paraId="29C4D6C3" w14:textId="77777777" w:rsidR="003B3F58" w:rsidRDefault="003B3F58" w:rsidP="00FB5631">
      <w:pPr>
        <w:pStyle w:val="APA"/>
        <w:ind w:firstLine="0"/>
      </w:pPr>
    </w:p>
    <w:p w14:paraId="7C7DB938" w14:textId="77777777" w:rsidR="003B3F58" w:rsidRDefault="003B3F58" w:rsidP="00FB5631">
      <w:pPr>
        <w:pStyle w:val="APA"/>
        <w:ind w:firstLine="0"/>
      </w:pPr>
    </w:p>
    <w:p w14:paraId="370D15F8" w14:textId="77777777" w:rsidR="003B3F58" w:rsidRPr="001E13C0" w:rsidRDefault="003B3F58" w:rsidP="00FB5631">
      <w:pPr>
        <w:pStyle w:val="APA"/>
        <w:ind w:firstLine="0"/>
      </w:pPr>
    </w:p>
    <w:p w14:paraId="3D4B3FB3" w14:textId="77777777" w:rsidR="001E13C0" w:rsidRPr="001E13C0" w:rsidRDefault="001E13C0" w:rsidP="001E13C0">
      <w:pPr>
        <w:pStyle w:val="APA"/>
        <w:numPr>
          <w:ilvl w:val="0"/>
          <w:numId w:val="14"/>
        </w:numPr>
      </w:pPr>
      <w:r w:rsidRPr="001E13C0">
        <w:rPr>
          <w:b/>
          <w:bCs/>
        </w:rPr>
        <w:lastRenderedPageBreak/>
        <w:t>Cost-to-Income Ratios</w:t>
      </w:r>
      <w:r w:rsidRPr="001E13C0">
        <w:t>:</w:t>
      </w:r>
    </w:p>
    <w:p w14:paraId="0AD78DC6" w14:textId="77777777" w:rsidR="001E13C0" w:rsidRPr="001E13C0" w:rsidRDefault="001E13C0" w:rsidP="001E13C0">
      <w:pPr>
        <w:pStyle w:val="APA"/>
        <w:numPr>
          <w:ilvl w:val="1"/>
          <w:numId w:val="14"/>
        </w:numPr>
      </w:pPr>
      <w:r w:rsidRPr="001E13C0">
        <w:t>In some states, infant childcare costs account for over 20% of median household income, underscoring the financial strain on families.</w:t>
      </w:r>
    </w:p>
    <w:p w14:paraId="0A668CF2" w14:textId="77777777" w:rsidR="001E13C0" w:rsidRDefault="001E13C0" w:rsidP="001E13C0">
      <w:pPr>
        <w:pStyle w:val="APA"/>
        <w:numPr>
          <w:ilvl w:val="1"/>
          <w:numId w:val="14"/>
        </w:numPr>
      </w:pPr>
      <w:r w:rsidRPr="001E13C0">
        <w:t>States with higher household incomes often have higher childcare costs, but the relationship is not linear, as affordability varies significantly.</w:t>
      </w:r>
    </w:p>
    <w:p w14:paraId="21630674" w14:textId="599F3B1B" w:rsidR="00FB5631" w:rsidRDefault="00FB5631" w:rsidP="00FB5631">
      <w:pPr>
        <w:pStyle w:val="APA"/>
        <w:ind w:firstLine="0"/>
      </w:pPr>
      <w:r w:rsidRPr="00FB5631">
        <w:rPr>
          <w:noProof/>
        </w:rPr>
        <w:drawing>
          <wp:inline distT="0" distB="0" distL="0" distR="0" wp14:anchorId="4CAB70BF" wp14:editId="593F1044">
            <wp:extent cx="5943600" cy="3554095"/>
            <wp:effectExtent l="0" t="0" r="0" b="8255"/>
            <wp:docPr id="133223087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30876" name="Picture 1" descr="A graph of different colored bars&#10;&#10;Description automatically generated"/>
                    <pic:cNvPicPr/>
                  </pic:nvPicPr>
                  <pic:blipFill>
                    <a:blip r:embed="rId11"/>
                    <a:stretch>
                      <a:fillRect/>
                    </a:stretch>
                  </pic:blipFill>
                  <pic:spPr>
                    <a:xfrm>
                      <a:off x="0" y="0"/>
                      <a:ext cx="5943600" cy="3554095"/>
                    </a:xfrm>
                    <a:prstGeom prst="rect">
                      <a:avLst/>
                    </a:prstGeom>
                  </pic:spPr>
                </pic:pic>
              </a:graphicData>
            </a:graphic>
          </wp:inline>
        </w:drawing>
      </w:r>
    </w:p>
    <w:p w14:paraId="77CBA364" w14:textId="77777777" w:rsidR="00D119D4" w:rsidRDefault="00D119D4" w:rsidP="00FB5631">
      <w:pPr>
        <w:pStyle w:val="APA"/>
        <w:ind w:firstLine="0"/>
      </w:pPr>
    </w:p>
    <w:p w14:paraId="1F2457C6" w14:textId="77777777" w:rsidR="00D119D4" w:rsidRDefault="00D119D4" w:rsidP="00FB5631">
      <w:pPr>
        <w:pStyle w:val="APA"/>
        <w:ind w:firstLine="0"/>
      </w:pPr>
    </w:p>
    <w:p w14:paraId="762744E3" w14:textId="77777777" w:rsidR="00D119D4" w:rsidRDefault="00D119D4" w:rsidP="00FB5631">
      <w:pPr>
        <w:pStyle w:val="APA"/>
        <w:ind w:firstLine="0"/>
      </w:pPr>
    </w:p>
    <w:p w14:paraId="73542FDE" w14:textId="77777777" w:rsidR="00D119D4" w:rsidRDefault="00D119D4" w:rsidP="00FB5631">
      <w:pPr>
        <w:pStyle w:val="APA"/>
        <w:ind w:firstLine="0"/>
      </w:pPr>
    </w:p>
    <w:p w14:paraId="1E16B590" w14:textId="77777777" w:rsidR="00D119D4" w:rsidRDefault="00D119D4" w:rsidP="00FB5631">
      <w:pPr>
        <w:pStyle w:val="APA"/>
        <w:ind w:firstLine="0"/>
      </w:pPr>
    </w:p>
    <w:p w14:paraId="7D69EA5C" w14:textId="77777777" w:rsidR="00D119D4" w:rsidRDefault="00D119D4" w:rsidP="00FB5631">
      <w:pPr>
        <w:pStyle w:val="APA"/>
        <w:ind w:firstLine="0"/>
      </w:pPr>
    </w:p>
    <w:p w14:paraId="2C7B5811" w14:textId="77777777" w:rsidR="00D119D4" w:rsidRDefault="00D119D4" w:rsidP="00FB5631">
      <w:pPr>
        <w:pStyle w:val="APA"/>
        <w:ind w:firstLine="0"/>
      </w:pPr>
    </w:p>
    <w:p w14:paraId="643167D9" w14:textId="77777777" w:rsidR="00D119D4" w:rsidRPr="001E13C0" w:rsidRDefault="00D119D4" w:rsidP="00FB5631">
      <w:pPr>
        <w:pStyle w:val="APA"/>
        <w:ind w:firstLine="0"/>
      </w:pPr>
    </w:p>
    <w:p w14:paraId="1B39D33E" w14:textId="77777777" w:rsidR="001E13C0" w:rsidRPr="001E13C0" w:rsidRDefault="001E13C0" w:rsidP="001E13C0">
      <w:pPr>
        <w:pStyle w:val="APA"/>
        <w:numPr>
          <w:ilvl w:val="0"/>
          <w:numId w:val="14"/>
        </w:numPr>
      </w:pPr>
      <w:r w:rsidRPr="001E13C0">
        <w:rPr>
          <w:b/>
          <w:bCs/>
        </w:rPr>
        <w:lastRenderedPageBreak/>
        <w:t>Correlations</w:t>
      </w:r>
      <w:r w:rsidRPr="001E13C0">
        <w:t>:</w:t>
      </w:r>
    </w:p>
    <w:p w14:paraId="1469B543" w14:textId="77777777" w:rsidR="001E13C0" w:rsidRDefault="001E13C0" w:rsidP="001E13C0">
      <w:pPr>
        <w:pStyle w:val="APA"/>
        <w:numPr>
          <w:ilvl w:val="1"/>
          <w:numId w:val="14"/>
        </w:numPr>
      </w:pPr>
      <w:r w:rsidRPr="001E13C0">
        <w:t>A positive correlation exists between MHI and childcare costs, indicating that higher-income states also tend to have higher childcare costs. However, disparities in affordability persist even within high-income regions.</w:t>
      </w:r>
    </w:p>
    <w:p w14:paraId="73A28660" w14:textId="4546140F" w:rsidR="00FB5631" w:rsidRPr="001E13C0" w:rsidRDefault="00FB5631" w:rsidP="00FB5631">
      <w:pPr>
        <w:pStyle w:val="APA"/>
        <w:ind w:firstLine="0"/>
      </w:pPr>
      <w:r w:rsidRPr="00FB5631">
        <w:rPr>
          <w:noProof/>
        </w:rPr>
        <w:drawing>
          <wp:inline distT="0" distB="0" distL="0" distR="0" wp14:anchorId="2C7C6130" wp14:editId="7F6D4C80">
            <wp:extent cx="5943600" cy="4246245"/>
            <wp:effectExtent l="0" t="0" r="0" b="1905"/>
            <wp:docPr id="23252365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23653" name="Picture 1" descr="A screenshot of a graph&#10;&#10;Description automatically generated"/>
                    <pic:cNvPicPr/>
                  </pic:nvPicPr>
                  <pic:blipFill>
                    <a:blip r:embed="rId12"/>
                    <a:stretch>
                      <a:fillRect/>
                    </a:stretch>
                  </pic:blipFill>
                  <pic:spPr>
                    <a:xfrm>
                      <a:off x="0" y="0"/>
                      <a:ext cx="5943600" cy="4246245"/>
                    </a:xfrm>
                    <a:prstGeom prst="rect">
                      <a:avLst/>
                    </a:prstGeom>
                  </pic:spPr>
                </pic:pic>
              </a:graphicData>
            </a:graphic>
          </wp:inline>
        </w:drawing>
      </w:r>
    </w:p>
    <w:p w14:paraId="365B869C" w14:textId="046F6469" w:rsidR="001E13C0" w:rsidRPr="001E13C0" w:rsidRDefault="001E13C0" w:rsidP="001E13C0">
      <w:pPr>
        <w:pStyle w:val="APA"/>
      </w:pPr>
    </w:p>
    <w:p w14:paraId="7047DC25" w14:textId="77777777" w:rsidR="001E13C0" w:rsidRPr="001E13C0" w:rsidRDefault="001E13C0" w:rsidP="001E13C0">
      <w:pPr>
        <w:pStyle w:val="APA"/>
        <w:rPr>
          <w:b/>
          <w:bCs/>
        </w:rPr>
      </w:pPr>
      <w:r w:rsidRPr="001E13C0">
        <w:rPr>
          <w:b/>
          <w:bCs/>
        </w:rPr>
        <w:t>Assumptions</w:t>
      </w:r>
    </w:p>
    <w:p w14:paraId="0FD5709B" w14:textId="77777777" w:rsidR="001E13C0" w:rsidRPr="001E13C0" w:rsidRDefault="001E13C0" w:rsidP="001E13C0">
      <w:pPr>
        <w:pStyle w:val="APA"/>
        <w:numPr>
          <w:ilvl w:val="0"/>
          <w:numId w:val="15"/>
        </w:numPr>
      </w:pPr>
      <w:r w:rsidRPr="001E13C0">
        <w:t>Data completeness and accuracy are assumed; missing values were dropped to maintain consistency in analysis.</w:t>
      </w:r>
    </w:p>
    <w:p w14:paraId="0A4D92D9" w14:textId="77777777" w:rsidR="001E13C0" w:rsidRPr="001E13C0" w:rsidRDefault="001E13C0" w:rsidP="001E13C0">
      <w:pPr>
        <w:pStyle w:val="APA"/>
        <w:numPr>
          <w:ilvl w:val="0"/>
          <w:numId w:val="15"/>
        </w:numPr>
      </w:pPr>
      <w:r w:rsidRPr="001E13C0">
        <w:t>Childcare costs are assumed to reflect true averages, unaffected by temporary subsidies or anomalies.</w:t>
      </w:r>
    </w:p>
    <w:p w14:paraId="7C1170A6" w14:textId="685BBC4C" w:rsidR="001E13C0" w:rsidRDefault="001E13C0" w:rsidP="003B3F58">
      <w:pPr>
        <w:pStyle w:val="APA"/>
        <w:numPr>
          <w:ilvl w:val="0"/>
          <w:numId w:val="15"/>
        </w:numPr>
      </w:pPr>
      <w:r w:rsidRPr="001E13C0">
        <w:lastRenderedPageBreak/>
        <w:t>Costs are considered in nominal terms unless explicitly stated; adjustments for inflation were not performed due to dataset limitations.</w:t>
      </w:r>
    </w:p>
    <w:p w14:paraId="7A960965" w14:textId="77777777" w:rsidR="003B3F58" w:rsidRPr="001E13C0" w:rsidRDefault="003B3F58" w:rsidP="003B3F58">
      <w:pPr>
        <w:pStyle w:val="APA"/>
        <w:ind w:left="720" w:firstLine="0"/>
      </w:pPr>
    </w:p>
    <w:p w14:paraId="441B9AEC" w14:textId="77777777" w:rsidR="001E13C0" w:rsidRPr="001E13C0" w:rsidRDefault="001E13C0" w:rsidP="001E13C0">
      <w:pPr>
        <w:pStyle w:val="APA"/>
        <w:rPr>
          <w:b/>
          <w:bCs/>
        </w:rPr>
      </w:pPr>
      <w:r w:rsidRPr="001E13C0">
        <w:rPr>
          <w:b/>
          <w:bCs/>
        </w:rPr>
        <w:t>Items That Still Need Clarification</w:t>
      </w:r>
    </w:p>
    <w:p w14:paraId="72132B12" w14:textId="77777777" w:rsidR="001E13C0" w:rsidRPr="001E13C0" w:rsidRDefault="001E13C0" w:rsidP="001E13C0">
      <w:pPr>
        <w:pStyle w:val="APA"/>
        <w:numPr>
          <w:ilvl w:val="0"/>
          <w:numId w:val="16"/>
        </w:numPr>
      </w:pPr>
      <w:r w:rsidRPr="001E13C0">
        <w:t>Are the childcare cost values adjusted for inflation, or do they reflect nominal amounts?</w:t>
      </w:r>
    </w:p>
    <w:p w14:paraId="64683B7C" w14:textId="77777777" w:rsidR="001E13C0" w:rsidRPr="001E13C0" w:rsidRDefault="001E13C0" w:rsidP="001E13C0">
      <w:pPr>
        <w:pStyle w:val="APA"/>
        <w:numPr>
          <w:ilvl w:val="0"/>
          <w:numId w:val="16"/>
        </w:numPr>
      </w:pPr>
      <w:r w:rsidRPr="001E13C0">
        <w:t>How do urban and rural classifications specifically impact cost disparities?</w:t>
      </w:r>
    </w:p>
    <w:p w14:paraId="0DBEFE42" w14:textId="77777777" w:rsidR="001E13C0" w:rsidRPr="001E13C0" w:rsidRDefault="001E13C0" w:rsidP="001E13C0">
      <w:pPr>
        <w:pStyle w:val="APA"/>
        <w:numPr>
          <w:ilvl w:val="0"/>
          <w:numId w:val="16"/>
        </w:numPr>
      </w:pPr>
      <w:r w:rsidRPr="001E13C0">
        <w:t>What factors, such as government subsidies or private investment, contribute to lower costs in certain regions?</w:t>
      </w:r>
    </w:p>
    <w:p w14:paraId="732CE744" w14:textId="5669CB65" w:rsidR="001E13C0" w:rsidRPr="001E13C0" w:rsidRDefault="001E13C0" w:rsidP="001E13C0">
      <w:pPr>
        <w:pStyle w:val="APA"/>
      </w:pPr>
    </w:p>
    <w:p w14:paraId="1CB10BE0" w14:textId="77777777" w:rsidR="001E13C0" w:rsidRPr="001E13C0" w:rsidRDefault="001E13C0" w:rsidP="001E13C0">
      <w:pPr>
        <w:pStyle w:val="APA"/>
        <w:rPr>
          <w:b/>
          <w:bCs/>
        </w:rPr>
      </w:pPr>
      <w:r w:rsidRPr="001E13C0">
        <w:rPr>
          <w:b/>
          <w:bCs/>
        </w:rPr>
        <w:t>Direction of Story/Plan of Attack/Message</w:t>
      </w:r>
    </w:p>
    <w:p w14:paraId="4F2140B4" w14:textId="77777777" w:rsidR="001E13C0" w:rsidRPr="001E13C0" w:rsidRDefault="001E13C0" w:rsidP="001E13C0">
      <w:pPr>
        <w:pStyle w:val="APA"/>
      </w:pPr>
      <w:r w:rsidRPr="001E13C0">
        <w:t>The story will focus on the growing financial burden of childcare costs and their inequitable impact on families, especially in states with lower household incomes. This analysis will underscore the need for targeted policy solutions, such as subsidies, price regulations, or investments in childcare infrastructure, particularly in underserved regions.</w:t>
      </w:r>
    </w:p>
    <w:p w14:paraId="49BC194C" w14:textId="77777777" w:rsidR="001E13C0" w:rsidRPr="001E13C0" w:rsidRDefault="001E13C0" w:rsidP="001E13C0">
      <w:pPr>
        <w:pStyle w:val="APA"/>
      </w:pPr>
      <w:r w:rsidRPr="001E13C0">
        <w:rPr>
          <w:b/>
          <w:bCs/>
        </w:rPr>
        <w:t>Key Messages</w:t>
      </w:r>
      <w:r w:rsidRPr="001E13C0">
        <w:t>:</w:t>
      </w:r>
    </w:p>
    <w:p w14:paraId="502365A1" w14:textId="77777777" w:rsidR="001E13C0" w:rsidRPr="001E13C0" w:rsidRDefault="001E13C0" w:rsidP="001E13C0">
      <w:pPr>
        <w:pStyle w:val="APA"/>
        <w:numPr>
          <w:ilvl w:val="0"/>
          <w:numId w:val="17"/>
        </w:numPr>
      </w:pPr>
      <w:r w:rsidRPr="001E13C0">
        <w:t>Childcare costs are rising faster than household income in many states, making childcare increasingly unaffordable.</w:t>
      </w:r>
    </w:p>
    <w:p w14:paraId="78FEB657" w14:textId="77777777" w:rsidR="001E13C0" w:rsidRPr="001E13C0" w:rsidRDefault="001E13C0" w:rsidP="001E13C0">
      <w:pPr>
        <w:pStyle w:val="APA"/>
        <w:numPr>
          <w:ilvl w:val="0"/>
          <w:numId w:val="17"/>
        </w:numPr>
      </w:pPr>
      <w:r w:rsidRPr="001E13C0">
        <w:t>Families in low-income states face disproportionate financial burdens, despite lower nominal childcare costs.</w:t>
      </w:r>
    </w:p>
    <w:p w14:paraId="5EA6142D" w14:textId="77777777" w:rsidR="001E13C0" w:rsidRPr="001E13C0" w:rsidRDefault="001E13C0" w:rsidP="001E13C0">
      <w:pPr>
        <w:pStyle w:val="APA"/>
        <w:numPr>
          <w:ilvl w:val="0"/>
          <w:numId w:val="17"/>
        </w:numPr>
      </w:pPr>
      <w:r w:rsidRPr="001E13C0">
        <w:t>Policymakers must address these inequities by ensuring affordable childcare for all families.</w:t>
      </w:r>
    </w:p>
    <w:p w14:paraId="2460E3D5" w14:textId="68F35383" w:rsidR="001E13C0" w:rsidRPr="001E13C0" w:rsidRDefault="001E13C0" w:rsidP="001E13C0">
      <w:pPr>
        <w:pStyle w:val="APA"/>
      </w:pPr>
    </w:p>
    <w:p w14:paraId="42B28E49" w14:textId="77777777" w:rsidR="003B3F58" w:rsidRDefault="003B3F58" w:rsidP="001E13C0">
      <w:pPr>
        <w:pStyle w:val="APA"/>
        <w:rPr>
          <w:b/>
          <w:bCs/>
        </w:rPr>
      </w:pPr>
    </w:p>
    <w:p w14:paraId="341121EB" w14:textId="59D7B11D" w:rsidR="001E13C0" w:rsidRPr="001E13C0" w:rsidRDefault="001E13C0" w:rsidP="001E13C0">
      <w:pPr>
        <w:pStyle w:val="APA"/>
        <w:rPr>
          <w:b/>
          <w:bCs/>
        </w:rPr>
      </w:pPr>
      <w:r w:rsidRPr="001E13C0">
        <w:rPr>
          <w:b/>
          <w:bCs/>
        </w:rPr>
        <w:lastRenderedPageBreak/>
        <w:t>Target Audience</w:t>
      </w:r>
    </w:p>
    <w:p w14:paraId="104F0F6A" w14:textId="77777777" w:rsidR="001E13C0" w:rsidRPr="001E13C0" w:rsidRDefault="001E13C0" w:rsidP="001E13C0">
      <w:pPr>
        <w:pStyle w:val="APA"/>
        <w:numPr>
          <w:ilvl w:val="0"/>
          <w:numId w:val="18"/>
        </w:numPr>
      </w:pPr>
      <w:r w:rsidRPr="001E13C0">
        <w:rPr>
          <w:b/>
          <w:bCs/>
        </w:rPr>
        <w:t>Policymakers</w:t>
      </w:r>
      <w:r w:rsidRPr="001E13C0">
        <w:t>:</w:t>
      </w:r>
    </w:p>
    <w:p w14:paraId="440EFD38" w14:textId="77777777" w:rsidR="001E13C0" w:rsidRPr="001E13C0" w:rsidRDefault="001E13C0" w:rsidP="001E13C0">
      <w:pPr>
        <w:pStyle w:val="APA"/>
        <w:numPr>
          <w:ilvl w:val="1"/>
          <w:numId w:val="18"/>
        </w:numPr>
      </w:pPr>
      <w:r w:rsidRPr="001E13C0">
        <w:t>They require actionable insights and clear data visualization to craft interventions like subsidies or cost caps.</w:t>
      </w:r>
    </w:p>
    <w:p w14:paraId="0E153187" w14:textId="77777777" w:rsidR="001E13C0" w:rsidRPr="001E13C0" w:rsidRDefault="001E13C0" w:rsidP="001E13C0">
      <w:pPr>
        <w:pStyle w:val="APA"/>
        <w:numPr>
          <w:ilvl w:val="0"/>
          <w:numId w:val="18"/>
        </w:numPr>
      </w:pPr>
      <w:r w:rsidRPr="001E13C0">
        <w:rPr>
          <w:b/>
          <w:bCs/>
        </w:rPr>
        <w:t>Parents and Families</w:t>
      </w:r>
      <w:r w:rsidRPr="001E13C0">
        <w:t>:</w:t>
      </w:r>
    </w:p>
    <w:p w14:paraId="5E19B5E6" w14:textId="77777777" w:rsidR="001E13C0" w:rsidRPr="001E13C0" w:rsidRDefault="001E13C0" w:rsidP="001E13C0">
      <w:pPr>
        <w:pStyle w:val="APA"/>
        <w:numPr>
          <w:ilvl w:val="1"/>
          <w:numId w:val="18"/>
        </w:numPr>
      </w:pPr>
      <w:r w:rsidRPr="001E13C0">
        <w:t>They need relatable, concise information to understand how costs compare to household income and advocate for policy changes.</w:t>
      </w:r>
    </w:p>
    <w:p w14:paraId="1B6418B1" w14:textId="77777777" w:rsidR="001E13C0" w:rsidRPr="001E13C0" w:rsidRDefault="001E13C0" w:rsidP="001E13C0">
      <w:pPr>
        <w:pStyle w:val="APA"/>
        <w:numPr>
          <w:ilvl w:val="0"/>
          <w:numId w:val="18"/>
        </w:numPr>
      </w:pPr>
      <w:r w:rsidRPr="001E13C0">
        <w:rPr>
          <w:b/>
          <w:bCs/>
        </w:rPr>
        <w:t>Advocacy Organizations</w:t>
      </w:r>
      <w:r w:rsidRPr="001E13C0">
        <w:t>:</w:t>
      </w:r>
    </w:p>
    <w:p w14:paraId="1A714DFE" w14:textId="54BB5443" w:rsidR="001E13C0" w:rsidRPr="001E13C0" w:rsidRDefault="001E13C0" w:rsidP="00CE3E99">
      <w:pPr>
        <w:pStyle w:val="APA"/>
        <w:numPr>
          <w:ilvl w:val="1"/>
          <w:numId w:val="18"/>
        </w:numPr>
      </w:pPr>
      <w:r w:rsidRPr="001E13C0">
        <w:t>They benefit from detailed statistical insights to support campaigns for equitable childcare policies.</w:t>
      </w:r>
    </w:p>
    <w:p w14:paraId="07C9D09C" w14:textId="77777777" w:rsidR="001E13C0" w:rsidRPr="001E13C0" w:rsidRDefault="001E13C0" w:rsidP="001E13C0">
      <w:pPr>
        <w:pStyle w:val="APA"/>
        <w:rPr>
          <w:b/>
          <w:bCs/>
        </w:rPr>
      </w:pPr>
      <w:r w:rsidRPr="001E13C0">
        <w:rPr>
          <w:b/>
          <w:bCs/>
        </w:rPr>
        <w:t>Mediums</w:t>
      </w:r>
    </w:p>
    <w:p w14:paraId="6454A126" w14:textId="77777777" w:rsidR="001E13C0" w:rsidRPr="001E13C0" w:rsidRDefault="001E13C0" w:rsidP="001E13C0">
      <w:pPr>
        <w:pStyle w:val="APA"/>
        <w:numPr>
          <w:ilvl w:val="0"/>
          <w:numId w:val="19"/>
        </w:numPr>
      </w:pPr>
      <w:r w:rsidRPr="001E13C0">
        <w:rPr>
          <w:b/>
          <w:bCs/>
        </w:rPr>
        <w:t>Interactive Dashboard</w:t>
      </w:r>
      <w:r w:rsidRPr="001E13C0">
        <w:t>:</w:t>
      </w:r>
    </w:p>
    <w:p w14:paraId="1DB71CA7" w14:textId="77777777" w:rsidR="001E13C0" w:rsidRPr="001E13C0" w:rsidRDefault="001E13C0" w:rsidP="001E13C0">
      <w:pPr>
        <w:pStyle w:val="APA"/>
        <w:numPr>
          <w:ilvl w:val="1"/>
          <w:numId w:val="19"/>
        </w:numPr>
      </w:pPr>
      <w:r w:rsidRPr="001E13C0">
        <w:t>A tool for policymakers to explore childcare cost trends by state, year, and age group, with filters for household income.</w:t>
      </w:r>
    </w:p>
    <w:p w14:paraId="14D2F116" w14:textId="77777777" w:rsidR="001E13C0" w:rsidRPr="001E13C0" w:rsidRDefault="001E13C0" w:rsidP="001E13C0">
      <w:pPr>
        <w:pStyle w:val="APA"/>
        <w:numPr>
          <w:ilvl w:val="0"/>
          <w:numId w:val="19"/>
        </w:numPr>
      </w:pPr>
      <w:r w:rsidRPr="001E13C0">
        <w:rPr>
          <w:b/>
          <w:bCs/>
        </w:rPr>
        <w:t>Infographic</w:t>
      </w:r>
      <w:r w:rsidRPr="001E13C0">
        <w:t>:</w:t>
      </w:r>
    </w:p>
    <w:p w14:paraId="7B77983A" w14:textId="77777777" w:rsidR="001E13C0" w:rsidRPr="001E13C0" w:rsidRDefault="001E13C0" w:rsidP="001E13C0">
      <w:pPr>
        <w:pStyle w:val="APA"/>
        <w:numPr>
          <w:ilvl w:val="1"/>
          <w:numId w:val="19"/>
        </w:numPr>
      </w:pPr>
      <w:r w:rsidRPr="001E13C0">
        <w:t>A single-page summary for parents, highlighting geographic disparities, cost-to-income ratios, and the need for affordable childcare.</w:t>
      </w:r>
    </w:p>
    <w:p w14:paraId="3617F4F6" w14:textId="77777777" w:rsidR="001E13C0" w:rsidRPr="001E13C0" w:rsidRDefault="001E13C0" w:rsidP="001E13C0">
      <w:pPr>
        <w:pStyle w:val="APA"/>
        <w:numPr>
          <w:ilvl w:val="0"/>
          <w:numId w:val="19"/>
        </w:numPr>
      </w:pPr>
      <w:r w:rsidRPr="001E13C0">
        <w:rPr>
          <w:b/>
          <w:bCs/>
        </w:rPr>
        <w:t>Formal Report</w:t>
      </w:r>
      <w:r w:rsidRPr="001E13C0">
        <w:t>:</w:t>
      </w:r>
    </w:p>
    <w:p w14:paraId="501D6000" w14:textId="77777777" w:rsidR="001E13C0" w:rsidRPr="001E13C0" w:rsidRDefault="001E13C0" w:rsidP="001E13C0">
      <w:pPr>
        <w:pStyle w:val="APA"/>
        <w:numPr>
          <w:ilvl w:val="1"/>
          <w:numId w:val="19"/>
        </w:numPr>
      </w:pPr>
      <w:r w:rsidRPr="001E13C0">
        <w:t>A comprehensive document for advocacy groups, including detailed charts, correlations, and policy recommendations.</w:t>
      </w:r>
    </w:p>
    <w:p w14:paraId="42F2BC78" w14:textId="77777777" w:rsidR="006D7678" w:rsidRPr="00541E43" w:rsidRDefault="006D7678" w:rsidP="00BE7FB2">
      <w:pPr>
        <w:pStyle w:val="APA"/>
      </w:pPr>
    </w:p>
    <w:sectPr w:rsidR="006D7678" w:rsidRPr="00541E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C85DA" w14:textId="77777777" w:rsidR="00E72E60" w:rsidRDefault="00E72E60">
      <w:r>
        <w:separator/>
      </w:r>
    </w:p>
  </w:endnote>
  <w:endnote w:type="continuationSeparator" w:id="0">
    <w:p w14:paraId="5D814B7B" w14:textId="77777777" w:rsidR="00E72E60" w:rsidRDefault="00E72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B8ABE" w14:textId="77777777" w:rsidR="00E72E60" w:rsidRDefault="00E72E60">
      <w:r>
        <w:separator/>
      </w:r>
    </w:p>
  </w:footnote>
  <w:footnote w:type="continuationSeparator" w:id="0">
    <w:p w14:paraId="03DAEDA0" w14:textId="77777777" w:rsidR="00E72E60" w:rsidRDefault="00E72E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AFFE0" w14:textId="7498E1F5" w:rsidR="00366E62" w:rsidRDefault="00000000">
    <w:pPr>
      <w:pStyle w:val="APAPageHeading"/>
    </w:pPr>
    <w:sdt>
      <w:sdtPr>
        <w:tag w:val="RunningHead"/>
        <w:id w:val="1709214789"/>
        <w:lock w:val="contentLocked"/>
        <w:placeholder>
          <w:docPart w:val="DefaultPlaceholder_-1854013440"/>
        </w:placeholder>
      </w:sdtPr>
      <w:sdtContent>
        <w:r w:rsidR="001E13C0">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8330B" w14:textId="0D251930" w:rsidR="00366E62" w:rsidRDefault="00000000">
    <w:pPr>
      <w:pStyle w:val="APAPageHeading"/>
    </w:pPr>
    <w:sdt>
      <w:sdtPr>
        <w:tag w:val="FirstPageRunningHead"/>
        <w:id w:val="-1479144368"/>
        <w:lock w:val="contentLocked"/>
        <w:placeholder>
          <w:docPart w:val="DefaultPlaceholder_-1854013440"/>
        </w:placeholder>
        <w:showingPlcHdr/>
      </w:sdt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2FB5ED7"/>
    <w:multiLevelType w:val="multilevel"/>
    <w:tmpl w:val="56F2D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82259B"/>
    <w:multiLevelType w:val="multilevel"/>
    <w:tmpl w:val="AB8EF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CF6914"/>
    <w:multiLevelType w:val="multilevel"/>
    <w:tmpl w:val="DB5E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6" w15:restartNumberingAfterBreak="0">
    <w:nsid w:val="6F2C42B8"/>
    <w:multiLevelType w:val="multilevel"/>
    <w:tmpl w:val="9A4CF3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DD40CC"/>
    <w:multiLevelType w:val="multilevel"/>
    <w:tmpl w:val="347E35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D42ACD"/>
    <w:multiLevelType w:val="multilevel"/>
    <w:tmpl w:val="843EE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6060550">
    <w:abstractNumId w:val="0"/>
  </w:num>
  <w:num w:numId="2" w16cid:durableId="288360263">
    <w:abstractNumId w:val="1"/>
  </w:num>
  <w:num w:numId="3" w16cid:durableId="1532183068">
    <w:abstractNumId w:val="2"/>
  </w:num>
  <w:num w:numId="4" w16cid:durableId="1228538339">
    <w:abstractNumId w:val="3"/>
  </w:num>
  <w:num w:numId="5" w16cid:durableId="636447672">
    <w:abstractNumId w:val="8"/>
  </w:num>
  <w:num w:numId="6" w16cid:durableId="1145439347">
    <w:abstractNumId w:val="4"/>
  </w:num>
  <w:num w:numId="7" w16cid:durableId="93209921">
    <w:abstractNumId w:val="5"/>
  </w:num>
  <w:num w:numId="8" w16cid:durableId="2093773564">
    <w:abstractNumId w:val="6"/>
  </w:num>
  <w:num w:numId="9" w16cid:durableId="868372152">
    <w:abstractNumId w:val="7"/>
  </w:num>
  <w:num w:numId="10" w16cid:durableId="1504321967">
    <w:abstractNumId w:val="9"/>
  </w:num>
  <w:num w:numId="11" w16cid:durableId="854995798">
    <w:abstractNumId w:val="15"/>
  </w:num>
  <w:num w:numId="12" w16cid:durableId="1240216048">
    <w:abstractNumId w:val="14"/>
  </w:num>
  <w:num w:numId="13" w16cid:durableId="158737379">
    <w:abstractNumId w:val="10"/>
  </w:num>
  <w:num w:numId="14" w16cid:durableId="1998263439">
    <w:abstractNumId w:val="17"/>
  </w:num>
  <w:num w:numId="15" w16cid:durableId="2122603878">
    <w:abstractNumId w:val="18"/>
  </w:num>
  <w:num w:numId="16" w16cid:durableId="395444722">
    <w:abstractNumId w:val="13"/>
  </w:num>
  <w:num w:numId="17" w16cid:durableId="973484344">
    <w:abstractNumId w:val="12"/>
  </w:num>
  <w:num w:numId="18" w16cid:durableId="1275209391">
    <w:abstractNumId w:val="16"/>
  </w:num>
  <w:num w:numId="19" w16cid:durableId="6612803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32058"/>
    <w:rsid w:val="000B0790"/>
    <w:rsid w:val="00145CC0"/>
    <w:rsid w:val="00176981"/>
    <w:rsid w:val="00192E1D"/>
    <w:rsid w:val="001E13C0"/>
    <w:rsid w:val="002054CE"/>
    <w:rsid w:val="00213E07"/>
    <w:rsid w:val="00253E24"/>
    <w:rsid w:val="00266085"/>
    <w:rsid w:val="002665BE"/>
    <w:rsid w:val="002B5D6D"/>
    <w:rsid w:val="002B79B1"/>
    <w:rsid w:val="003110C2"/>
    <w:rsid w:val="00316D09"/>
    <w:rsid w:val="00366E62"/>
    <w:rsid w:val="003717D4"/>
    <w:rsid w:val="003B242D"/>
    <w:rsid w:val="003B3F58"/>
    <w:rsid w:val="003B5581"/>
    <w:rsid w:val="003E43D0"/>
    <w:rsid w:val="00433515"/>
    <w:rsid w:val="0043647B"/>
    <w:rsid w:val="0045289E"/>
    <w:rsid w:val="00464C26"/>
    <w:rsid w:val="00471F88"/>
    <w:rsid w:val="0048109D"/>
    <w:rsid w:val="00487282"/>
    <w:rsid w:val="004B617F"/>
    <w:rsid w:val="004E1435"/>
    <w:rsid w:val="004E1B5B"/>
    <w:rsid w:val="005131B4"/>
    <w:rsid w:val="00514F55"/>
    <w:rsid w:val="00541E43"/>
    <w:rsid w:val="005508A1"/>
    <w:rsid w:val="00571378"/>
    <w:rsid w:val="00573592"/>
    <w:rsid w:val="005A0250"/>
    <w:rsid w:val="005A14FF"/>
    <w:rsid w:val="005D1DD8"/>
    <w:rsid w:val="00611FDE"/>
    <w:rsid w:val="00672B4B"/>
    <w:rsid w:val="0069608D"/>
    <w:rsid w:val="006A6EDA"/>
    <w:rsid w:val="006A7BC2"/>
    <w:rsid w:val="006C14D2"/>
    <w:rsid w:val="006D7678"/>
    <w:rsid w:val="0071671D"/>
    <w:rsid w:val="007801B4"/>
    <w:rsid w:val="00786BE2"/>
    <w:rsid w:val="007A786F"/>
    <w:rsid w:val="008251F4"/>
    <w:rsid w:val="00842C38"/>
    <w:rsid w:val="008451FB"/>
    <w:rsid w:val="00892BD9"/>
    <w:rsid w:val="008A326A"/>
    <w:rsid w:val="008B080E"/>
    <w:rsid w:val="008C0A2C"/>
    <w:rsid w:val="008D0794"/>
    <w:rsid w:val="00910B65"/>
    <w:rsid w:val="00931A3F"/>
    <w:rsid w:val="00970AF5"/>
    <w:rsid w:val="00971F7F"/>
    <w:rsid w:val="00A03EA5"/>
    <w:rsid w:val="00A04071"/>
    <w:rsid w:val="00A11EF5"/>
    <w:rsid w:val="00A349D1"/>
    <w:rsid w:val="00A534B5"/>
    <w:rsid w:val="00A54283"/>
    <w:rsid w:val="00A74A00"/>
    <w:rsid w:val="00A846AA"/>
    <w:rsid w:val="00A955C3"/>
    <w:rsid w:val="00AD3F87"/>
    <w:rsid w:val="00AE77D5"/>
    <w:rsid w:val="00B5708C"/>
    <w:rsid w:val="00B66175"/>
    <w:rsid w:val="00B67AC3"/>
    <w:rsid w:val="00BC3E29"/>
    <w:rsid w:val="00BE7FB2"/>
    <w:rsid w:val="00C13077"/>
    <w:rsid w:val="00C33D39"/>
    <w:rsid w:val="00C66254"/>
    <w:rsid w:val="00CA787D"/>
    <w:rsid w:val="00CB139C"/>
    <w:rsid w:val="00CB3EA3"/>
    <w:rsid w:val="00CE14DE"/>
    <w:rsid w:val="00CE3E99"/>
    <w:rsid w:val="00CF09CA"/>
    <w:rsid w:val="00D119D4"/>
    <w:rsid w:val="00D3436C"/>
    <w:rsid w:val="00D40FB4"/>
    <w:rsid w:val="00D53D40"/>
    <w:rsid w:val="00D61E38"/>
    <w:rsid w:val="00DD181A"/>
    <w:rsid w:val="00DE55DF"/>
    <w:rsid w:val="00E0063C"/>
    <w:rsid w:val="00E213DB"/>
    <w:rsid w:val="00E50AEC"/>
    <w:rsid w:val="00E6352D"/>
    <w:rsid w:val="00E6565B"/>
    <w:rsid w:val="00E72E60"/>
    <w:rsid w:val="00E7404C"/>
    <w:rsid w:val="00E74D44"/>
    <w:rsid w:val="00E75482"/>
    <w:rsid w:val="00EA2F2D"/>
    <w:rsid w:val="00EB6E2C"/>
    <w:rsid w:val="00ED0529"/>
    <w:rsid w:val="00ED7779"/>
    <w:rsid w:val="00EF032A"/>
    <w:rsid w:val="00F04219"/>
    <w:rsid w:val="00F81799"/>
    <w:rsid w:val="00F85114"/>
    <w:rsid w:val="00F95129"/>
    <w:rsid w:val="00FB5631"/>
    <w:rsid w:val="00FC64C2"/>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semiHidden/>
    <w:unhideWhenUsed/>
    <w:qFormat/>
    <w:rsid w:val="001E13C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customStyle="1" w:styleId="Heading3Char">
    <w:name w:val="Heading 3 Char"/>
    <w:basedOn w:val="DefaultParagraphFont"/>
    <w:link w:val="Heading3"/>
    <w:semiHidden/>
    <w:rsid w:val="001E13C0"/>
    <w:rPr>
      <w:rFonts w:asciiTheme="minorHAnsi" w:eastAsiaTheme="majorEastAsia" w:hAnsiTheme="minorHAnsi" w:cstheme="majorBidi"/>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199778">
      <w:bodyDiv w:val="1"/>
      <w:marLeft w:val="0"/>
      <w:marRight w:val="0"/>
      <w:marTop w:val="0"/>
      <w:marBottom w:val="0"/>
      <w:divBdr>
        <w:top w:val="none" w:sz="0" w:space="0" w:color="auto"/>
        <w:left w:val="none" w:sz="0" w:space="0" w:color="auto"/>
        <w:bottom w:val="none" w:sz="0" w:space="0" w:color="auto"/>
        <w:right w:val="none" w:sz="0" w:space="0" w:color="auto"/>
      </w:divBdr>
    </w:div>
    <w:div w:id="1771899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45D78"/>
    <w:rsid w:val="000D0933"/>
    <w:rsid w:val="001634E7"/>
    <w:rsid w:val="00187AB8"/>
    <w:rsid w:val="00204719"/>
    <w:rsid w:val="00252A8B"/>
    <w:rsid w:val="0029123F"/>
    <w:rsid w:val="002C16BD"/>
    <w:rsid w:val="003325B3"/>
    <w:rsid w:val="003C4549"/>
    <w:rsid w:val="004005D7"/>
    <w:rsid w:val="00424C76"/>
    <w:rsid w:val="00455FD6"/>
    <w:rsid w:val="00457D8F"/>
    <w:rsid w:val="0048576C"/>
    <w:rsid w:val="004D4CC0"/>
    <w:rsid w:val="004E063E"/>
    <w:rsid w:val="00501D5B"/>
    <w:rsid w:val="005104F6"/>
    <w:rsid w:val="00562153"/>
    <w:rsid w:val="00704B4E"/>
    <w:rsid w:val="00770BEB"/>
    <w:rsid w:val="007A1AB8"/>
    <w:rsid w:val="007A2F4A"/>
    <w:rsid w:val="00817367"/>
    <w:rsid w:val="008A22FF"/>
    <w:rsid w:val="008B2163"/>
    <w:rsid w:val="00A54283"/>
    <w:rsid w:val="00A5664C"/>
    <w:rsid w:val="00AA3F09"/>
    <w:rsid w:val="00AB75E0"/>
    <w:rsid w:val="00B225CB"/>
    <w:rsid w:val="00B233C5"/>
    <w:rsid w:val="00B54855"/>
    <w:rsid w:val="00B57CA9"/>
    <w:rsid w:val="00B90F9E"/>
    <w:rsid w:val="00BA326D"/>
    <w:rsid w:val="00BC3A4A"/>
    <w:rsid w:val="00C24F4F"/>
    <w:rsid w:val="00C771E9"/>
    <w:rsid w:val="00D7067E"/>
    <w:rsid w:val="00D859F3"/>
    <w:rsid w:val="00DF07DC"/>
    <w:rsid w:val="00E6352D"/>
    <w:rsid w:val="00EA3E33"/>
    <w:rsid w:val="00EB0B67"/>
    <w:rsid w:val="00F01A17"/>
    <w:rsid w:val="00F05026"/>
    <w:rsid w:val="00F8548A"/>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A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fals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property name="Office.AutoShowTaskpaneWithDocument" value="fals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92</TotalTime>
  <Pages>7</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Term Project Milestone 1</vt:lpstr>
    </vt:vector>
  </TitlesOfParts>
  <Manager/>
  <Company/>
  <LinksUpToDate>false</LinksUpToDate>
  <CharactersWithSpaces>3922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Milestone 1</dc:title>
  <dc:subject/>
  <dc:creator>Brian Reppeto</dc:creator>
  <cp:keywords/>
  <dc:description/>
  <cp:lastModifiedBy>Brian Reppeto</cp:lastModifiedBy>
  <cp:revision>5</cp:revision>
  <dcterms:created xsi:type="dcterms:W3CDTF">2019-01-25T20:15:00Z</dcterms:created>
  <dcterms:modified xsi:type="dcterms:W3CDTF">2024-12-07T22:32:00Z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Term Project Milestone 1</vt:lpwstr>
  </property>
  <property fmtid="{D5CDD505-2E9C-101B-9397-08002B2CF9AE}" pid="3" name="Author">
    <vt:lpwstr>Brian Reppeto</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Wed Dec 04 2024 19:05:34 GMT-0500 (Eastern Standard Time)</vt:lpwstr>
  </property>
  <property fmtid="{D5CDD505-2E9C-101B-9397-08002B2CF9AE}" pid="7" name="CreatedInVersion">
    <vt:lpwstr>2024.12.2-2235</vt:lpwstr>
  </property>
  <property fmtid="{D5CDD505-2E9C-101B-9397-08002B2CF9AE}" pid="8" name="FormatVersionID">
    <vt:i4>7</vt:i4>
  </property>
  <property fmtid="{D5CDD505-2E9C-101B-9397-08002B2CF9AE}" pid="9" name="PaperGUID">
    <vt:lpwstr>F5E16E32-50F7-4A05-999D-2092DA7FFD34</vt:lpwstr>
  </property>
  <property fmtid="{D5CDD505-2E9C-101B-9397-08002B2CF9AE}" pid="10" name="CustomerID">
    <vt:lpwstr>323336</vt:lpwstr>
  </property>
  <property fmtid="{D5CDD505-2E9C-101B-9397-08002B2CF9AE}" pid="11" name="PaperTypeID">
    <vt:i4>11</vt:i4>
  </property>
  <property fmtid="{D5CDD505-2E9C-101B-9397-08002B2CF9AE}" pid="12" name="IsNewDocument">
    <vt:bool>true</vt:bool>
  </property>
  <property fmtid="{D5CDD505-2E9C-101B-9397-08002B2CF9AE}" pid="13" name="Institution">
    <vt:lpwstr>Bellevue University</vt:lpwstr>
  </property>
  <property fmtid="{D5CDD505-2E9C-101B-9397-08002B2CF9AE}" pid="14" name="DueDate">
    <vt:lpwstr>December 8, 2024</vt:lpwstr>
  </property>
  <property fmtid="{D5CDD505-2E9C-101B-9397-08002B2CF9AE}" pid="15" name="Teacher">
    <vt:lpwstr>Catherine Williams</vt:lpwstr>
  </property>
  <property fmtid="{D5CDD505-2E9C-101B-9397-08002B2CF9AE}" pid="16" name="Course">
    <vt:lpwstr>DSC 640</vt:lpwstr>
  </property>
  <property fmtid="{D5CDD505-2E9C-101B-9397-08002B2CF9AE}" pid="17" name="UseNewCitationMode">
    <vt:bool>true</vt:bool>
  </property>
  <property fmtid="{D5CDD505-2E9C-101B-9397-08002B2CF9AE}" pid="18" name="RunningHead">
    <vt:lpwstr/>
  </property>
  <property fmtid="{D5CDD505-2E9C-101B-9397-08002B2CF9AE}" pid="19" name="IsAuthorNote">
    <vt:bool>true</vt:bool>
  </property>
</Properties>
</file>