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Home Banking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Definizione e analisi dei requisiti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Gruppo 4</w:t>
      </w:r>
    </w:p>
    <w:p w:rsidR="00000000" w:rsidDel="00000000" w:rsidP="00000000" w:rsidRDefault="00000000" w:rsidRPr="00000000" w14:paraId="00000004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Proprietà del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Casi d’uso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eading=h.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Attori del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eading=h.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Lista dettagliata dei casi d’uso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60" w:line="240" w:lineRule="auto"/>
            <w:ind w:left="720" w:firstLine="0"/>
            <w:rPr>
              <w:color w:val="1155cc"/>
              <w:u w:val="single"/>
            </w:rPr>
          </w:pPr>
          <w:hyperlink w:anchor="_heading=h.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CdU: Registrazione utenti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Glossario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[...]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Proprietà del sistema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Sicurezza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Viene garantita una sicurezza sulla veridicità della persona che effettua l’accesso mediante la verifica con il sistema di sicurezza OTP (One Time Password) in fase di login. In alternativa, è possibile ottenere l’accesso alla piattaforma mediante impronta digitale.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Privacy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Screenshoot, registrazione schermo non consentiti. (scrivere meglio)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Casi d’uso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Insieme dei casi d’uso, rappresentanti interazioni all’interno della piattaforma Home Banking.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Attori del sistema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Elenco degli attori che interagiscono con la piattaforma.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Cliente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Persona fisica che possiede un conto bancario intestato a suo nome con l’istituto finanziario e vuole effettuare la registrazione ad un Home Banking.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eading=h.xta60w9gofc2" w:id="13"/>
      <w:bookmarkEnd w:id="13"/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Il cliente a cui è stata abilitata la registrazione ed in possesso dei dati per l’accesso alla piattaforma.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7r660dck3y04" w:id="14"/>
      <w:bookmarkEnd w:id="14"/>
      <w:r w:rsidDel="00000000" w:rsidR="00000000" w:rsidRPr="00000000">
        <w:rPr>
          <w:rtl w:val="0"/>
        </w:rPr>
        <w:t xml:space="preserve">Amministratore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Corrisponde al sistema che si occupa di definire gli eventuali controlli alle richieste ricevute da parte del cliente.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Lato" w:cs="Lato" w:eastAsia="Lato" w:hAnsi="Lato"/>
        </w:rPr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Lista dettagliata dei 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44sinio" w:id="17"/>
            <w:bookmarkEnd w:id="17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Registrazione utenti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 piattaforma deve consentire la registrazione di persone fisiche.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Una persona fisica vuole registrarsi alla piattaforma per usufruire dei servizi bancari online.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 persona fisica inserisce i dati richiesti per la registrazione.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richiede una verifica dell’identità (tramite Trusted Authority).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Un amministratore deve approvare la richiesta di registrazione e autorizzare l’operatività dell’account.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Un nuovo account è stato creato.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I dati da fornire sono: dati anagrafici (nome, cognome, codice fiscale ecc.) della persona, indirizzo di residenza, recapiti telefonici ed email. 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ex40m9xit8nh" w:id="18"/>
            <w:bookmarkEnd w:id="18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Accesso utente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 piattaforma deve permettere l’accesso all’utente a cui in precedenza è stata approvata la fase di registrazione.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2.0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Credenziali dell’utente approvati in fase di registrazione.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 persona fisica inserisce i dati richiesti per l’accesso.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verifica se le credenziali inserite sono corrette.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abilita il riconoscimento dell’utente mediante OTP.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Username e password definiti in fase di registrazione.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1ex9sioco7dz" w:id="19"/>
            <w:bookmarkEnd w:id="19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Accesso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 mediante</w:t>
            </w:r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verifica OTP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Il sistema (mediante un ente terzo) invia tramite sms il codice OTP verso il numero di cellulare fornito in fase di registrazione.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2.1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Amministratore, Ente terzo (OTP)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(2.0) andata a buon fine.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8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codice OTP viene generato in modo casuale e inviato al telefono cellulare dell’utente.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8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inserisce il codice OTP se ricevuto. Altrimenti, richiede l’invio di un nuovo codice casuale.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8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inserisce il codice nell’apposito campo richiesto.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8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il tempo non è scaduto e il codice è corretto, l’accesso viene validato.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ottiene l’accesso al proprio profilo personale.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Codice OTP ricevuto tramite SMS sul numero telefonico dell’utente.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ea8p15lj8gbr" w:id="20"/>
            <w:bookmarkEnd w:id="20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Accesso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 mediante</w:t>
            </w:r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impronta digitale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 alternativa ai casi d’uso (2.0) e (2.1) si può utilizzare l’accesso mediante l’impronta digitale, per i dispositivi che lo permettono.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2.2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Amministratore, Dispositivo riconoscimento impronta digitale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dispositivo in possesso dal cliente deve possedere il sensore di rilevamento delle impronte digitali.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L’impronta digitale deve essere convalidata dalle impostazioni della piattaforma.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richiede se l’utente vuole effettuare l’accesso mediante impronta digitale.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L’utente, con il proprio dispositivo provvisto di sistema di rilevazione delle impronte, richiede l’accesso.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Vengono inviati i dati biometrici dell’impronta al sistema.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analizza i dati biometrici e controlla se esiste una corrispondenza biunivoca.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Accesso autorizzato, dopo scansione con impronta digitale.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Impronta digitale fornita tramite dispositivo dell’utente.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mbzja5olkwzu" w:id="21"/>
            <w:bookmarkEnd w:id="21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Recupero credenziali di accesso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ha smarrito username e/o password, la piattaforma permette il recupero delle credenziali, tramite invio su email del cliente (fornita in fase di registrazione).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2.3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Username e/o password smarriti.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fa richiesta di recupero delle credenziali e inserisce la propria email per il recupero.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controlla che l’email sia presente al suo interno. Se la verifica va a buon fine, viene inviata una email contenente l’username corrispondente ed un link per reimpostare una nuova password.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Nuovo accesso consentito, con password modificata.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h86xfvocycfb" w:id="22"/>
            <w:bookmarkEnd w:id="22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Visualizzazione homepage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Visualizzazione del menu di scelta a disposizione del cliente.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Accesso avvenuto con successo.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effettuare una scelta, che corrisponde ad un servizio offerto dalla piattaforma.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Una nuova vista corrispondente alla scelta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sceglie la voce “Conti e Carte”, verrà visualizzata una vista per la gestione del conto e delle carte a lui intestate.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sceglie la voce “Pagamenti”, verrà visualizzata una vista contenente tutte le operazioni per effettuare pagamenti.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sceglie la voce “Analisi spese”, verrà visualizzata una vista contente le spese sostenuto per un certo lasso di tempo (generalmente 12 mesi).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sceglie la voce “Impostazioni”, verrà data la possibilità di modificare impostazioni sulla piattaforma.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kl2vcubwzt2t" w:id="23"/>
            <w:bookmarkEnd w:id="23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Conti e Carte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Definisce una schermata per la visualizzazione dei conti e delle carte intestate all’utente.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voce “Conti e Carte”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visualizza l’elenco dei conti e delle carte.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seleziona il conto o la carta su cui vuole maggiori informazioni.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fornisce una nuova interfaccia per l’utente in base alla scelta effettuata.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Dati bancari del conto o della carta selezionata.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Alcuni dati informativi della situazione contabile dell’utente: saldo disponibile, saldo contabile, lista movimenti, filtraggio ultimi movimenti in base ad una data specifica, dettaglio conto e/o carte, ecc.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rxtqj8v9fa9s" w:id="24"/>
            <w:bookmarkEnd w:id="24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Pagamenti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Visualizzazione delle voci dei Pagamenti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3.2.0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voce “Pagamenti”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visualizza l’elenco dei pagamenti che è possibile effettuare tramite la piattaforma.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seleziona la tipologia dei pagamenti desiderata.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fornisce una nuova interfaccia in base al tipo di pagamento scelto.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Visualizzazione di una nuova vista corrispondente alla scelta effettuata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sceglie la voce “Bonifico” verrà visualizzata una vista per il pagamento tramite bonifico bancario.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sceglie la voce “Ricarica carta prepagata” verrà visualizzata una vista per inviare denaro a una determinata carta prepagata.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sceglie la voce “Ricarica cellulare” verrà visualizzata una vista per ricaricare il credito di un determinato numero telefonico.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sceglie la voce “Giroconto” verrà visualizzata una vista per inviare denaro alle carte possedute dallo stesso utente.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color w:val="ffffff"/>
                <w:sz w:val="22"/>
                <w:szCs w:val="22"/>
              </w:rPr>
            </w:pPr>
            <w:bookmarkStart w:colFirst="0" w:colLast="0" w:name="_heading=h.zo57u22gcqi" w:id="25"/>
            <w:bookmarkEnd w:id="25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Bonifico Bancario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Vista che permette di effettuare un bonifico bancario dal proprio conto corrente verso un altro conto corrente.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3.2.1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voce “Bonifico bancario”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Inserimento dei dati necessari per il bonifico;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verifica la correttezza dei dati inseriti e la disponibilità economica per eseguire il bonifico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la richiesta è respinta dal sistema viene visualizzata una notifica dell’esito negativo dell’operazione all’utente.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Effettuazione del bonifico e aggiornamento del saldo bancario.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 dati necessari per il bonifico sono: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6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IBAN;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6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Intestatario del conto beneficiario;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6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Causale del bonifico;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6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Importo del bonifico.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6l75vqf3c6t3" w:id="26"/>
            <w:bookmarkEnd w:id="26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Ricarica carta prepagata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Vista che permette di effettuare una ricarica dal proprio conto corrente verso una carta prepagata.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3.2.2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voce “Carta prepagata”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4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Inserimento dei dati necessari per la ricarica;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4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verifica la correttezza dei dati inseriti e la disponibilità economica per eseguire la ricarica;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4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la richiesta è respinta dal sistema viene visualizzata una notifica dell’esito negativo dell’operazione all’utente.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Effettuazione della ricarica e aggiornamento del saldo bancario.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 dati necessari per la ricarica sono: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Numero della carta prepagata;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Intestatario della carta prepagata;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y7ppo42ntvrp" w:id="27"/>
            <w:bookmarkEnd w:id="27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ffffff"/>
                <w:sz w:val="22"/>
                <w:szCs w:val="22"/>
                <w:rtl w:val="0"/>
              </w:rPr>
              <w:t xml:space="preserve">Ricarica cellulare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Vista che permette di effettuare una ricarica cellulare utilizzando il saldo bancario del proprio conto corrente;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3.2.3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voce “Ricarica cellulare”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Inserimento dei dati necessari ad effettuare la ricarica;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verifica la correttezza dei dati inseriti e la disponibilità economica per eseguire la ricarica;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la richiesta è respinta dal sistema viene visualizzata una notifica dell’esito negativo dell’operazione all’utente.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Effettuazione della ricarica cellulare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Numero della scheda telefonica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s3k9l5llcc4b" w:id="28"/>
            <w:bookmarkEnd w:id="28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Giroconto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Vista che permette di effettuare un’operazione di accreditamento su una carta collegata al conto corrente dell’utente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3.2.4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“Giroconto”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3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della carta su cui effettuare l’accreditamento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2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verifica la correttezza dei dati inseriti e la disponibilità economica per eseguire l’operazione di giroconto;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2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la richiesta è respinta dal sistema viene visualizzata una notifica dell’esito negativo dell’operazione all’utente.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Accreditamento dell’importo sulla carta selezionata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9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Carta collegata al conto corrente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9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Importo da versare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delk1cp6xlq4" w:id="29"/>
            <w:bookmarkEnd w:id="29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Analisi Spese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Vista di un sistema di filtraggio delle spese organizzate in base alla tipologia di spesa effettuata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3.3.0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“Analisi Spese”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filtra i movimenti  in base alla categoria di spesa</w:t>
            </w:r>
          </w:p>
          <w:p w:rsidR="00000000" w:rsidDel="00000000" w:rsidP="00000000" w:rsidRDefault="00000000" w:rsidRPr="00000000" w14:paraId="0000012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fornisce i dati filtrati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Lasso di tempo per visualizzare i movimenti filtrati</w:t>
            </w:r>
          </w:p>
        </w:tc>
      </w:tr>
    </w:tbl>
    <w:p w:rsidR="00000000" w:rsidDel="00000000" w:rsidP="00000000" w:rsidRDefault="00000000" w:rsidRPr="00000000" w14:paraId="0000012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n1gbx9852ej5" w:id="30"/>
            <w:bookmarkEnd w:id="30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Impostazioni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“Impostazioni”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3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fornisce una vista con l’elenco della impostazioni disponibili per l’utente.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3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seleziona l’impostazione desiderata.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Visualizzazione di una vista corrispondente all’impostazione scelta.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voce “I miei dati”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voce “Consensi sulla privacy”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voce “Impronta digitale”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voce “Cambia profilo”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voce “Cambia password”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voce “Richiedi nuovo pin”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voce “Gestione dispositivi”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Selezione voce “Ultimi accessi”</w:t>
            </w:r>
          </w:p>
        </w:tc>
      </w:tr>
    </w:tbl>
    <w:p w:rsidR="00000000" w:rsidDel="00000000" w:rsidP="00000000" w:rsidRDefault="00000000" w:rsidRPr="00000000" w14:paraId="0000013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g5m2jwpphf3h" w:id="31"/>
            <w:bookmarkEnd w:id="31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I miei dati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Visualizza una schermata contenente tutti le informazioni personali dell’utente.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“I miei dati” dal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menù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impostazioni.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visualizza tutte le informazioni personali.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apportare delle modifiche su alcuni campi ritenuti modificabili (numero di telefono, e-mail, ecc. ).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l’utente ha selezionato una voce modificabile, il sistema visualizza una nuova schermata dove l’utente può inserire il nuovo valore per la voce da modificare.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Salvataggio delle eventuali modifiche.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Voci che permettono la modifica dei dati.</w:t>
            </w:r>
          </w:p>
        </w:tc>
      </w:tr>
    </w:tbl>
    <w:p w:rsidR="00000000" w:rsidDel="00000000" w:rsidP="00000000" w:rsidRDefault="00000000" w:rsidRPr="00000000" w14:paraId="0000014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ndl8tdcgnp9n" w:id="32"/>
            <w:bookmarkEnd w:id="32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 Consensi sulla privacy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Visualizza una schermata che permette all’utente di modificare l’autorizzazione all’invio di offerte da parte della piattaforma.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“Consensi sulla privacy”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visualizza le autorizzazioni concesse.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31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modificare le autorizzazioni concesse.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Salvataggio delle eventuali modifiche, se richieste.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</w:p>
          <w:p w:rsidR="00000000" w:rsidDel="00000000" w:rsidP="00000000" w:rsidRDefault="00000000" w:rsidRPr="00000000" w14:paraId="0000015D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Autorizzazioni delle offerte.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c46k7syutuau" w:id="33"/>
            <w:bookmarkEnd w:id="33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Impronta digitale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Schermata per l’attivazione/disattivazione del servizio di impronta digitale.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“Impronta digitale”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sceglie se abilitare o disabilitare il servizio di impronta digitale.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Aggiornamento dello stato “Impronta digitale”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j0p89r9sxd1n" w:id="34"/>
            <w:bookmarkEnd w:id="34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Cambia 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Definisce il profilo bancario attualmente attivo sulla piattaforma fornendo la possibilità di scegliere tra una serie di profilo attivi sulla piattaforma.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“Cambia profilo”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visualizza l’insieme dei profili disponibili e quello attualmente in uso.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modificare il proprio profilo scegliendo uno tra quelli disponibili.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Aggiornamento stato profilo personale.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Profilo “Informativo”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Profilo “Banking”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Profilo “Trading”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Profilo “Trading Top”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pqdirbr9mpa3" w:id="35"/>
            <w:bookmarkEnd w:id="35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Cambia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modificare la password di accesso alla piattaforma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“Cambia password”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inserisce la vecchia password (o provvisoria) nel campo corrispondente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verifica la vecchia password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abilitato, l’utente inserisce la nuova password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Aggiornamento della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Password diversa dall’ultima password inserita.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 primi 4 caratteri devono essere numerici.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 successivi caratteri possono essere sia numeri sia caratteri.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 caratteri possono essere sia maiuscoli sia minuscoli sia caratteri speciali.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Lunghezza complessiva di 8 caratteri.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khazybxgokg2" w:id="36"/>
            <w:bookmarkEnd w:id="36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Visualizza Richiedi nuovo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richiedere la reimpostazione di un nuovo codice PIN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“Richiedi nuovo PIN”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inserisce il Codice Fiscale, l’indirizzo e-mail e il numero di cellulare; 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sistema verifica che i dati inseriti corrispondano ai dati validati in fase di registrazione;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sistema invia tramite e-mail un PIN provvisorio che dovrà essere cambiato al primo accesso sulla piattaforma.</w:t>
            </w:r>
          </w:p>
          <w:p w:rsidR="00000000" w:rsidDel="00000000" w:rsidP="00000000" w:rsidRDefault="00000000" w:rsidRPr="00000000" w14:paraId="0000019E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Creazione e validazione di un nuovo PIN.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Codice Fiscale;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Indirizzo e-mail;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Numero di cellulare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exdefh81u6ai" w:id="37"/>
            <w:bookmarkEnd w:id="37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Visualizza Gestione dispositivi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visualizzare la lista di dispositivi con cui poter accedere alla piattaforma ed eventualmente eliminare dispositivi collegati o registrarne nuovi.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“Gestione dispositivi”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visualizza l’elenco dei dispositivi collegati al proprio profilo;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scegliere se aggiungere un nuovo dispositivo oppure eliminare uno già presente;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Salvataggio di eventuali modifiche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Voci che permettono la modifica dei dispositivi.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Style w:val="Heading3"/>
              <w:spacing w:after="0" w:before="0" w:lineRule="auto"/>
              <w:jc w:val="both"/>
              <w:rPr>
                <w:rFonts w:ascii="Lato" w:cs="Lato" w:eastAsia="Lato" w:hAnsi="Lato"/>
                <w:b w:val="0"/>
                <w:color w:val="ffffff"/>
                <w:sz w:val="22"/>
                <w:szCs w:val="22"/>
              </w:rPr>
            </w:pPr>
            <w:bookmarkStart w:colFirst="0" w:colLast="0" w:name="_heading=h.7m9myhfreawn" w:id="38"/>
            <w:bookmarkEnd w:id="38"/>
            <w:r w:rsidDel="00000000" w:rsidR="00000000" w:rsidRPr="00000000">
              <w:rPr>
                <w:rFonts w:ascii="Lato" w:cs="Lato" w:eastAsia="Lato" w:hAnsi="Lato"/>
                <w:color w:val="ffffff"/>
                <w:sz w:val="22"/>
                <w:szCs w:val="22"/>
                <w:rtl w:val="0"/>
              </w:rPr>
              <w:t xml:space="preserve">CdU: Visualizza Ultimi accessi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Descrizione: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può visualizzare l’elenco degli ultimi accessi effettuati.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3.4.8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Attori primari: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Attore secondario: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Amministratore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Selezione della voce “Ultimi accessi”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Sequenza degli eventi: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Il sistema fornisce l’elenco degli ultimi accessi;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Lato" w:cs="Lato" w:eastAsia="Lato" w:hAnsi="Lato"/>
                <w:strike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L’utente visualizza l’elenco degli ultimi 5 accessi effettuati;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Requisiti non funzionali: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Data e ora di ogni accesso.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babgo8LiWdE72iEp1Ph4HAqqg==">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