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643A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D643A3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26994635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26994636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DA1193" w:rsidRDefault="0067302B" w:rsidP="0067302B">
      <w:pPr>
        <w:contextualSpacing/>
        <w:rPr>
          <w:b/>
        </w:rPr>
      </w:pPr>
      <w:r w:rsidRPr="00DA1193">
        <w:rPr>
          <w:b/>
        </w:rPr>
        <w:t>0</w:t>
      </w:r>
      <w:r w:rsidRPr="003F77D3">
        <w:rPr>
          <w:b/>
          <w:lang w:val="en-US"/>
        </w:rPr>
        <w:t>x</w:t>
      </w:r>
      <w:r w:rsidRPr="00DA119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A119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A1193">
        <w:rPr>
          <w:b/>
        </w:rPr>
        <w:t>8</w:t>
      </w:r>
      <w:r>
        <w:rPr>
          <w:b/>
          <w:lang w:val="en-US"/>
        </w:rPr>
        <w:t>B</w:t>
      </w:r>
      <w:r w:rsidRPr="00DA119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A1193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DA1193">
        <w:rPr>
          <w:b/>
          <w:u w:val="single"/>
        </w:rPr>
        <w:t>1</w:t>
      </w:r>
      <w:r w:rsidRPr="00DA1193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DA1193">
        <w:rPr>
          <w:b/>
          <w:u w:val="single"/>
        </w:rPr>
        <w:t>2</w:t>
      </w:r>
      <w:r w:rsidRPr="00DA1193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proofErr w:type="gramStart"/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proofErr w:type="gramStart"/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</w:t>
      </w:r>
      <w:bookmarkStart w:id="180" w:name="_GoBack"/>
      <w:bookmarkEnd w:id="180"/>
      <w:r>
        <w:t xml:space="preserve">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7272C" w:rsidRDefault="00903E58" w:rsidP="00903E58">
      <w:pPr>
        <w:contextualSpacing/>
        <w:rPr>
          <w:b/>
        </w:rPr>
      </w:pPr>
      <w:r w:rsidRPr="00C7272C">
        <w:rPr>
          <w:b/>
        </w:rPr>
        <w:t>0</w:t>
      </w:r>
      <w:r>
        <w:rPr>
          <w:b/>
          <w:lang w:val="en-US"/>
        </w:rPr>
        <w:t>x</w:t>
      </w:r>
      <w:r w:rsidRPr="00C7272C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7272C">
        <w:rPr>
          <w:b/>
        </w:rPr>
        <w:t xml:space="preserve"> 0</w:t>
      </w:r>
      <w:r>
        <w:rPr>
          <w:b/>
          <w:lang w:val="en-US"/>
        </w:rPr>
        <w:t>x</w:t>
      </w:r>
      <w:r w:rsidRPr="00C7272C">
        <w:rPr>
          <w:b/>
        </w:rPr>
        <w:t>30 0</w:t>
      </w:r>
      <w:r w:rsidRPr="00152A64">
        <w:rPr>
          <w:b/>
          <w:lang w:val="en-US"/>
        </w:rPr>
        <w:t>x</w:t>
      </w:r>
      <w:r w:rsidR="00F64C2D">
        <w:rPr>
          <w:b/>
        </w:rPr>
        <w:t>0С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2</w:t>
      </w:r>
      <w:r w:rsidRPr="00C7272C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12</w:t>
      </w:r>
      <w:r w:rsidRPr="00C7272C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1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2" w:name="_Ref382921976"/>
      <w:bookmarkStart w:id="183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2"/>
      <w:bookmarkEnd w:id="18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4" w:name="_Ref382923249"/>
      <w:bookmarkStart w:id="185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4"/>
      <w:bookmarkEnd w:id="18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6" w:name="_Ref380594063"/>
      <w:bookmarkStart w:id="187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6"/>
      <w:bookmarkEnd w:id="18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8" w:name="_Ref382924160"/>
      <w:bookmarkStart w:id="189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8"/>
      <w:bookmarkEnd w:id="18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90" w:name="_Ref382924680"/>
      <w:bookmarkStart w:id="191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90"/>
      <w:bookmarkEnd w:id="19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2" w:name="_Ref382925003"/>
      <w:bookmarkStart w:id="193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2"/>
      <w:bookmarkEnd w:id="19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4" w:author="Comparison" w:date="2014-11-19T13:34:00Z">
        <w:r>
          <w:rPr>
            <w:b/>
          </w:rPr>
          <w:lastRenderedPageBreak/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6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P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7" w:name="_Ref382925160"/>
      <w:bookmarkStart w:id="198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7"/>
      <w:bookmarkEnd w:id="1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9" w:name="_Ref382925996"/>
      <w:bookmarkStart w:id="200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9"/>
      <w:bookmarkEnd w:id="200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1" w:name="_Ref382926503"/>
      <w:bookmarkStart w:id="202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1"/>
      <w:bookmarkEnd w:id="20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3" w:name="_Ref382926735"/>
      <w:bookmarkStart w:id="204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3"/>
      <w:bookmarkEnd w:id="20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5" w:name="_Ref382927079"/>
      <w:bookmarkStart w:id="206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5"/>
      <w:bookmarkEnd w:id="206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lastRenderedPageBreak/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7" w:name="_Ref382927374"/>
      <w:bookmarkStart w:id="208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7"/>
      <w:bookmarkEnd w:id="20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9" w:name="_Ref381004758"/>
      <w:bookmarkStart w:id="210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9"/>
      <w:r w:rsidR="001C6685">
        <w:t>Тестовые сигналы (чтение)</w:t>
      </w:r>
      <w:bookmarkEnd w:id="21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lastRenderedPageBreak/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1" w:name="_Ref380594077"/>
      <w:bookmarkStart w:id="212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1"/>
      <w:bookmarkEnd w:id="21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3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4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5" w:name="_Toc40433644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6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7" w:name="_Ref382312943"/>
      <w:bookmarkStart w:id="218" w:name="_Ref382312949"/>
      <w:bookmarkStart w:id="219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7"/>
      <w:bookmarkEnd w:id="218"/>
      <w:bookmarkEnd w:id="21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20" w:name="_Ref382923098"/>
      <w:bookmarkStart w:id="221" w:name="_Ref382923166"/>
      <w:bookmarkStart w:id="222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20"/>
      <w:bookmarkEnd w:id="221"/>
      <w:bookmarkEnd w:id="222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3" w:name="_Ref381025789"/>
      <w:bookmarkStart w:id="224" w:name="_Toc404336451"/>
      <w:r>
        <w:t>0х74 – Пароль пользователя (чтение)</w:t>
      </w:r>
      <w:bookmarkEnd w:id="223"/>
      <w:bookmarkEnd w:id="224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5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5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6" w:name="_Ref382987791"/>
      <w:bookmarkStart w:id="227" w:name="_Ref382987795"/>
      <w:bookmarkStart w:id="228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6"/>
      <w:bookmarkEnd w:id="227"/>
      <w:bookmarkEnd w:id="228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lastRenderedPageBreak/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9" w:name="_Ref382922015"/>
      <w:bookmarkStart w:id="230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9"/>
      <w:bookmarkEnd w:id="2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1" w:name="_Ref382922932"/>
      <w:bookmarkStart w:id="232" w:name="_Toc404336455"/>
      <w:r>
        <w:lastRenderedPageBreak/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1"/>
      <w:bookmarkEnd w:id="232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3" w:name="_Ref383422184"/>
      <w:bookmarkStart w:id="234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3"/>
      <w:bookmarkEnd w:id="234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5" w:name="_Ref382924706"/>
      <w:bookmarkStart w:id="236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5"/>
      <w:bookmarkEnd w:id="236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7" w:name="_Ref382925031"/>
      <w:bookmarkStart w:id="238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7"/>
      <w:bookmarkEnd w:id="238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9" w:author="Comparison" w:date="2014-11-19T13:34:00Z">
        <w:r>
          <w:rPr>
            <w:b/>
          </w:rPr>
          <w:lastRenderedPageBreak/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C641C2" w:rsidRDefault="004C6FE9" w:rsidP="004C6FE9">
      <w:pPr>
        <w:contextualSpacing/>
      </w:pPr>
      <w:ins w:id="24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1" w:name="_Ref382925179"/>
      <w:bookmarkStart w:id="242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1"/>
      <w:bookmarkEnd w:id="24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3" w:name="_Ref382926053"/>
      <w:bookmarkStart w:id="244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3"/>
      <w:bookmarkEnd w:id="2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5" w:name="_Ref382926521"/>
      <w:bookmarkStart w:id="246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5"/>
      <w:bookmarkEnd w:id="246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7" w:name="_Ref382926755"/>
      <w:bookmarkStart w:id="248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7"/>
      <w:bookmarkEnd w:id="24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9" w:name="_Ref382927189"/>
      <w:bookmarkStart w:id="250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9"/>
      <w:bookmarkEnd w:id="250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1" w:name="_Ref382927404"/>
      <w:bookmarkStart w:id="252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1"/>
      <w:bookmarkEnd w:id="25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A3" w:rsidRDefault="00D643A3" w:rsidP="0063021E">
      <w:r>
        <w:separator/>
      </w:r>
    </w:p>
  </w:endnote>
  <w:endnote w:type="continuationSeparator" w:id="0">
    <w:p w:rsidR="00D643A3" w:rsidRDefault="00D643A3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3C" w:rsidRDefault="0000523C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0523C" w:rsidRDefault="0000523C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3C" w:rsidRDefault="0000523C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7272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23C" w:rsidRDefault="0000523C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7272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A3" w:rsidRDefault="00D643A3" w:rsidP="0063021E">
      <w:r>
        <w:separator/>
      </w:r>
    </w:p>
  </w:footnote>
  <w:footnote w:type="continuationSeparator" w:id="0">
    <w:p w:rsidR="00D643A3" w:rsidRDefault="00D643A3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A745-BFC0-45FC-B91F-08BAFE71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45</Pages>
  <Words>9942</Words>
  <Characters>56672</Characters>
  <Application>Microsoft Office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</cp:revision>
  <cp:lastPrinted>2014-02-19T09:33:00Z</cp:lastPrinted>
  <dcterms:created xsi:type="dcterms:W3CDTF">2014-02-17T03:55:00Z</dcterms:created>
  <dcterms:modified xsi:type="dcterms:W3CDTF">2016-06-09T11:24:00Z</dcterms:modified>
</cp:coreProperties>
</file>