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Московский Авиационный Институт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(Национальный Исследовательский Университет)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«Информационные технологии и прикладная математика»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/>
      </w:pPr>
      <w:r>
        <w:rPr>
          <w:b/>
          <w:bCs/>
          <w:sz w:val="24"/>
          <w:szCs w:val="24"/>
        </w:rPr>
        <w:t>Реферат по курсу «Экономика» на тему</w:t>
      </w:r>
    </w:p>
    <w:p>
      <w:pPr>
        <w:pStyle w:val="Normal"/>
        <w:bidi w:val="0"/>
        <w:jc w:val="center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«Российский IT-рынок»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right"/>
        <w:rPr/>
      </w:pPr>
      <w:r>
        <w:rPr>
          <w:sz w:val="24"/>
          <w:szCs w:val="24"/>
        </w:rPr>
        <w:t>Студент:  Бердикин Т.А.</w:t>
      </w:r>
    </w:p>
    <w:p>
      <w:pPr>
        <w:pStyle w:val="Normal"/>
        <w:bidi w:val="0"/>
        <w:jc w:val="right"/>
        <w:rPr>
          <w:sz w:val="24"/>
          <w:szCs w:val="24"/>
        </w:rPr>
      </w:pPr>
      <w:r>
        <w:rPr>
          <w:sz w:val="24"/>
          <w:szCs w:val="24"/>
        </w:rPr>
        <w:t>Группа:          М8О-307Б-18</w:t>
      </w:r>
    </w:p>
    <w:p>
      <w:pPr>
        <w:pStyle w:val="Normal"/>
        <w:bidi w:val="0"/>
        <w:jc w:val="right"/>
        <w:rPr>
          <w:sz w:val="24"/>
          <w:szCs w:val="24"/>
        </w:rPr>
      </w:pPr>
      <w:r>
        <w:rPr>
          <w:sz w:val="24"/>
          <w:szCs w:val="24"/>
        </w:rPr>
        <w:t>Преподаватель:           Соболев Л.Б.</w:t>
      </w:r>
    </w:p>
    <w:p>
      <w:pPr>
        <w:pStyle w:val="Normal"/>
        <w:bidi w:val="0"/>
        <w:jc w:val="right"/>
        <w:rPr>
          <w:sz w:val="24"/>
          <w:szCs w:val="24"/>
        </w:rPr>
      </w:pPr>
      <w:r>
        <w:rPr>
          <w:sz w:val="24"/>
          <w:szCs w:val="24"/>
        </w:rPr>
        <w:t>Дата:               11.05.2021</w:t>
      </w:r>
    </w:p>
    <w:p>
      <w:pPr>
        <w:pStyle w:val="Normal"/>
        <w:bidi w:val="0"/>
        <w:jc w:val="right"/>
        <w:rPr>
          <w:sz w:val="24"/>
          <w:szCs w:val="24"/>
        </w:rPr>
      </w:pPr>
      <w:r>
        <w:rPr>
          <w:sz w:val="24"/>
          <w:szCs w:val="24"/>
        </w:rPr>
        <w:t>Оценка:</w:t>
      </w:r>
      <w:r>
        <w:rPr>
          <w:sz w:val="24"/>
          <w:szCs w:val="24"/>
          <w:u w:val="single"/>
        </w:rPr>
        <w:t xml:space="preserve">                                 </w:t>
      </w:r>
    </w:p>
    <w:p>
      <w:pPr>
        <w:pStyle w:val="Normal"/>
        <w:bidi w:val="0"/>
        <w:jc w:val="right"/>
        <w:rPr>
          <w:sz w:val="24"/>
          <w:szCs w:val="24"/>
        </w:rPr>
      </w:pPr>
      <w:r>
        <w:rPr>
          <w:sz w:val="24"/>
          <w:szCs w:val="24"/>
        </w:rPr>
        <w:t>Подпись:</w:t>
      </w:r>
      <w:r>
        <w:rPr>
          <w:sz w:val="24"/>
          <w:szCs w:val="24"/>
          <w:u w:val="single"/>
        </w:rPr>
        <w:t xml:space="preserve">                                 </w:t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center"/>
        <w:rPr>
          <w:sz w:val="24"/>
          <w:szCs w:val="24"/>
        </w:rPr>
      </w:pPr>
      <w:r>
        <w:rPr>
          <w:sz w:val="24"/>
          <w:szCs w:val="24"/>
        </w:rPr>
        <w:t>Москва, 2021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  <w:t>«У России три пути – вебкам, закладки и IT»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Современное народное творчество.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В последнее время российский IT-сегмент экономики (особенно его государственная часть) зачастую подвергается насмешкам и неконструктивной критике. Отечественный софт и ПО часто считаются нежизнеспособными и мёртворождёнными, а молодые специалисты считают, что работа в сфере IT в России – лишь трамплин для заграницы.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Но так ли это на самом деле? Давайте попробуем разобраться.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Казалось бы, всё просто – ведь есть куча негативных примеров.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На последнем авиахакатоне в МАИ был размещён госзаказ на «разработку ПО, способного находить аномалии в треках воздушных судов» от Государственного научно-исследовательского института авиационных систем. К слову, общий призовой фонд всего хакатона составлял всего 600 тысяч рублей при общем числе заказов в 10 штук. И даже еесли отбросить денежный вопрос, то какого качества будет программное обеспечение, написанное за трое суток командой из 3-5 студентов на хакатоне? Государственные заказы должны спонсироваться тщательнее, а за разработку подобного ПО должны приниматься высококвалифицированные специалисты, имеющие по классификации степень знаний и опыта не ниже миддла, а то и сеньора.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Ещё примеры: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– </w:t>
      </w:r>
      <w:r>
        <w:rPr>
          <w:b/>
        </w:rPr>
        <w:t>Единая медицинская информационно-аналитическая система (ЕМИАС) города Москвы.</w:t>
      </w:r>
      <w:r>
        <w:rPr/>
        <w:t xml:space="preserve"> Она была разработана для повышения качества и доступности медицинской </w:t>
      </w:r>
      <w:r>
        <w:rPr>
          <w:shd w:fill="auto" w:val="clear"/>
        </w:rPr>
        <w:t>помощи в государственных учреждениях здравоохранения.</w:t>
      </w:r>
    </w:p>
    <w:p>
      <w:pPr>
        <w:pStyle w:val="Normal"/>
        <w:bidi w:val="0"/>
        <w:jc w:val="left"/>
        <w:rPr>
          <w:b w:val="false"/>
          <w:b w:val="false"/>
          <w:bCs w:val="false"/>
          <w:shd w:fill="auto" w:val="clear"/>
        </w:rPr>
      </w:pPr>
      <w:r>
        <w:rPr>
          <w:b w:val="false"/>
          <w:bCs w:val="false"/>
          <w:shd w:fill="auto" w:val="clear"/>
        </w:rPr>
      </w:r>
    </w:p>
    <w:p>
      <w:pPr>
        <w:pStyle w:val="Style18"/>
        <w:bidi w:val="0"/>
        <w:jc w:val="left"/>
        <w:rPr/>
      </w:pPr>
      <w:r>
        <w:rPr>
          <w:b/>
          <w:bCs w:val="false"/>
          <w:shd w:fill="auto" w:val="clear"/>
        </w:rPr>
        <w:t xml:space="preserve">Mos.ru </w:t>
      </w:r>
      <w:r>
        <w:rPr>
          <w:b w:val="false"/>
          <w:bCs w:val="false"/>
          <w:shd w:fill="auto" w:val="clear"/>
        </w:rPr>
        <w:t xml:space="preserve">— официальный портал мэра и правительства Москвы. </w:t>
      </w:r>
      <w:r>
        <w:rPr>
          <w:shd w:fill="auto" w:val="clear"/>
        </w:rPr>
        <w:t xml:space="preserve">Главная задача портала — создать единое веб-пространство мегаполиса, с помощью которого москвичи смогут «в одном окне» найти нужные им городские площадки и онлайн-сервисы. Всего портал Мосуслуг включает в себя более 300 услуг и сервисов, более 170 электронных услуг и сервисов, более 7 млн физических лиц и 20 тысяч юридических. </w:t>
      </w:r>
    </w:p>
    <w:p>
      <w:pPr>
        <w:pStyle w:val="Style18"/>
        <w:bidi w:val="0"/>
        <w:jc w:val="left"/>
        <w:rPr/>
      </w:pPr>
      <w:r>
        <w:rPr>
          <w:b/>
        </w:rPr>
        <w:t>«Портал государственных и муниципальных услуг Российской Федерации»</w:t>
      </w:r>
      <w:r>
        <w:rPr/>
        <w:t xml:space="preserve"> (</w:t>
      </w:r>
      <w:r>
        <w:rPr>
          <w:b/>
        </w:rPr>
        <w:t>Единый портал госуслуг</w:t>
      </w:r>
      <w:r>
        <w:rPr/>
        <w:t xml:space="preserve">, </w:t>
      </w:r>
      <w:r>
        <w:rPr>
          <w:b/>
        </w:rPr>
        <w:t>ЕПГУ</w:t>
      </w:r>
      <w:r>
        <w:rPr/>
        <w:t xml:space="preserve">, кратко — </w:t>
      </w:r>
      <w:r>
        <w:rPr>
          <w:b/>
        </w:rPr>
        <w:t>Госуслуги</w:t>
      </w:r>
      <w:r>
        <w:rPr/>
        <w:t xml:space="preserve">) — справочно-информационный интернет-портал (сайт). Обеспечивает доступ физических и юридических лиц к сведениям о государственных и муниципальных услугах в Российской Федерации, государственных функциях по контролю и надзору, об услугах государственных и муниципальных учреждений, об услугах организаций, участвующих в предоставлении государственных и муниципальных услуг, а также предоставление в электронной форме государственных и муниципальных услуг. Все услуги, размещенные на портале, соотнесены с конкретным регионом России: место получения услуги определяет как наличие самой услуги, так и условия её предоставления. </w:t>
      </w:r>
    </w:p>
    <w:p>
      <w:pPr>
        <w:pStyle w:val="Style18"/>
        <w:bidi w:val="0"/>
        <w:jc w:val="left"/>
        <w:rPr/>
      </w:pPr>
      <w:r>
        <w:rPr/>
        <w:t>На все эти сайты ежедневно можно увидеть жалобы простых граждан: постоянно что-то не работает, глючит, зависает, тормозит. Как уже было написано выше, часто для россиян слово «отечественный» – синоним слова «плохой».</w:t>
      </w:r>
    </w:p>
    <w:p>
      <w:pPr>
        <w:pStyle w:val="Style18"/>
        <w:bidi w:val="0"/>
        <w:jc w:val="left"/>
        <w:rPr/>
      </w:pPr>
      <w:r>
        <w:rPr/>
        <w:t>Но люди склонны оценивать всё субъективно. Статистика же говорит нам об обратном.</w:t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  <w:t xml:space="preserve">К примеру, платёжная система «Мир», основанная в 2015 году, в своё время собрала немало жалоб и критики. Её называли мертворождённой, говорили, что она часто не работает с некоторыми видами терминалов, жаловались на неё по другим поводам. </w:t>
      </w:r>
    </w:p>
    <w:p>
      <w:pPr>
        <w:pStyle w:val="Style18"/>
        <w:bidi w:val="0"/>
        <w:jc w:val="left"/>
        <w:rPr/>
      </w:pPr>
      <w:r>
        <w:rPr/>
        <w:t>Ещё в 2017 году наблюдался рост использования карты. Статистика приведена на графиках ниже.</w:t>
      </w:r>
    </w:p>
    <w:p>
      <w:pPr>
        <w:pStyle w:val="Style18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-13970</wp:posOffset>
            </wp:positionH>
            <wp:positionV relativeFrom="paragraph">
              <wp:posOffset>-62865</wp:posOffset>
            </wp:positionV>
            <wp:extent cx="5993130" cy="4923790"/>
            <wp:effectExtent l="0" t="0" r="0" b="0"/>
            <wp:wrapSquare wrapText="largest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jc w:val="left"/>
        <w:rPr/>
      </w:pPr>
      <w:r>
        <w:rPr/>
        <w:t>А ещё за 2019 год россияне провели 2 миллиарда операций с использованием карты «Мир». В числе лидеров, конечно же, как всегда, Москва и МО, Санкт-Петербург и, внезапно, Свердловская и Красноярская области. Супермаркеты, кафе с ресторанами и общественный транспорт – везде использовалась карта платёжной системы «Мир».</w:t>
      </w:r>
    </w:p>
    <w:p>
      <w:pPr>
        <w:pStyle w:val="Style18"/>
        <w:bidi w:val="0"/>
        <w:jc w:val="left"/>
        <w:rPr/>
      </w:pPr>
      <w:r>
        <w:rPr/>
        <w:t>У официального сайта Мэра Москвы, через который можно получить практически любую услугу, в день (данные взяты за 10.05.2021) выходит более 920 тысяч посещений, в неделю – почти 6.5 миллионов, а в месяц эта цифра доходит до 50 миллионов посещений. Значит, люди пользуются услугами, предоставляемыми им государством, и пользуются довольно активно.</w:t>
      </w:r>
    </w:p>
    <w:p>
      <w:pPr>
        <w:pStyle w:val="Style18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1630"/>
            <wp:effectExtent l="0" t="0" r="0" b="0"/>
            <wp:wrapSquare wrapText="largest"/>
            <wp:docPr id="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jc w:val="left"/>
        <w:rPr/>
      </w:pPr>
      <w:r>
        <w:rPr/>
        <w:t>Можно заявить, что эти статистические примеры – государственный сектор, и в частном секторе у компаний и корпораций дела обстоят куда хуже.</w:t>
      </w:r>
    </w:p>
    <w:p>
      <w:pPr>
        <w:pStyle w:val="Style18"/>
        <w:bidi w:val="0"/>
        <w:jc w:val="left"/>
        <w:rPr/>
      </w:pPr>
      <w:r>
        <w:rPr/>
        <w:t>Вспомним, например, Яндекс. Эта компания сейчас является одной из самых быстрорастущих на российском рынке, где преимущественно и развернула свою деятельность, хотя также занимает заметное положение в Беларуси и Казахстане. Основанная в 1997 году, корпорация прошла долгий путь от простого поисковика до огромного агрегатора всего, что только можно: такси, доставка еды, собственный браузер, навигатор, телефон,  медиасервисы и многое-многое другое.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Капитализация компании составляет сейчас более 1.6 триллиона рублей. За один лишь третий квартал 2020 года выручка Яндекса составила около 58.3 миллиарда рублей, а чистая прибыль за это же время – 21.9 миллиарда рублей.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-20955</wp:posOffset>
            </wp:positionH>
            <wp:positionV relativeFrom="paragraph">
              <wp:posOffset>388620</wp:posOffset>
            </wp:positionV>
            <wp:extent cx="6120130" cy="2631440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В Яндексе работает 11466 сотрудников, и фонд оплаты труда на каждого сотрудника составляет в среднем 322'000₽ (19% от выручки):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Style18"/>
        <w:bidi w:val="0"/>
        <w:jc w:val="left"/>
        <w:rPr/>
      </w:pPr>
      <w:r>
        <w:rPr>
          <w:b w:val="false"/>
          <w:bCs w:val="false"/>
        </w:rPr>
        <w:t>Количество поисковых запросов в России выросло на 13% за год.</w:t>
      </w:r>
    </w:p>
    <w:p>
      <w:pPr>
        <w:pStyle w:val="Style18"/>
        <w:bidi w:val="0"/>
        <w:spacing w:lineRule="auto" w:line="276" w:before="0" w:after="140"/>
        <w:jc w:val="left"/>
        <w:rPr/>
      </w:pPr>
      <w:r>
        <w:rPr/>
        <w:t>Выручка сегмента стагнирует (+2% г/г). В отчете обвинили ковид.</w:t>
      </w:r>
    </w:p>
    <w:p>
      <w:pPr>
        <w:pStyle w:val="Style18"/>
        <w:bidi w:val="0"/>
        <w:spacing w:lineRule="auto" w:line="276" w:before="0" w:after="140"/>
        <w:jc w:val="left"/>
        <w:rPr/>
      </w:pPr>
      <w:r>
        <w:rPr/>
        <w:t>Поиск и портал - это главный бизнес Яндекса, дающий 60% выручки, но зависимость от него снижается (было 70% годом ранее, 95% в 2017 г.):</w:t>
      </w:r>
    </w:p>
    <w:p>
      <w:pPr>
        <w:pStyle w:val="Style18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11430</wp:posOffset>
            </wp:positionV>
            <wp:extent cx="6120130" cy="2754630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Выручка в абсолютных цифрах: 31,78 млрд ₽ за квартал.</w:t>
      </w:r>
    </w:p>
    <w:p>
      <w:pPr>
        <w:pStyle w:val="Style18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Такси Яндекса работает в 17 странах помимо России: в основном это страны СНГ. Такси также работает в Израиле, Финляндии, Румынии и даже Гане и Кот'д'Ивуаре. Только называется по-другому.</w:t>
      </w:r>
    </w:p>
    <w:p>
      <w:pPr>
        <w:pStyle w:val="Style18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2470" cy="385508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7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Так что у крупнейшего российского IT-гиганта дела идут хорошо.</w:t>
      </w:r>
    </w:p>
    <w:p>
      <w:pPr>
        <w:pStyle w:val="Style18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Компания Mail.ru Group тоже довольно давно находится на российском рынке – с 1998 года. Пятый по популярности ресурс в стране, который уже очень давно поглотил и создал много дочерних компаний, пройдя, как и Яндекс, путь от просто сайта-поисковика с почтой до гигантского агрегатора, владеющего известными социальными сетями, такси, разработкой игр, образовательными платформами и ещё многими сервисами.</w:t>
      </w:r>
    </w:p>
    <w:p>
      <w:pPr>
        <w:pStyle w:val="Style18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0967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На приведённых выше графиках виден постоянный рост доходов компании. Mail.Ru Group расширяется и сейчас. </w:t>
      </w:r>
    </w:p>
    <w:p>
      <w:pPr>
        <w:pStyle w:val="Style18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Как видно из финансового отчёта за 2020 год, совокупная выручка компании за прошедший год выросла на 21,2 %, достигнув 107 миллиардов рублей.</w:t>
      </w:r>
    </w:p>
    <w:p>
      <w:pPr>
        <w:pStyle w:val="Style18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Около половины выручки принесли соцсети — «Одноклассники» и «ВКонтакте». За год показатели направления выросли на 4,7 %, достигнув 52,7 миллиарда рублей (49,06 % от общей выручки). Из них примерно 60 % дохода приносит онлайн-реклама.</w:t>
      </w:r>
    </w:p>
    <w:p>
      <w:pPr>
        <w:pStyle w:val="Style18"/>
        <w:bidi w:val="0"/>
        <w:spacing w:lineRule="auto" w:line="276" w:before="0" w:after="140"/>
        <w:jc w:val="left"/>
        <w:rPr/>
      </w:pPr>
      <w:r>
        <w:rPr/>
        <w:t>Одним из самых быстрорастущих подразделений в прошедшем году стало MY.GAMES. Выручка направления выросла на 30,4 %. Как отмечают представители MRG, это опережает средний рост мировой игровой индустрии примерно на 10 %. За 2020 год подразделение принесло компании 40,7 миллиарда рублей, из которых 98 % пришлось на условно-бесплатные игры. Общее число зарегистрированных пользователей сервиса достигло 770 миллионов человек (в декабре 2020 года), увеличившись на 165 миллионов за год.</w:t>
      </w:r>
    </w:p>
    <w:p>
      <w:pPr>
        <w:pStyle w:val="Style18"/>
        <w:bidi w:val="0"/>
        <w:spacing w:lineRule="auto" w:line="276" w:before="0" w:after="140"/>
        <w:jc w:val="left"/>
        <w:rPr/>
      </w:pPr>
      <w:r>
        <w:rPr/>
        <w:t>Mail.ru Group также похвасталась достижениями образовательных платформ. Выручка сервисов GeekBrains и Skillbox достигла 6,1 миллиарда рублей, превысив ожидаемую планку в 5 миллиардов. Число платных студентов выросло на 103 тысячи, достигнув 170 тысяч (в декабре 2020 года).</w:t>
      </w:r>
    </w:p>
    <w:p>
      <w:pPr>
        <w:pStyle w:val="Style18"/>
        <w:bidi w:val="0"/>
        <w:spacing w:lineRule="auto" w:line="276" w:before="0" w:after="140"/>
        <w:jc w:val="left"/>
        <w:rPr/>
      </w:pPr>
      <w:r>
        <w:rPr>
          <w:rStyle w:val="Style15"/>
        </w:rPr>
        <w:t>Остальные показатели</w:t>
      </w:r>
    </w:p>
    <w:p>
      <w:pPr>
        <w:pStyle w:val="Style18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ind w:left="707" w:hanging="283"/>
        <w:rPr/>
      </w:pPr>
      <w:r>
        <w:rPr/>
        <w:t>Выручка «Юлы» в 2020 году достигла 3 миллиардов рублей. Число ежемесячных пользователей выросло на 22 % благодаря интеграции с «ВКонтакте». В 2021 году ожидается рост до 3,6-3,9 миллиарда рублей.</w:t>
      </w:r>
    </w:p>
    <w:p>
      <w:pPr>
        <w:pStyle w:val="Style18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ind w:left="707" w:hanging="283"/>
        <w:rPr/>
      </w:pPr>
      <w:r>
        <w:rPr/>
        <w:t>Выручка Delivery Club (часть СП со Сбером) выросла в 2,3 раза, достигнув 10 миллиардов рублей. К платформе подключились почти 39 тысяч ресторанов.</w:t>
      </w:r>
    </w:p>
    <w:p>
      <w:pPr>
        <w:pStyle w:val="Style18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ind w:left="707" w:hanging="283"/>
        <w:rPr/>
      </w:pPr>
      <w:r>
        <w:rPr/>
        <w:t>Число поездок в «Ситимобил» (часть СП со Сбером) выросло в три раза, достигнув 185 миллионов в год. Оборот сервиса составил 46 миллиардов рублей. В будущем компания планирует интегрировать сервис с каршерингом YouDrive.</w:t>
      </w:r>
    </w:p>
    <w:p>
      <w:pPr>
        <w:pStyle w:val="Style18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ind w:left="707" w:hanging="283"/>
        <w:rPr/>
      </w:pPr>
      <w:r>
        <w:rPr/>
        <w:t>Выручка сервиса доставки продуктов «Самокат» (часть СП со Сбером) составила 9 миллиардов рублей. Платформа доставила 18 миллионов заказов за год. Это в 15 раз больше, чем годом ранее.</w:t>
      </w:r>
    </w:p>
    <w:p>
      <w:pPr>
        <w:pStyle w:val="Style18"/>
        <w:numPr>
          <w:ilvl w:val="0"/>
          <w:numId w:val="2"/>
        </w:numPr>
        <w:tabs>
          <w:tab w:val="clear" w:pos="709"/>
          <w:tab w:val="left" w:pos="707" w:leader="none"/>
        </w:tabs>
        <w:bidi w:val="0"/>
        <w:ind w:left="707" w:hanging="283"/>
        <w:rPr/>
      </w:pPr>
      <w:r>
        <w:rPr/>
        <w:t>Mail.ru Group приобрела в сентябре 2020 года сервис доставки еды «Кухня на районе». За прошедший год его выручка выросла в 3,7 раза, достигнув 2,6 миллиарда рублей. Компания обработала 5,2 миллиона заказов.</w:t>
      </w:r>
    </w:p>
    <w:p>
      <w:pPr>
        <w:pStyle w:val="Style18"/>
        <w:bidi w:val="0"/>
        <w:jc w:val="left"/>
        <w:rPr/>
      </w:pPr>
      <w:r>
        <w:rPr/>
        <w:t xml:space="preserve">В 2021 году Mail.ru Group планирует увеличить выручку до 127-130 миллиардов рублей. </w:t>
      </w:r>
    </w:p>
    <w:p>
      <w:pPr>
        <w:pStyle w:val="Style18"/>
        <w:bidi w:val="0"/>
        <w:jc w:val="left"/>
        <w:rPr/>
      </w:pPr>
      <w:r>
        <w:rPr/>
        <w:t>Как видно из приведённых выше цифр, люди активно пользуются услугами, которые им предоставляют российские IT-гиганты, причём, не только в сфере информационных услуг, но и во многих других областях. Соответственно, их прибыль каждый год растёт, а число сотрудников увеличивается.</w:t>
      </w:r>
    </w:p>
    <w:p>
      <w:pPr>
        <w:pStyle w:val="Style18"/>
        <w:bidi w:val="0"/>
        <w:jc w:val="left"/>
        <w:rPr/>
      </w:pPr>
      <w:r>
        <w:rPr/>
        <w:t>В наше время у многих IT-компаний имеются курсы, стажировки и прочее обучение будущих работников. Сейчас они заинтересованы в том, чтобы привлекать новых людей, делая из них высококвалифицированных специалистов, которые в будущем станут разрабатывать новые современные решения для простых пользователей.</w:t>
      </w:r>
    </w:p>
    <w:p>
      <w:pPr>
        <w:pStyle w:val="Style18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20320</wp:posOffset>
            </wp:positionH>
            <wp:positionV relativeFrom="paragraph">
              <wp:posOffset>-62230</wp:posOffset>
            </wp:positionV>
            <wp:extent cx="5335905" cy="39884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</w:r>
    </w:p>
    <w:p>
      <w:pPr>
        <w:pStyle w:val="Style18"/>
        <w:bidi w:val="0"/>
        <w:jc w:val="left"/>
        <w:rPr/>
      </w:pPr>
      <w:r>
        <w:rPr/>
        <w:t>Именно поэтому российские IT-специалисты, будь то программисты, аналитики или дата сайентисты, не уступают по уровню квалификации европейским и американским работникам данной сферы. Отчасти это также происходит из-за того, что зачастую транснациональные корпорации пытаются сэкономить и нанимают на работу малообразованных жителей развивающихся стран, преимущественно из Индии (например, понятие «индусский» применительно к коду в российской IТ-сфере уже давно стало означать «плохой, который, тем не менее, почему-то работает»).</w:t>
      </w:r>
    </w:p>
    <w:p>
      <w:pPr>
        <w:pStyle w:val="Style18"/>
        <w:bidi w:val="0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-33655</wp:posOffset>
            </wp:positionH>
            <wp:positionV relativeFrom="paragraph">
              <wp:posOffset>-34925</wp:posOffset>
            </wp:positionV>
            <wp:extent cx="6120130" cy="419989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Именно в IT-сфере, судя по диаграмме выше, в России одни из самых высоких зарплат. Обычно при работе программистом или на другой высококвалифицированной специальности наблюдается быстрый карьерный рост, повышение зарплаты при более гибких и удобных графиках труда, а также выход на международный уровень и участие в крупных проектах. Причём, это относится как к частному, так и к государственному сектору.</w:t>
      </w:r>
    </w:p>
    <w:p>
      <w:pPr>
        <w:pStyle w:val="Style18"/>
        <w:bidi w:val="0"/>
        <w:jc w:val="left"/>
        <w:rPr/>
      </w:pPr>
      <w:r>
        <w:rPr/>
        <w:t>Резюмируя, можно заключить следующее: российский IT-рынок – одно из самых комфортных и прибыльных направлений, как для работодателя, так и для работника. Российские специалисты высоко ценятся на международном уровне и имеют достойную зарплату, чтобы обеспечить себе комфортное существование. Также они разрабатывают качественное отечественное ПО, которым пользуются десятки миллионов россиян.</w:t>
      </w:r>
    </w:p>
    <w:p>
      <w:pPr>
        <w:pStyle w:val="Style18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Style18"/>
        <w:bidi w:val="0"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Список литературы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Сайт платёжной системы Мир – </w:t>
      </w:r>
      <w:hyperlink r:id="rId10">
        <w:r>
          <w:rPr/>
          <w:t>https://mironline.ru/press-center/press-releases/14-01-2020-za-2019-god-bylo-soversheno-svyshe-dvukh-milliardov-operatsiy-po-kart/</w:t>
        </w:r>
      </w:hyperlink>
      <w:r>
        <w:rPr/>
        <w:t xml:space="preserve"> – 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Сайт авиахакатона МАИ – </w:t>
      </w:r>
      <w:hyperlink r:id="rId11">
        <w:r>
          <w:rPr/>
          <w:t>https://aviahackathon.mai.ru/</w:t>
        </w:r>
      </w:hyperlink>
      <w:r>
        <w:rPr/>
        <w:t xml:space="preserve"> – 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Статья о росте Mail.Ru Group за 2015 год – </w:t>
      </w:r>
      <w:hyperlink r:id="rId12">
        <w:r>
          <w:rPr/>
          <w:t>https://www.rbc.ru/technology_and_media/20/08/2015/55d5a9769a79479d0c787484</w:t>
        </w:r>
      </w:hyperlink>
      <w:r>
        <w:rPr/>
        <w:t xml:space="preserve"> – 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Статья о зарплатах в России – https://zen.yandex.ru/media/notboringeconomy/naskolko-zarplata-zavisit-ot-vozrasta-obrazovaniia-doljnosti-sfery-deiatelnosti-i-pola-5eb5964e9ad7a1537819e380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Mail.ru Group: аудированная отчетность по МСФО за 2020 год – https://corp.mail.ru/ru/investors/info/10836/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Биржевые котировки Mail.Ru Group Ltd – </w:t>
      </w:r>
      <w:hyperlink r:id="rId13">
        <w:r>
          <w:rPr/>
          <w:t>https://ru.investing.com/equities/mail.ru-grp-wi-earnings?cid=1163363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Пересказ отчёта Mail.Ru о доходах за 2020 – https://3dnews.ru/1034115/mailru-group-opublikovala-otchyot-za-2020-god-sotsseti-i-igrovoe-podrazdelenie-prinesli-kompanii-bolee-80-viruchki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Статистика посещаемости порталов Москвы – https://www.mos.ru/dit/function/o-departamente/stats/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Финансовый отчёт Yandex за 4 квартал 2020 – https://ir-docs.s3.yandex.net/financials/2020/yndx_Current_Folio_6K_Ex99_1_FINAL%20with%20LOGO.pdf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Пересказ финансовых отчётов Yandex за 2020 – https://pikabu.ru/story/yandeks_v_tsifrakh_7799668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 </w:t>
      </w:r>
      <w:r>
        <w:rPr/>
        <w:t>Обзор и оценка перспектив развития мирового и российского рынков ИТ – https://habr.com/ru/company/moex/blog/250463/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Обзор российского IT-рынка с 2008 по 2020 – </w:t>
      </w:r>
      <w:r>
        <w:fldChar w:fldCharType="begin"/>
      </w:r>
      <w:r>
        <w:rPr/>
        <w:instrText> HYPERLINK "https://www.tadviser.ru/index.php/Статья:ИТ-рынок_России" \l ".D0.98.D0.9A.D0.A2-.D1.80.D1.8B.D0.BD.D0.BE.D0.BA_.D0.A0.D0.BE.D1.81.D1.81.D0.B8.D0.B8"</w:instrText>
      </w:r>
      <w:r>
        <w:rPr/>
        <w:fldChar w:fldCharType="separate"/>
      </w:r>
      <w:r>
        <w:rPr/>
        <w:t>https://www.tadviser.ru/index.php/%D0%A1%D1%82%D0%B0%D1%82%D1%8C%D1%8F:%D0%98%D0%A2-%D1%80%D1%8B%D0%BD%D0%BE%D0%BA_%D0%A0%D0%BE%D1%81%D1%81%D0%B8%D0%B8#.D0.98.D0.9A.D0.A2-.D1.80.D1.8B.D0.BD.D0.BE.D0.BA_.D0.A0.D0.BE.D1.81.D1.81.D0.B8.D0.B8</w:t>
      </w:r>
      <w:r>
        <w:rPr/>
        <w:fldChar w:fldCharType="end"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>Статистика работы ЕМИАС – http://emias.infographer.ru/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 </w:t>
      </w:r>
      <w:r>
        <w:rPr/>
        <w:t>Аудитория и статистика портала госуслуг – https://zdrav.expert/index.php/%D0%A1%D1%82%D0%B0%D1%82%D1%8C%D1%8F:%D0%90%D1%83%D0%B4%D0%B8%D1%82%D0%BE%D1%80%D0%B8%D1%8F_%D0%B8_%D1%81%D1%82%D0%B0%D1%82%D0%B8%D1%81%D1%82%D0%B8%D0%BA%D0%B0_%D0%BF%D0%BE%D1%80%D1%82%D0%B0%D0%BB%D0%B0_%D0%B3%D0%BE%D1%81%D1%83%D1%81%D0%BB%D1%83%D0%B3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«VISA», «MasterCard» или «МИР»? – </w:t>
      </w:r>
      <w:r>
        <w:fldChar w:fldCharType="begin"/>
      </w:r>
      <w:r>
        <w:rPr/>
        <w:instrText> HYPERLINK "https://bankstoday.net/last-articles/kartu-kakoj-platezhnoj-sistemy-vybrat-visa-mastercard-ili-mir" \l "__VISA_MasterCard"</w:instrText>
      </w:r>
      <w:r>
        <w:rPr/>
        <w:fldChar w:fldCharType="separate"/>
      </w:r>
      <w:r>
        <w:rPr/>
        <w:t>https://bankstoday.net/last-articles/kartu-kakoj-platezhnoj-sistemy-vybrat-visa-mastercard-ili-mir#__VISA_MasterCard</w:t>
      </w:r>
      <w:r>
        <w:rPr/>
        <w:fldChar w:fldCharType="end"/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/>
        <w:t xml:space="preserve">Немного статистики о карте «Мир» – </w:t>
      </w:r>
      <w:hyperlink r:id="rId14">
        <w:r>
          <w:rPr/>
          <w:t>https://aif.ru/dontknows/actual/zachem_byudzhetnikov_perevodyat_na_platezhnye_karty_mir</w:t>
        </w:r>
      </w:hyperlink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7"/>
    <w:next w:val="Style18"/>
    <w:qFormat/>
    <w:pPr>
      <w:numPr>
        <w:ilvl w:val="0"/>
        <w:numId w:val="1"/>
      </w:numPr>
      <w:spacing w:before="240" w:after="120"/>
      <w:outlineLvl w:val="0"/>
    </w:pPr>
    <w:rPr>
      <w:rFonts w:ascii="Liberation Serif" w:hAnsi="Liberation Serif" w:eastAsia="Noto Serif CJK SC" w:cs="FreeSans"/>
      <w:b/>
      <w:bCs/>
      <w:sz w:val="48"/>
      <w:szCs w:val="48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Style14">
    <w:name w:val="Символ нумерации"/>
    <w:qFormat/>
    <w:rPr/>
  </w:style>
  <w:style w:type="character" w:styleId="Style15">
    <w:name w:val="Выделение жирным"/>
    <w:qFormat/>
    <w:rPr>
      <w:b/>
      <w:bCs/>
    </w:rPr>
  </w:style>
  <w:style w:type="character" w:styleId="Style16">
    <w:name w:val="Маркеры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Free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mironline.ru/press-center/press-releases/14-01-2020-za-2019-god-bylo-soversheno-svyshe-dvukh-milliardov-operatsiy-po-kart/" TargetMode="External"/><Relationship Id="rId11" Type="http://schemas.openxmlformats.org/officeDocument/2006/relationships/hyperlink" Target="https://aviahackathon.mai.ru/" TargetMode="External"/><Relationship Id="rId12" Type="http://schemas.openxmlformats.org/officeDocument/2006/relationships/hyperlink" Target="https://www.rbc.ru/technology_and_media/20/08/2015/55d5a9769a79479d0c787484" TargetMode="External"/><Relationship Id="rId13" Type="http://schemas.openxmlformats.org/officeDocument/2006/relationships/hyperlink" Target="https://ru.investing.com/equities/mail.ru-grp-wi-earnings?cid=1163363" TargetMode="External"/><Relationship Id="rId14" Type="http://schemas.openxmlformats.org/officeDocument/2006/relationships/hyperlink" Target="https://aif.ru/dontknows/actual/zachem_byudzhetnikov_perevodyat_na_platezhnye_karty_mir" TargetMode="Externa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855</TotalTime>
  <Application>LibreOffice/7.1.3.2$Linux_X86_64 LibreOffice_project/7fefe725e5592600357e1894473a23e841987400</Application>
  <AppVersion>15.0000</AppVersion>
  <Pages>10</Pages>
  <Words>1525</Words>
  <Characters>11122</Characters>
  <CharactersWithSpaces>12701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2021-05-10T09:26:52Z</dcterms:created>
  <dc:creator/>
  <dc:description/>
  <dc:language>ru-RU</dc:language>
  <cp:lastModifiedBy/>
  <dcterms:modified xsi:type="dcterms:W3CDTF">2021-05-12T15:22:28Z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