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Автомодельные уравнения: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ν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)R' =RV' |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ν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)(RV)'=RVV'+P'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ν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)(R'V+RV'-R'V)=RVV'-RVV'+P'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ν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)RV'=P'=A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γ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ν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R'=A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γ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1) R'=0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2) 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ν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γ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</m:e>
        </m:rad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-3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R'=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∓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</m:e>
        </m:rad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(R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2)'=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∓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-V=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∓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V'=1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R'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R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γ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-1</m:t>
                    </m:r>
                  </m:sup>
                </m:sSup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</m:e>
        </m:rad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подставляем в изначальное уравнение, получим: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∓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)R'=R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получаем: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 = 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±</m:t>
        </m:r>
        <m: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±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±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±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∓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±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Течения, в которых один из инвариантов является постоянным, называют простыми волнами. В данном случае - центрированная волна.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получили решение для частного случая.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у нас есть два постоянных течения. Есть два случая: либо это контактный разрыв, либо это ударная волна. В любом случае в точке разрыва должны быть выполнены соотношения Гюголя. Причем должны быть выполнены еще энтропийные неравенства. Теперь если это решение будет волной развешивания, то в точке не будет разрыва, непрерывное решение.</w:t>
        <w:br w:type="textWrapping"/>
        <w:t xml:space="preserve">Как движется разрыв производных? И справа и слева уравнения должны быть выполнены в любом случае.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752725" cy="3124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2375" y="813625"/>
                          <a:ext cx="2752725" cy="3124200"/>
                          <a:chOff x="1472375" y="813625"/>
                          <a:chExt cx="2729950" cy="3105750"/>
                        </a:xfrm>
                      </wpg:grpSpPr>
                      <wps:wsp>
                        <wps:cNvCnPr/>
                        <wps:spPr>
                          <a:xfrm>
                            <a:off x="1872325" y="813625"/>
                            <a:ext cx="19500" cy="25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1725" y="3430950"/>
                            <a:ext cx="219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8725" y="3381950"/>
                            <a:ext cx="78300" cy="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28925" y="3440875"/>
                            <a:ext cx="783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933825" y="3519175"/>
                            <a:ext cx="26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25275" y="823425"/>
                            <a:ext cx="588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4075" y="843025"/>
                            <a:ext cx="48900" cy="1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344825" y="1793900"/>
                            <a:ext cx="1186125" cy="1176325"/>
                          </a:xfrm>
                          <a:custGeom>
                            <a:rect b="b" l="l" r="r" t="t"/>
                            <a:pathLst>
                              <a:path extrusionOk="0" h="47053" w="47445">
                                <a:moveTo>
                                  <a:pt x="0" y="47053"/>
                                </a:moveTo>
                                <a:cubicBezTo>
                                  <a:pt x="3006" y="42086"/>
                                  <a:pt x="10130" y="25095"/>
                                  <a:pt x="18037" y="17253"/>
                                </a:cubicBezTo>
                                <a:cubicBezTo>
                                  <a:pt x="25945" y="9411"/>
                                  <a:pt x="42544" y="2876"/>
                                  <a:pt x="4744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3900" y="2421275"/>
                            <a:ext cx="74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8900" y="2431075"/>
                            <a:ext cx="0" cy="10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4075" y="2058575"/>
                            <a:ext cx="114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1000" y="2068375"/>
                            <a:ext cx="0" cy="13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612442" y="2414538"/>
                            <a:ext cx="78925" cy="45950"/>
                          </a:xfrm>
                          <a:custGeom>
                            <a:rect b="b" l="l" r="r" t="t"/>
                            <a:pathLst>
                              <a:path extrusionOk="0" h="1838" w="3157">
                                <a:moveTo>
                                  <a:pt x="666" y="1053"/>
                                </a:moveTo>
                                <a:cubicBezTo>
                                  <a:pt x="1377" y="1409"/>
                                  <a:pt x="2768" y="2199"/>
                                  <a:pt x="3019" y="1445"/>
                                </a:cubicBezTo>
                                <a:cubicBezTo>
                                  <a:pt x="3260" y="722"/>
                                  <a:pt x="1597" y="-270"/>
                                  <a:pt x="1058" y="269"/>
                                </a:cubicBezTo>
                                <a:cubicBezTo>
                                  <a:pt x="795" y="532"/>
                                  <a:pt x="3157" y="1445"/>
                                  <a:pt x="2626" y="1445"/>
                                </a:cubicBezTo>
                                <a:cubicBezTo>
                                  <a:pt x="1960" y="1445"/>
                                  <a:pt x="0" y="1838"/>
                                  <a:pt x="666" y="1838"/>
                                </a:cubicBezTo>
                                <a:cubicBezTo>
                                  <a:pt x="1405" y="1838"/>
                                  <a:pt x="2757" y="792"/>
                                  <a:pt x="2234" y="269"/>
                                </a:cubicBezTo>
                                <a:cubicBezTo>
                                  <a:pt x="1772" y="-193"/>
                                  <a:pt x="274" y="922"/>
                                  <a:pt x="666" y="1445"/>
                                </a:cubicBezTo>
                                <a:cubicBezTo>
                                  <a:pt x="1088" y="2008"/>
                                  <a:pt x="2311" y="1290"/>
                                  <a:pt x="2626" y="6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83282" y="2020657"/>
                            <a:ext cx="77300" cy="72225"/>
                          </a:xfrm>
                          <a:custGeom>
                            <a:rect b="b" l="l" r="r" t="t"/>
                            <a:pathLst>
                              <a:path extrusionOk="0" h="2889" w="3092">
                                <a:moveTo>
                                  <a:pt x="2301" y="2301"/>
                                </a:moveTo>
                                <a:cubicBezTo>
                                  <a:pt x="2360" y="2184"/>
                                  <a:pt x="2192" y="2621"/>
                                  <a:pt x="2301" y="2693"/>
                                </a:cubicBezTo>
                                <a:cubicBezTo>
                                  <a:pt x="2963" y="3134"/>
                                  <a:pt x="3356" y="782"/>
                                  <a:pt x="2694" y="341"/>
                                </a:cubicBezTo>
                                <a:cubicBezTo>
                                  <a:pt x="1910" y="-181"/>
                                  <a:pt x="282" y="2272"/>
                                  <a:pt x="1125" y="2693"/>
                                </a:cubicBezTo>
                                <a:cubicBezTo>
                                  <a:pt x="1909" y="3085"/>
                                  <a:pt x="2693" y="1125"/>
                                  <a:pt x="2301" y="341"/>
                                </a:cubicBezTo>
                                <a:cubicBezTo>
                                  <a:pt x="1960" y="-340"/>
                                  <a:pt x="-340" y="1176"/>
                                  <a:pt x="341" y="1517"/>
                                </a:cubicBezTo>
                                <a:cubicBezTo>
                                  <a:pt x="1125" y="1909"/>
                                  <a:pt x="1910" y="2301"/>
                                  <a:pt x="2694" y="269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556775" y="843025"/>
                            <a:ext cx="26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72375" y="2044750"/>
                            <a:ext cx="42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686375" y="3430950"/>
                            <a:ext cx="62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52725" cy="3124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dx=Ddt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Ddt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dt+D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]=(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]+D[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dF(u)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+A(U)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]+A(U)[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A(u)[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]=D[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], A(U)=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dF(U)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нас есть бегущие волны, ни одна волна не может догонять другую. Между волнами может быть область постоянного течения. Эта область постоянного течения должна сопрягаться с другой областью постоянного течения. Она не может сопрягаться с помощью ударной волны. Второй точкой сопряжения может быть контактный разрыв.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410075" cy="3267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2525" y="578250"/>
                          <a:ext cx="4410075" cy="3267075"/>
                          <a:chOff x="1862525" y="578250"/>
                          <a:chExt cx="4391700" cy="3244800"/>
                        </a:xfrm>
                      </wpg:grpSpPr>
                      <wps:wsp>
                        <wps:cNvCnPr/>
                        <wps:spPr>
                          <a:xfrm>
                            <a:off x="1862525" y="2823200"/>
                            <a:ext cx="43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91575" y="2058575"/>
                            <a:ext cx="133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2350" y="1244950"/>
                            <a:ext cx="0" cy="15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2350" y="2058575"/>
                            <a:ext cx="136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705325" y="1254750"/>
                            <a:ext cx="156900" cy="1602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38675" y="1421400"/>
                            <a:ext cx="0" cy="15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7950" y="1558625"/>
                            <a:ext cx="0" cy="16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7550" y="1950750"/>
                            <a:ext cx="42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73950" y="2303650"/>
                            <a:ext cx="31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40775" y="1499825"/>
                            <a:ext cx="323400" cy="1578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46636" y="1730962"/>
                            <a:ext cx="84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852350" y="1658375"/>
                            <a:ext cx="133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волна вправо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117175" y="2940900"/>
                            <a:ext cx="1333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контактный разрыв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321050" y="578250"/>
                            <a:ext cx="0" cy="13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13250" y="1705750"/>
                            <a:ext cx="11760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30850" y="1705750"/>
                            <a:ext cx="9810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30925" y="2313450"/>
                            <a:ext cx="88200" cy="15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9125" y="2313450"/>
                            <a:ext cx="6870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11350" y="2313450"/>
                            <a:ext cx="1176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10075" cy="32670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326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к.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 = 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γ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то определяем как 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ударный момент давление меняется.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(p)=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контактный разрыв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точке: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-V=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γ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работает только для идеального газа.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построения ММ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L(U,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натянутой струны: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mgy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m=dx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du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dx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длина струны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=(k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du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)dx - суммарная энергия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(k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(x)(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du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dx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-g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(x)u)dx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функционал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Т - точная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Любое u можно представить в виде </w:t>
      </w: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</m:e>
          <m:sup/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u=u-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(u)=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Т.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Φ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du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&gt;0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dφ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den>
        </m:f>
      </m:oMath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называют первой вариацией функционала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Доказательство: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Пусть |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φ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 &lt;M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Φ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du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&lt;M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dφ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den>
        </m:f>
      </m:oMath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û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A, A &lt; 0. Возьмем тогда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αû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Она будет равна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А, при этом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αА+MA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α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Φ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du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  <m:sup/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(αû)&lt;=αА+M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α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Выбираем такое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чтобы все это выражение было меньше нуля.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α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,α&lt;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первой вариации функционала служит для получения уравнения математической модели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k(x)(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-ρ(x)gu dx=min.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k(x)(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-ρg(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u)dx=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k(x)(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yellow"/>
          </w:rPr>
          <m:t xml:space="preserve">+</m:t>
        </m:r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yellow"/>
          </w:rPr>
          <m:t xml:space="preserve">2k(x)</m:t>
        </m:r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ffff00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ffff00"/>
                    <w:sz w:val="28"/>
                    <w:szCs w:val="28"/>
                    <w:highlight w:val="yellow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ffff00"/>
                    <w:sz w:val="28"/>
                    <w:szCs w:val="28"/>
                    <w:highlight w:val="yellow"/>
                  </w:rPr>
                  <m:t xml:space="preserve">T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  <m:t xml:space="preserve">dx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  <m:t>δ</m:t>
            </m:r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yellow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yellow"/>
          </w:rPr>
          <m:t xml:space="preserve">+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k(x)(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 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-ρg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yellow"/>
          </w:rPr>
          <m:t xml:space="preserve">-ρg</m:t>
        </m:r>
        <m:r>
          <w:rPr>
            <w:rFonts w:ascii="Times New Roman" w:cs="Times New Roman" w:eastAsia="Times New Roman" w:hAnsi="Times New Roman"/>
            <w:sz w:val="28"/>
            <w:szCs w:val="28"/>
            <w:highlight w:val="yellow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  <w:highlight w:val="yellow"/>
          </w:rPr>
          <m:t xml:space="preserve">udx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Части, которые содержат линейные члены </w:t>
      </w: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(отмечено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желтым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являются первой вариацией функционала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2k(x)</m:t>
        </m:r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ffff00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ffff00"/>
                    <w:sz w:val="28"/>
                    <w:szCs w:val="28"/>
                    <w:highlight w:val="white"/>
                  </w:rPr>
                  <m:t xml:space="preserve">u</m:t>
                </m:r>
              </m:e>
              <m:sup/>
            </m:sSup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dx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>δ</m:t>
            </m:r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-ρg</m:t>
        </m:r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>δ</m:t>
        </m:r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udx=2k(x)</m:t>
        </m:r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ffff00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ffff00"/>
                    <w:sz w:val="28"/>
                    <w:szCs w:val="28"/>
                    <w:highlight w:val="white"/>
                  </w:rPr>
                  <m:t xml:space="preserve">u</m:t>
                </m:r>
              </m:e>
              <m:sup/>
            </m:sSup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dx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dx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|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b</m:t>
                    </m:r>
                  </m:sup>
                </m:sSup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a</m:t>
                </m:r>
              </m:sub>
            </m:sSub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-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2</m:t>
        </m:r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k(x)</m:t>
        </m:r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du</m:t>
            </m:r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+ρg</m:t>
        </m:r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>δ</m:t>
        </m:r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udx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0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Мы должны задать краевые условия. Положение струны не может быть однозначно определено, если не определено однозначно положение ее концов. Зададим самые простые: </w:t>
      </w:r>
      <m:oMath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u(a) = </m:t>
        </m:r>
        <m:sSub>
          <m:sSub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; u(b) = </m:t>
        </m:r>
        <m:sSub>
          <m:sSub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</w:t>
      </w: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концах не может быть производной - она должна обращаться в нуль. Но если </w:t>
      </w: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0 на концах, то от верхнего уравнения остается: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2(</m:t>
        </m:r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k(x)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/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ρg)</m:t>
        </m:r>
      </m:oMath>
      <m:oMath>
        <m:r>
          <m:t>δ</m:t>
        </m:r>
        <m:r>
          <w:rPr>
            <w:rFonts w:ascii="Times New Roman" w:cs="Times New Roman" w:eastAsia="Times New Roman" w:hAnsi="Times New Roman"/>
            <w:color w:val="ffff00"/>
            <w:sz w:val="28"/>
            <w:szCs w:val="28"/>
            <w:highlight w:val="white"/>
          </w:rPr>
          <m:t xml:space="preserve">udx=0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любой внутренней точке подинтегральное выражение обращается в нуль.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k(x)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p/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ffff00"/>
                <w:sz w:val="28"/>
                <w:szCs w:val="28"/>
                <w:highlight w:val="white"/>
              </w:rPr>
              <m:t xml:space="preserve">ρ(x)g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наименьшего действия. Теорема Нётер.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есть механическая система. Она характеризуется конечным набором параметром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...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Эти величины зависят от времени (q = q(t)).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Введем обозначение q</m:t>
                    </m:r>
                  </m:e>
                  <m:sub/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∙</m:t>
                    </m:r>
                  </m:sup>
                </m:sSubSup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(t)=</m:t>
            </m:r>
          </m:e>
          <m:sub/>
          <m:sup/>
        </m:sSubSup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p/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величины q называют обобщенными координатами механической системы, а q’ - обобщенными скоростями.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материальная точка. В пространстве характеризуется тремя координатами - x, y и z. Обобщенные координаты совпадают с декартовыми координатами. Обобщенная скорость - обычная скорость.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математический маятник. У нее меньше степеней свободы, чем у материальной точки, поэтому можно не использовать координаты для ее описания, достаточно использовать угол отклонения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полностью систему. Обобщенная скорость - угловая скорость.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двойной маятник. У него уже есть два угла отклонения - следовательно, две обобщенные координаты.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система замкнута и предоставлена самой себе, то ее положение можно описать функцией Лагранжа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...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...q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зависит от обобщенных координат и обобщенных скоростей.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функция Лагранжа определяет положение механической системы, то она определяет и все законы, которые двигают эту систему. Если она зависит от времени, то это означает, что физ. законы тоже зависят от времени.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Лагранжа равна разности между кинетической и потенциальной энергией. Пусть у нас имеется МС, которая характеризуется своим набором координат 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характеризуется другим. Как будет двигаться система из перехода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Мы можем составить много возможных траекторий из одной точки в другую, но истиная среди них лишь одна, которой система пойдет на самом деле.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наименьшего действия Гамильтона-Остроградского говорит следующее: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Составим функционал S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p>
        </m:nary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Ldt. Верная траектория та, при которой S - наименьшая.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верной траектории первая вариация функционала всегда равна нулю.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Потенциальная энергия не зависит от скоростей, но зависит от координат. Кинетическая - и от скоростей, и от координат.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МС кинетическая энергия должна быть квадратичной функции обобщенных скоростей порядка 2, т.е. туда должны войти квадраты скоростей.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⋅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⋅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обобщенный импульс.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импульсов помноженных на обобщенную скорость равна двойной кинетической энергии.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⋅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</m:oMath>
      <m:oMath>
        <m:sSub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b>
            </m:sSub>
          </m:e>
          <m:sub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2К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свойство мы будем использовать ниже.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вариация: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[L(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/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</m:bar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e>
          <m:sub/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 - L(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, 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]dt = …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t встречается, закон сохранения будет нарушен.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p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векторный набор, каждый из них независим.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Разложим с использованием формулы Тейлора: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=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[L(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/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- L(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+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]dt  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…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dt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 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=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⋅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)]dt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…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здесь зафиксированы, поэтому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может быть никаким, кроме нуля.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получим: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=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⋅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]dt=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мы получаем уравнения Лагранжа 2-го рода. Их выполнение равносильно принципе наименьшего действия.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наименьшего действия заключается в том, что поведение механической системы описывается уравнения Лагранжа 2-го рода.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  <m:sub/>
              <m:sup/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1 … n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Старую механику данные уравнения не опровергают. Рассмотрим поведение материальной точки в силе тяжести. Есть три координаты x1, x2, x3 и сила тяжести (-g), действующая вдоль x3. Тогда кинетическая энергия точки массы m равняется: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 =m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Потенциальная энергия П будет равняться: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mg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 = m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 mg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=m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/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направлении x1 точка сохраняет равномерное движение.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m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dx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>∙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=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данная запись правильна в теории относительности.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Относительно x2 и x3 точно аналогично.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=m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/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∙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=m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/>
            </m:sSub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никакого нарушения законам Ньютона нет.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принципа наименьшего действия и уравнения Лагранжа 2-го рода приводят к закону сохранения энергии.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L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/>
            </m:sSubSup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/>
            </m:sSubSup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-L=2K - K + П = K +П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/>
            </m:sSubSup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/>
            </m:sSubSup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/>
            </m:sSubSup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/>
            </m:sSubSup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  <m:sup/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Теорема Нортона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у нас есть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Введем другие координаты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(s).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t + 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Требуется, чтобы множество преобразований, зависящих от параметры S, образовывали параметрическую группу. Также она должна быть непрерывной группой, то есть если s будет очень маленьким, то мы практически не сдвинемся с места. Преобразование с малым параметром s называют инфинита земального преобразования.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для инфинита земальных преобразований некоторая величина остается постоянной, то она останется постоянной для любого преобразования.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ψ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t + 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Теорема Нортона утверждает, что если действие остается инвариантным при любом начальном значении q и t и малого параметра s, то тогда система обладает законом сохранения.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 = L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L-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</m:sup>
            </m:sSubSup>
          </m:den>
        </m:f>
      </m:oMath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теоремы - действие должно остаться прежним при преобразованиях (см. выше).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это: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Ldt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</m:ba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(t+dt)-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(t)= t+dt + 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 +d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 dt) - t - 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=dt  + 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(q(t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t)(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(q(t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dt + S(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Подставим в прошлое уравнение и получим равенство: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(1+S(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.</m:t>
                    </m:r>
                  </m:sup>
                </m:sSup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,t)= z(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bar>
              <m:barPr>
                <m:pos/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.</m:t>
                    </m:r>
                  </m:sup>
                </m:sSup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,t))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,t))  *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</m:ba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Разделим ур-е (1) 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S( </m:t>
        </m:r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1+S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ξ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ξ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Разложим знаменатель по степеням S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1-S(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Тогда,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bar>
              <m:barPr>
                <m:pos/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.</m:t>
                    </m:r>
                  </m:sup>
                </m:sSup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+S(</m:t>
        </m:r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)(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1-S(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i=k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bar>
              <m:barPr>
                <m:pos/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.</m:t>
                    </m:r>
                  </m:sup>
                </m:sSup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S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i=k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e>
                <m:r>
                  <m:t>δ</m:t>
                </m:r>
                <m:r>
                  <m:t>ψ</m:t>
                </m:r>
              </m:e>
              <m:sub/>
            </m:sSub>
          </m:num>
          <m:den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нашли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bar>
              <m:barPr>
                <m:pos/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.</m:t>
                    </m:r>
                  </m:sup>
                </m:sSup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q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.</m:t>
                    </m:r>
                  </m:sup>
                </m:sSup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S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i=k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/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t+S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 = z +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 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,t)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zS(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Формулировка теоремы 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z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</m:t>
        </m:r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</m:oMath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m:t>δ</m:t>
                </m:r>
                <m: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ψ</m:t>
                </m:r>
              </m:e>
              <m:sub/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-(</m:t>
        </m:r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i=k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ξ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.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все проделать без ошибок, то все сократится и получится 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