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whether the child uses amplification, and whether there is any access to sign language, linguistic input may be partially or totally inaccessible. Despite growing, converging evidence for benefits of early sign language exposure (e.g., Clark et al., 2016, Davidson et al., 2014; Hrastinski &amp; Wilbur, 2016; Magnuson, 2000; Schick et al., 2007; Spencer, 1993), the majority of U.S. DHH children (and particularly those in our North Carolina-based sample) are not raised in a sign language environment.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 Given this, we focus primarily on spoken language development.</w:t>
      </w:r>
    </w:p>
    <w:p>
      <w:pPr>
        <w:pStyle w:val="Textkrper"/>
      </w:pPr>
      <w:r>
        <w:t xml:space="preserve">Though the literature points towards spoken language delays and deficits for Deaf or Hard-of-Hearing (DHH) children, this is a highly variable population with highly variable language outcomes</w:t>
      </w:r>
      <w:r>
        <w:t xml:space="preserve"> </w:t>
      </w:r>
      <w:r>
        <w:t xml:space="preserve">(Pisoni, Kronenberger, Harris, &amp; Moberly, 2018)</w:t>
      </w:r>
      <w:r>
        <w:t xml:space="preserve">. For instance,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influence language outcomes in DHH children. Although many of these variables reflect immutable characteristics of the child, such as comorbid diagnoses or configuration of hearing loss, some represent opportunities for clinicians and policy makers to intervene and potentially improve language outcomes for DHH children.</w:t>
      </w:r>
    </w:p>
    <w:p>
      <w:pPr>
        <w:pStyle w:val="Textkrper"/>
      </w:pPr>
      <w:r>
        <w:t xml:space="preserve">More specifically, 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 In line with these findings, the American Academy of Pediatricians (AAP) has set an initiative for Early Hearing Detection and Intervention (EHDI). These EHDI guidelines recommend that DHH children are screened by 1 month old, diagnosed by 3 months, and enter early intervention services by 6 months. We refer to this guideline as 1-3-6. Meeting this standard appears to improve spoken language outcomes for children with hearing loss, and the benefits appear consistent across a range of demographic characteristics</w:t>
      </w:r>
      <w:r>
        <w:t xml:space="preserve"> </w:t>
      </w:r>
      <w:r>
        <w:t xml:space="preserve">(Yoshinaga-Itano et al., 2017, 2018)</w:t>
      </w:r>
      <w:r>
        <w:t xml:space="preserve">, so it remains an important research goal to identify children at risk of receiving clinical support late, in order to help all children achieve prompt diagnosis and intervention.</w:t>
      </w:r>
    </w:p>
    <w:p>
      <w:pPr>
        <w:pStyle w:val="Textkrper"/>
      </w:pPr>
      <w:r>
        <w:t xml:space="preserve">Notably, the variables linked to hearing loss mentioned above don’t occur in a vacuum, yet past work has largely attempted to measure their effects as if they were independent. For instance, many studies focus on vocabulary development in specific subgroups</w:t>
      </w:r>
      <w:r>
        <w:t xml:space="preserve"> </w:t>
      </w:r>
      <w:r>
        <w:t xml:space="preserve">(e.g. children under age X with Y level of hearing loss and Z amplification approach, e.g., Vohr et al., 2008; Yoshinaga-Itano et al., 2018)</w:t>
      </w:r>
      <w:r>
        <w:t xml:space="preserve">, which are not representative of the broader population of DHH children. We take a different tack, asking instead how these factors co-occur and interact in the context of the broad diversity of the DHH community, how they are linked to early vocabulary, and how this connects with intervention and policy guidelines, within a single state in the U.S.</w:t>
      </w:r>
    </w:p>
    <w:p>
      <w:pPr>
        <w:pStyle w:val="berschrift2"/>
      </w:pPr>
      <w:bookmarkStart w:id="23" w:name="goals-predictions-and-key-contributions"/>
      <w:r>
        <w:t xml:space="preserve">Goals, Predictions, and Key Contributions</w:t>
      </w:r>
      <w:bookmarkEnd w:id="23"/>
    </w:p>
    <w:p>
      <w:pPr>
        <w:pStyle w:val="FirstParagraph"/>
      </w:pPr>
      <w:r>
        <w:t xml:space="preserve">We present an empirical analysis of early vocabulary in a wide range of young DHH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linked, due to known causal relations (e.g., cochlear implants recommended for severe hearing loss, but not mild hearing loss). For the second goal, we hypothesized that male (vs. female) gender, more severe degree of hearing loss, bilateral (vs. unilateral) hearing loss, no amplification (vs. hearing aids and/or cochlear implants), premature birth, not meeting 1-3-6 guidelines, and presence of additional disabilities would predict larger spoken vocabulary delay. This study builds on prior work</w:t>
      </w:r>
      <w:r>
        <w:t xml:space="preserve"> </w:t>
      </w:r>
      <w:r>
        <w:t xml:space="preserve">(e.g., Ching et al., 2013; Lund, 2016; Yoshinaga-Itano et al., 2017)</w:t>
      </w:r>
      <w:r>
        <w:t xml:space="preserve"> </w:t>
      </w:r>
      <w:r>
        <w:t xml:space="preserve">by taking a new modeling approach for quantifying</w:t>
      </w:r>
      <w:r>
        <w:t xml:space="preserve"> </w:t>
      </w:r>
      <w:r>
        <w:rPr>
          <w:i/>
        </w:rPr>
        <w:t xml:space="preserve">vocabulary delay</w:t>
      </w:r>
      <w:r>
        <w:t xml:space="preserve"> </w:t>
      </w:r>
      <w:r>
        <w:t xml:space="preserve">across these variables. For the third goal, we hypothesized that children with less residual hearing (i.e., bilateral, more severe) and no co-occurring conditions would be earlier diagnosed and earlier to begin language services, and that in turn earlier diagnosis would predict earlier intervention. This study helps assess compliance with EHDI guidelines, and considers pathways for improvement.</w:t>
      </w:r>
    </w:p>
    <w:p>
      <w:pPr>
        <w:pStyle w:val="berschrift1"/>
      </w:pPr>
      <w:bookmarkStart w:id="24" w:name="methods"/>
      <w:r>
        <w:t xml:space="preserve">Methods</w:t>
      </w:r>
      <w:bookmarkEnd w:id="24"/>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sent deidentified evaluations to our team after obtaining consent to do so from each family</w:t>
      </w:r>
      <w:r>
        <w:rPr>
          <w:rStyle w:val="Funotenzeichen"/>
        </w:rPr>
        <w:footnoteReference w:id="25"/>
      </w:r>
      <w:r>
        <w:t xml:space="preserve">. While this collaboration is ongoing, we opted to pause for this analysis upon receiving data from 100 children (collected between 2010 and 2020, before the COVID-19 epidemic reached North Carolina in Spring 2020). 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and MacArthur Bates Communicative Development Inventory vocabulary scores</w:t>
      </w:r>
      <w:r>
        <w:t xml:space="preserve"> </w:t>
      </w:r>
      <w:r>
        <w:t xml:space="preserve">(CDI, Fenson et al., 1994)</w:t>
      </w:r>
      <w:r>
        <w:t xml:space="preserve">. For some children, evaluations from multiple timepoints or other instruments were available (e.g. PPVT). We limit the scope of the present study to only the CDI (as this was available for all children), and only the first evaluation (due to concerns regarding within-subjects variance for statistical analysis).</w:t>
      </w:r>
    </w:p>
    <w:p>
      <w:pPr>
        <w:pStyle w:val="Textkrper"/>
      </w:pPr>
      <w:r>
        <w:t xml:space="preserve">The CDI is a parent-report instrument measuring children’s vocabulary. On the Words and Gestures version of the form (normed for 8–18-month-olds), parents indicate whether their child understands and/or produces each of the 398 vocabulary items. On the Words and Sentences version (normed for 16–30-month-olds), parents indicate whether their child produces each of the 680 vocabulary items. Normative data for this instrument</w:t>
      </w:r>
      <w:r>
        <w:t xml:space="preserve"> </w:t>
      </w:r>
      <w:r>
        <w:t xml:space="preserve">(Frank, Braginsky, Yurovsky, &amp; Marchman, 2017; Jackson-Maldonado et al., 2003)</w:t>
      </w:r>
      <w:r>
        <w:t xml:space="preserve"> </w:t>
      </w:r>
      <w:r>
        <w:t xml:space="preserve">is available from WordBank, an open database of CDI data. The CDI has also been validated for DHH children with cochlear implants</w:t>
      </w:r>
      <w:r>
        <w:t xml:space="preserve"> </w:t>
      </w:r>
      <w:r>
        <w:t xml:space="preserve">(Thal, Desjardin, &amp; Eisenberg, 2007)</w:t>
      </w:r>
      <w:r>
        <w:t xml:space="preserve"> </w:t>
      </w:r>
      <w:r>
        <w:t xml:space="preserve">in 32–66-month-olds. We build on prior literature using the CDI to measure vocabulary in DHH children</w:t>
      </w:r>
      <w:r>
        <w:t xml:space="preserve"> </w:t>
      </w:r>
      <w:r>
        <w:t xml:space="preserve">(e.g., Yoshinaga-Itano et al., 2017, 2018; de Diego-Lázaro et al., 2018; Vohr et al., 2008, 2011)</w:t>
      </w:r>
      <w:r>
        <w:t xml:space="preserve"> </w:t>
      </w:r>
      <w:r>
        <w:t xml:space="preserve">with a new analytic approach below.</w:t>
      </w:r>
    </w:p>
    <w:p>
      <w:pPr>
        <w:pStyle w:val="berschrift1"/>
      </w:pPr>
      <w:bookmarkStart w:id="26" w:name="results"/>
      <w:r>
        <w:t xml:space="preserve">Results</w:t>
      </w:r>
      <w:bookmarkEnd w:id="26"/>
    </w:p>
    <w:p>
      <w:pPr>
        <w:pStyle w:val="FirstParagraph"/>
      </w:pPr>
      <w:r>
        <w:t xml:space="preserve">The results are organized mirroring the goals outlined above. First, we explore relationships among child demographic, audiological, and clinical variables. Second, we use these variables to predict vocabulary development. Finally, we describe the implementation of the EHDI 1-3-6 guidelines and predictors of early diagnosis and intervention in this sample. All analyses were conducted in R</w:t>
      </w:r>
      <w:r>
        <w:t xml:space="preserve"> </w:t>
      </w:r>
      <w:r>
        <w:t xml:space="preserve">(R Core Team, 2020)</w:t>
      </w:r>
      <w:r>
        <w:t xml:space="preserve"> </w:t>
      </w:r>
      <w:r>
        <w:t xml:space="preserve">and all code to generate this manuscript in Rstudio</w:t>
      </w:r>
      <w:r>
        <w:t xml:space="preserve"> </w:t>
      </w:r>
      <w:r>
        <w:t xml:space="preserve">(RStudio Team, 2020)</w:t>
      </w:r>
      <w:r>
        <w:t xml:space="preserve"> </w:t>
      </w:r>
      <w:r>
        <w:t xml:space="preserve">is available via</w:t>
      </w:r>
      <w:r>
        <w:t xml:space="preserve"> </w:t>
      </w:r>
      <w:hyperlink r:id="rId27">
        <w:r>
          <w:rPr>
            <w:rStyle w:val="Hyperlink"/>
          </w:rPr>
          <w:t xml:space="preserve">OSF</w:t>
        </w:r>
      </w:hyperlink>
      <w:r>
        <w:t xml:space="preserve">.</w:t>
      </w:r>
    </w:p>
    <w:p>
      <w:pPr>
        <w:pStyle w:val="berschrift2"/>
      </w:pPr>
      <w:bookmarkStart w:id="28" w:name="relationships-among-demographic-audiological-and-clinical-variables"/>
      <w:r>
        <w:t xml:space="preserve">Relationships Among Demographic, Audiological, and Clinical Variables</w:t>
      </w:r>
      <w:bookmarkEnd w:id="28"/>
    </w:p>
    <w:p>
      <w:pPr>
        <w:pStyle w:val="FirstParagraph"/>
      </w:pPr>
      <w:r>
        <w:t xml:space="preserve">Before testing how these variables relate to vocabulary and clinical milestones, we describe their relationships to each other. To quantify this statistically, we used Bonferroni-corrected chi-square tests between each of our variables. Because the chi-square statistic assumes n&gt;5 is</w:t>
      </w:r>
      <w:r>
        <w:t xml:space="preserve"> </w:t>
      </w:r>
      <w:r>
        <w:rPr>
          <w:i/>
        </w:rPr>
        <w:t xml:space="preserve">expected</w:t>
      </w:r>
      <w:r>
        <w:t xml:space="preserve"> </w:t>
      </w:r>
      <w:r>
        <w:t xml:space="preserve">in the majority of the cells for each test</w:t>
      </w:r>
      <w:r>
        <w:t xml:space="preserve"> </w:t>
      </w:r>
      <w:r>
        <w:t xml:space="preserve">(preferably ≥80%, McHugh, 2013)</w:t>
      </w:r>
      <w:r>
        <w:t xml:space="preserve">, we excluded mixed hearing loss (n = 8) and cued speech (n = 1) from this analysis.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Of the 66 combinations of variables,</w:t>
      </w:r>
      <w:r>
        <w:t xml:space="preserve"> </w:t>
      </w:r>
      <w:r>
        <w:rPr>
          <w:i/>
        </w:rPr>
        <w:t xml:space="preserve">p</w:t>
      </w:r>
      <w:r>
        <w:t xml:space="preserve"> </w:t>
      </w:r>
      <w:r>
        <w:t xml:space="preserve">&lt; .05 for 26, and 9 survived Bonferroni correction (</w:t>
      </w:r>
      <w:r>
        <w:rPr>
          <w:i/>
        </w:rPr>
        <w:t xml:space="preserve">p</w:t>
      </w:r>
      <w:r>
        <w:t xml:space="preserve"> </w:t>
      </w:r>
      <w:r>
        <w:t xml:space="preserve">&lt; 0.0007). We limit discussion to the latter below, but depict the full set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13.06, p = .0003), and children with developmental delays were more likely to also experience health issues (</w:t>
      </w:r>
      <m:oMath>
        <m:sSup>
          <m:e>
            <m:r>
              <m:t>X</m:t>
            </m:r>
          </m:e>
          <m:sup>
            <m:r>
              <m:t>2</m:t>
            </m:r>
          </m:sup>
        </m:sSup>
      </m:oMath>
      <w:r>
        <w:t xml:space="preserve"> </w:t>
      </w:r>
      <w:r>
        <w:t xml:space="preserve">(1, N = 98) = 18.67, p &lt; .0001). Children with developmental delays received more services per month than typically-developing children (</w:t>
      </w:r>
      <m:oMath>
        <m:sSup>
          <m:e>
            <m:r>
              <m:t>X</m:t>
            </m:r>
          </m:e>
          <m:sup>
            <m:r>
              <m:t>2</m:t>
            </m:r>
          </m:sup>
        </m:sSup>
      </m:oMath>
      <w:r>
        <w:t xml:space="preserve"> </w:t>
      </w:r>
      <w:r>
        <w:t xml:space="preserve">(2, N = 95) = 23.99, p &lt; .0001) and were more likely to use total communication (</w:t>
      </w:r>
      <m:oMath>
        <m:sSup>
          <m:e>
            <m:r>
              <m:t>X</m:t>
            </m:r>
          </m:e>
          <m:sup>
            <m:r>
              <m:t>2</m:t>
            </m:r>
          </m:sup>
        </m:sSup>
      </m:oMath>
      <w:r>
        <w:t xml:space="preserve"> </w:t>
      </w:r>
      <w:r>
        <w:t xml:space="preserve">(2, N = 98) = 24.88, p &lt; .0001). Likewise, children who used total communication received more services per month than children using spoken language (</w:t>
      </w:r>
      <m:oMath>
        <m:sSup>
          <m:e>
            <m:r>
              <m:t>X</m:t>
            </m:r>
          </m:e>
          <m:sup>
            <m:r>
              <m:t>2</m:t>
            </m:r>
          </m:sup>
        </m:sSup>
      </m:oMath>
      <w:r>
        <w:t xml:space="preserve"> </w:t>
      </w:r>
      <w:r>
        <w:t xml:space="preserve">(4, N = 95) = 21.53, p = .0002).</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89) = 18.72, p = .0001), such that children with conductive hearing loss were more likely to have unilateral hearing loss, and children with sensorineural hearing loss were more likely to have a bilateral loss. All children with mixed hearing loss (n = 8)), though excluded from statistical analysis due to low N, had bilateral hearing loss. The chi-square tests further showed that amplification was related to laterality (</w:t>
      </w:r>
      <m:oMath>
        <m:sSup>
          <m:e>
            <m:r>
              <m:t>X</m:t>
            </m:r>
          </m:e>
          <m:sup>
            <m:r>
              <m:t>2</m:t>
            </m:r>
          </m:sup>
        </m:sSup>
      </m:oMath>
      <w:r>
        <w:t xml:space="preserve"> </w:t>
      </w:r>
      <w:r>
        <w:t xml:space="preserve">(2, N = 98) = 17.55, p = .0002) and degree of hearing loss (</w:t>
      </w:r>
      <m:oMath>
        <m:sSup>
          <m:e>
            <m:r>
              <m:t>X</m:t>
            </m:r>
          </m:e>
          <m:sup>
            <m:r>
              <m:t>2</m:t>
            </m:r>
          </m:sup>
        </m:sSup>
      </m:oMath>
      <w:r>
        <w:t xml:space="preserve"> </w:t>
      </w:r>
      <w:r>
        <w:t xml:space="preserve">(4, N = 88) = 28.76, p &lt; .0001).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of hearing loss, children with severe-to-profound hearing loss were more likely to use a cochlear implant than children with mild or moderate hearing loss.</w:t>
      </w:r>
    </w:p>
    <w:p>
      <w:pPr>
        <w:pStyle w:val="Textkrper"/>
      </w:pPr>
      <w:r>
        <w:t xml:space="preserve">Taken together, the results in this set of analyses highlight the notable interconnectedness among early health and development (i.e. health issues, prematurity, and developmental delays), and audiological characteristics (i.e. links among laterality, etiology, amplification, and degree of hearing loss).</w:t>
      </w:r>
    </w:p>
    <w:p>
      <w:pPr>
        <w:pStyle w:val="berschrift2"/>
      </w:pPr>
      <w:bookmarkStart w:id="29" w:name="predictors-of-vocabulary-delay"/>
      <w:r>
        <w:t xml:space="preserve">Predictors of Vocabulary Delay</w:t>
      </w:r>
      <w:bookmarkEnd w:id="29"/>
    </w:p>
    <w:p>
      <w:pPr>
        <w:pStyle w:val="FirstParagraph"/>
      </w:pPr>
      <w:r>
        <w:t xml:space="preserve">We next turn to the relationship between these variables and children’s productive vocabulary, as measured by the CDI. Figure 2 shows the vocabulary scores of children in our sample relative to norms for hearing children for each CDI form. Descriptively, we found widespread vocabulary delays,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two CDI forms differ in how many vocabulary items they contain. To take this into account, we establish the difference (in months) between the child’s chronological age and their predicted age based on their productive vocabulary, derived from the WordBank norms</w:t>
      </w:r>
      <w:r>
        <w:t xml:space="preserve"> </w:t>
      </w:r>
      <w:r>
        <w:t xml:space="preserve">(Frank et al., 2017)</w:t>
      </w:r>
      <w:r>
        <w:t xml:space="preserve">, rather than using the raw vocabulary scores.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for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0"/>
      </w:r>
      <w:r>
        <w:t xml:space="preserve">. For each child, we took the number of words they produced (spoken and/or signed, though the latter was only provided for children using Total Communication (n = 18) as all others were reported to exclusively use spoken language). We then divided this production score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 Children who were too young for the CDI version they were administered (n = 7) were excluded from this portion of the analysis, as was the adopted child due to concerns about comparing their score to the American English CDI norms.</w:t>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5) or Degree (n = 12) was unknown, as this stepwise AIC approach does not permit missing values across predictors. Since this initial filtered analysis found that Degree and 1-3-6 did not improve model fit, we manually removed the Degree and 1-3-6 terms from the model selection so that the 14 participants with missing cases for these variables could be retained</w:t>
      </w:r>
      <w:r>
        <w:rPr>
          <w:rStyle w:val="Funotenzeichen"/>
        </w:rPr>
        <w:footnoteReference w:id="31"/>
      </w:r>
      <w:r>
        <w:t xml:space="preserve">.</w:t>
      </w:r>
    </w:p>
    <w:p>
      <w:pPr>
        <w:pStyle w:val="Textkrper"/>
      </w:pPr>
      <w:r>
        <w:t xml:space="preserve">Based on this iterative process, we arrived at the following final model: Vocabulary Delay ~ Age + Laterality + Amplification. No other variables from the full model above significantly improved model fit, and are thus not discussed further. Our final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S4 &amp; Figure 5.A). We found significant main effects for Age, Laterality, and Amplification, such that older age, bilateral hearing loss, and no amplification predicted greater vocabulary delays. Compared to children with no amplification, children with cochlear implants had a 3.58 months smaller spoken vocabulary delay (</w:t>
      </w:r>
      <w:r>
        <w:rPr>
          <w:i/>
        </w:rPr>
        <w:t xml:space="preserve">p</w:t>
      </w:r>
      <w:r>
        <w:t xml:space="preserve"> </w:t>
      </w:r>
      <w:r>
        <w:t xml:space="preserve">= .019), and similarly children with hearing aids had a 3.89 months smaller delay (</w:t>
      </w:r>
      <w:r>
        <w:rPr>
          <w:i/>
        </w:rPr>
        <w:t xml:space="preserve">p</w:t>
      </w:r>
      <w:r>
        <w:t xml:space="preserve"> </w:t>
      </w:r>
      <w:r>
        <w:t xml:space="preserve">= .001). Children with unilateral hearing loss had a 3.03 months smaller delay (</w:t>
      </w:r>
      <w:r>
        <w:rPr>
          <w:i/>
        </w:rPr>
        <w:t xml:space="preserve">p</w:t>
      </w:r>
      <w:r>
        <w:t xml:space="preserve"> </w:t>
      </w:r>
      <w:r>
        <w:t xml:space="preserve">= .009) than children with bilateral hearing loss. For Age,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 for each additional month of age.</w:t>
      </w:r>
    </w:p>
    <w:p>
      <w:pPr>
        <w:pStyle w:val="Textkrper"/>
      </w:pPr>
      <w:r>
        <w:t xml:space="preserve">Given our first set of results regarding relationships among several of these variables (e.g., laterality and amplification), we tested for collinearity by computing the model’s VIF (variance inflation factor). This revealed low levels of collinearity among predictors in our final model</w:t>
      </w:r>
      <w:r>
        <w:t xml:space="preserve"> </w:t>
      </w:r>
      <w:r>
        <w:t xml:space="preserve">(all VIF &lt; 1.23;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2" w:name="success-in-meeting-1-3-6-guidelines"/>
      <w:r>
        <w:t xml:space="preserve">Success in Meeting 1-3-6 Guidelines</w:t>
      </w:r>
      <w:bookmarkEnd w:id="32"/>
    </w:p>
    <w:p>
      <w:pPr>
        <w:pStyle w:val="FirstParagraph"/>
      </w:pPr>
      <w:r>
        <w:t xml:space="preserve">Perhaps of greatest importance to clinicians and policymakers is the implementation and effect of existing policies. Although 1-3-6 status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36% of our sample met 1-3-6 guidelines for early diagnosis and intervention. Breaking this down further, among the children for whom screening information was available (n = 68), 100% were screened at birth or during NICU stay. In our sample, 69% of children received diagnosis by 3 months of age, and 38% began early intervention by 6 months of age (see Figure 3).</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(66.29) = 2.66,</w:t>
      </w:r>
      <w:r>
        <w:t xml:space="preserve"> </w:t>
      </w:r>
      <w:r>
        <w:rPr>
          <w:i/>
        </w:rPr>
        <w:t xml:space="preserve">p</w:t>
      </w:r>
      <w:r>
        <w:t xml:space="preserve"> </w:t>
      </w:r>
      <w:r>
        <w:t xml:space="preserve">= 0.01; see Figure 4). On average, the group that did not meet 1-3-6 guidelines was 3.71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children did not receive amplification prior to hearing loss diagnosis.) We began with: gender, degree, developmental delay, health issues, prematurity, laterality, language background, and etiology.</w:t>
      </w:r>
    </w:p>
    <w:p>
      <w:pPr>
        <w:pStyle w:val="Textkrper"/>
      </w:pPr>
      <w:r>
        <w:t xml:space="preserve">The best fitting model was: Age at Diagnosis ~ Health Issues + Language Background + Laterality, with significant main effects of Health Issues and Language Background (see Table S5 &amp; Figure 5.B). This model accounted for 15.34% of the variance in age at diagnosis (</w:t>
      </w:r>
      <w:r>
        <w:rPr>
          <w:i/>
        </w:rPr>
        <w:t xml:space="preserve">p</w:t>
      </w:r>
      <w:r>
        <w:t xml:space="preserve"> </w:t>
      </w:r>
      <w:r>
        <w:t xml:space="preserve">= .002). Average age at diagnosis was 4.60(7.19) months. Relative to English-speaking families, children from Spanish-speaking families were diagnosed 6.18 months later (</w:t>
      </w:r>
      <w:r>
        <w:rPr>
          <w:i/>
        </w:rPr>
        <w:t xml:space="preserve">p</w:t>
      </w:r>
      <w:r>
        <w:t xml:space="preserve"> </w:t>
      </w:r>
      <w:r>
        <w:t xml:space="preserve">= .002). Children with health issues were diagnosed 3.65 months later than children without health issues (</w:t>
      </w:r>
      <w:r>
        <w:rPr>
          <w:i/>
        </w:rPr>
        <w:t xml:space="preserve">p</w:t>
      </w:r>
      <w:r>
        <w:t xml:space="preserve"> </w:t>
      </w:r>
      <w:r>
        <w:t xml:space="preserve">= .01). One possibility for this last predictor is that the health issues caused hearing loss</w:t>
      </w:r>
      <w:r>
        <w:t xml:space="preserve"> </w:t>
      </w:r>
      <w:r>
        <w:rPr>
          <w:i/>
        </w:rPr>
        <w:t xml:space="preserve">later</w:t>
      </w:r>
      <w:r>
        <w:t xml:space="preserve"> </w:t>
      </w:r>
      <w:r>
        <w:t xml:space="preserve">in infancy; in our sample, 16 of the 36 children with health issues reported conditions that can in some cases cause acquired hearing loss (i.e., meningitis, sepsis, jaundice, seizures, hydrocephalus, MRSA, anemia, frequent fevers, cytomegalovirus).</w:t>
      </w:r>
    </w:p>
    <w:p>
      <w:pPr>
        <w:pStyle w:val="Textkrper"/>
      </w:pPr>
      <w:r>
        <w:t xml:space="preserve">We repeated this model selection process for age at intervention. In addition to the variables used to fit the diagnosis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S6 &amp; Figure 5.C), with significant main effects of degree and age at diagnosis. Prematurity (ß = 3.79, p = .06) and language background (ß = -1.37, p = .51) were not significant predictors on their own, but their inclusion improved model fit. Average age at intervention was 11.29(8.63)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 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3" w:name="discussion"/>
      <w:r>
        <w:t xml:space="preserve">Discussion</w:t>
      </w:r>
      <w:bookmarkEnd w:id="33"/>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been examined in the full heterogeneity they naturally occur within.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the 1-3-6 guidelines were for early detection and intervention, both in terms of improving child outcomes and ensuring timely diagnosis and intervention. Here, we found that children who met 1-3-6 guidelines indeed had a smaller vocabulary delay than those who didn’t. However, only 36% of children met these guidelines. Our results highlight family- and health-related variables that accounted for significant variability in when children received diagnosis and/or intervention.</w:t>
      </w:r>
    </w:p>
    <w:p>
      <w:pPr>
        <w:pStyle w:val="Textkrper"/>
      </w:pPr>
      <w:r>
        <w:t xml:space="preserve">We believe the inherent complexity in these results is an important piece of understanding vocabulary outcomes within the diverse population of DHH children. We next highlight some implications of this study for future research and clinical practice.</w:t>
      </w:r>
    </w:p>
    <w:p>
      <w:pPr>
        <w:pStyle w:val="berschrift2"/>
      </w:pPr>
      <w:bookmarkStart w:id="34" w:name="how-are-child-level-variables-intertwined"/>
      <w:r>
        <w:t xml:space="preserve">How are child-level variables intertwined?</w:t>
      </w:r>
      <w:bookmarkEnd w:id="34"/>
    </w:p>
    <w:p>
      <w:pPr>
        <w:pStyle w:val="FirstParagraph"/>
      </w:pPr>
      <w:r>
        <w:t xml:space="preserve">This study contributes to the literature by quantifying the distribution and co-occurrence of demographic, audiological, and intervention characteristics in our broad sample, which includes many children often excluded from research. In our sample, we found significant overlap among demographic, audiological, and clinical variables. To highlight a few of these findings, prematurity, health issues, and developmental delay frequently co-occurred, such that children with one of these factors were more likely to have the others, consistent with prior research</w:t>
      </w:r>
      <w:r>
        <w:t xml:space="preserve"> </w:t>
      </w:r>
      <w:r>
        <w:t xml:space="preserve">(Luu, Katz, Leeson, Thébaud, &amp; Nuyt, 2016; Pierrat et al., 2017)</w:t>
      </w:r>
      <w:r>
        <w:t xml:space="preserve">. Given that the constellation of comorbid conditions is so varied (76 unique conditions in our sample of 100 children; see Table S1), an important direction for future research is whether cognitive and social abilities, as well as families’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62.50% of DHH children with developmental delay vs. 9.76% of those without). That is, use of total communication was more likely for children already at greater risk for verbal delays. Quantifying this confound is an important contribution of this work, as it calls for tempering the interpretation of correlational studies finding links between total communication and language delays</w:t>
      </w:r>
      <w:r>
        <w:t xml:space="preserve"> </w:t>
      </w:r>
      <w:r>
        <w:t xml:space="preserve">(e.g., Geers et al., 2017)</w:t>
      </w:r>
      <w:r>
        <w:t xml:space="preserve">.</w:t>
      </w:r>
    </w:p>
    <w:p>
      <w:pPr>
        <w:pStyle w:val="Textkrper"/>
      </w:pPr>
      <w:r>
        <w:t xml:space="preserve">The relationships we found among variables were more confirmatory than surprising, particularly those reflecting known causal links (e.g., increased health issues in children born premature). Nevertheless, they should caution us to think critically about how we construct samples for controlled lab experiments. For example, if an eyetracking experiment has a sample of typically-developing pediatric cochlear implant users with bilateral, severe-to-profound hearing loss, such a subsample may only represent roughly 14% of the DHH population. Such considerations are important for properly representing and supporting DHH children and their families. This becomes doubly important in the context of interpreting language outcomes like vocabulary.</w:t>
      </w:r>
    </w:p>
    <w:p>
      <w:pPr>
        <w:pStyle w:val="berschrift2"/>
      </w:pPr>
      <w:bookmarkStart w:id="35" w:name="predicting-vocabulary-outcomes"/>
      <w:r>
        <w:t xml:space="preserve">Predicting vocabulary outcomes</w:t>
      </w:r>
      <w:bookmarkEnd w:id="35"/>
    </w:p>
    <w:p>
      <w:pPr>
        <w:pStyle w:val="FirstParagraph"/>
      </w:pPr>
      <w:r>
        <w:t xml:space="preserve">In our sample, 87.78% of DHH children fell below the 50th percentile for vocabulary, indicating that a large majority of this sample is behind a normative sample of their hearing peers in word learning.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In contrast to our predictions, the best model predicting vocabulary delay had just a few variables: age, amplification, and laterality. We did not find that gender, developmental delay, health issues, premature birth, degree of hearing loss, communication modality, 1-3-6 status, number of services per month, or language background significantly improved model fit. Notably, we see that the spoken vocabulary delay widens with age, indicating that the</w:t>
      </w:r>
      <w:r>
        <w:t xml:space="preserve"> </w:t>
      </w:r>
      <w:r>
        <w:rPr>
          <w:i/>
        </w:rPr>
        <w:t xml:space="preserve">rate</w:t>
      </w:r>
      <w:r>
        <w:t xml:space="preserve"> </w:t>
      </w:r>
      <w:r>
        <w:t xml:space="preserve">of spoken vocabulary acquisition is slower for DHH children. Given that none of the children here use sign language (which can ensure earlier language access), this vocabulary delay is likely to have knock-on effects for language development more broadly, alongside implications for public policy.</w:t>
      </w:r>
    </w:p>
    <w:p>
      <w:pPr>
        <w:pStyle w:val="berschrift2"/>
      </w:pPr>
      <w:bookmarkStart w:id="36" w:name="predicting-early-diagnosis-and-intervention"/>
      <w:r>
        <w:t xml:space="preserve">Predicting early diagnosis and intervention</w:t>
      </w:r>
      <w:bookmarkEnd w:id="36"/>
    </w:p>
    <w:p>
      <w:pPr>
        <w:pStyle w:val="FirstParagraph"/>
      </w:pPr>
      <w:r>
        <w:t xml:space="preserve">Our exploration of the implementation of 1-3-6 guidelines revealed that only 35.79% of children met the EHDI guidance for diagnosis by 3 months and intervention by 6 months. Our results were consistent with prior work</w:t>
      </w:r>
      <w:r>
        <w:t xml:space="preserve"> </w:t>
      </w:r>
      <w:r>
        <w:t xml:space="preserve">(e.g., Yoshinaga-Itano et al., 1998; Ching et al., 2013)</w:t>
      </w:r>
      <w:r>
        <w:t xml:space="preserve">, finding that children who met the guidelines were 3.71 months</w:t>
      </w:r>
      <w:r>
        <w:t xml:space="preserve"> </w:t>
      </w:r>
      <w:r>
        <w:rPr>
          <w:i/>
        </w:rPr>
        <w:t xml:space="preserve">less</w:t>
      </w:r>
      <w:r>
        <w:t xml:space="preserve"> </w:t>
      </w:r>
      <w:r>
        <w:t xml:space="preserve">delayed in spoken vocabulary than children who were late to receive diagnosis and/or services. By dint of accepting all children receiving early intervention services in one state, our dataset let us delve deeper into</w:t>
      </w:r>
      <w:r>
        <w:t xml:space="preserve"> </w:t>
      </w:r>
      <w:r>
        <w:rPr>
          <w:i/>
        </w:rPr>
        <w:t xml:space="preserve">who</w:t>
      </w:r>
      <w:r>
        <w:t xml:space="preserve"> </w:t>
      </w:r>
      <w:r>
        <w:t xml:space="preserve">received on-time diagnosis and intervention.</w:t>
      </w:r>
    </w:p>
    <w:p>
      <w:pPr>
        <w:pStyle w:val="berschrift3"/>
      </w:pPr>
      <w:bookmarkStart w:id="37" w:name="diagnosis"/>
      <w:r>
        <w:t xml:space="preserve">Diagnosis.</w:t>
      </w:r>
      <w:bookmarkEnd w:id="37"/>
    </w:p>
    <w:p>
      <w:pPr>
        <w:pStyle w:val="FirstParagraph"/>
      </w:pPr>
      <w:r>
        <w:t xml:space="preserve">Having health issues or a non-English language background predicted later diagnosis.</w:t>
      </w:r>
      <w:r>
        <w:t xml:space="preserve"> </w:t>
      </w:r>
      <w:r>
        <w:t xml:space="preserve">Children with health issues were diagnosed 3.65 months later than infants without health issues. For a small fraction of cases, this may have been because health issues caused acquired hearing loss, delaying its identification. Of course, some situations may require families and medical providers to prioritize treatment for certain health issues (e.g., surgery for congenital heart defect) over diagnostic audiology services. That said, our results raise the possibility that clinician awareness of increased delays in language linked to the prevalence of health issues may facilitate improvements in timely diagnosis.</w:t>
      </w:r>
    </w:p>
    <w:p>
      <w:pPr>
        <w:pStyle w:val="Textkrper"/>
      </w:pPr>
      <w:r>
        <w:t xml:space="preserve">Language background too predicted age at diagnosis, such that infants from Spanish-speaking families were diagnosed 3.79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particularly in obtaining the child’s case history and providing recommendations for follow-up services</w:t>
      </w:r>
      <w:r>
        <w:t xml:space="preserve"> </w:t>
      </w:r>
      <w:r>
        <w:t xml:space="preserve">(Abreu, Adriatico, &amp; DePierro, 2011)</w:t>
      </w:r>
      <w:r>
        <w:t xml:space="preserve">.</w:t>
      </w:r>
    </w:p>
    <w:p>
      <w:pPr>
        <w:pStyle w:val="berschrift3"/>
      </w:pPr>
      <w:bookmarkStart w:id="38" w:name="intervention"/>
      <w:r>
        <w:t xml:space="preserve">Intervention.</w:t>
      </w:r>
      <w:bookmarkEnd w:id="38"/>
    </w:p>
    <w:p>
      <w:pPr>
        <w:pStyle w:val="FirstParagraph"/>
      </w:pPr>
      <w:r>
        <w:t xml:space="preserve">As expected, more severe hearing loss predicted earlier intervention. This may be due to parents and clinicians adopting a wait-and-see approach to intervention for children with some residual hearing, despite associations between mild-to-moderate hearing loss, and language delays and academic challenges</w:t>
      </w:r>
      <w:r>
        <w:t xml:space="preserve"> </w:t>
      </w:r>
      <w:r>
        <w:t xml:space="preserve">(Blair, Peterson, &amp; Viehweg, 1985; Delage &amp; Tuller, 2007)</w:t>
      </w:r>
      <w:r>
        <w:t xml:space="preserve">. Early intervention may help offset these associations.</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underscoring the importance of early diagnosis for putting children in the pipeline towards earlier intervention.</w:t>
      </w:r>
    </w:p>
    <w:p>
      <w:pPr>
        <w:pStyle w:val="Textkrper"/>
      </w:pPr>
      <w:r>
        <w:t xml:space="preserve">Finally, it’s important to note that this sample is composed of children receiving birth-to-3 services. Less than 38%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25%.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39" w:name="educational-and-clinical-implications"/>
      <w:r>
        <w:t xml:space="preserve">Educational and Clinical Implications</w:t>
      </w:r>
      <w:bookmarkEnd w:id="39"/>
    </w:p>
    <w:p>
      <w:pPr>
        <w:pStyle w:val="FirstParagraph"/>
      </w:pPr>
      <w:r>
        <w:t xml:space="preserve">Despite high rates of newborn hearing screening in North Carolina, and even relatively high rates of diagnosis by 3 months (66/100 children in our sample), most children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for teletherapy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across multiple studies</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 Another option may be the provision of structured, accessible language input (i.e., sign language) even prior to intervention or amplification, potentially mitigating negative effects of auditory deprivation on language skills</w:t>
      </w:r>
      <w:r>
        <w:t xml:space="preserve"> </w:t>
      </w:r>
      <w:r>
        <w:t xml:space="preserve">(Davidson, Lillo-Martin, &amp; Pichler, 2014; Hassanzadeh, 2012)</w:t>
      </w:r>
      <w:r>
        <w:t xml:space="preserve">. While learning sign language may pose a challenge for some families for myriad reasons (as underscored by its absence as a communication modality within our sample), we nevertheless highlight its potential as an important language support for DHH children and their families.</w:t>
      </w:r>
    </w:p>
    <w:p>
      <w:pPr>
        <w:pStyle w:val="berschrift1"/>
      </w:pPr>
      <w:bookmarkStart w:id="40" w:name="limitations-and-opportunities-for-future-work"/>
      <w:r>
        <w:t xml:space="preserve">Limitations and Opportunities for Future Work</w:t>
      </w:r>
      <w:bookmarkEnd w:id="40"/>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We encourage interested readers to explore further analyses using the data and/or code provided on our</w:t>
      </w:r>
      <w:r>
        <w:t xml:space="preserve"> </w:t>
      </w:r>
      <w:hyperlink r:id="rId27">
        <w:r>
          <w:rPr>
            <w:rStyle w:val="Hyperlink"/>
          </w:rPr>
          <w:t xml:space="preserve">OSF page</w:t>
        </w:r>
      </w:hyperlink>
      <w:r>
        <w:t xml:space="preserve">.</w:t>
      </w:r>
    </w:p>
    <w:p>
      <w:pPr>
        <w:pStyle w:val="Textkrper"/>
      </w:pPr>
      <w:r>
        <w:t xml:space="preserve">This sample is composed only of children in North Carolina. 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Gallaudet Research Institute, 2014)</w:t>
      </w:r>
      <w:r>
        <w:t xml:space="preserve">. It did diverge from the national sample in communication modality: our sample had no signers while 20% of DHH children have sign as their primary modality</w:t>
      </w:r>
      <w:r>
        <w:t xml:space="preserve"> </w:t>
      </w:r>
      <w:r>
        <w:t xml:space="preserve">(Gallaudet Research Institute, 2014)</w:t>
      </w:r>
      <w:r>
        <w:t xml:space="preserve">. A similar naturalistic study in regions where sign language access for DHH children is more common (e.g. Washington D.C.) would be a welcome addition to the present work, in illuminating the effects of different clinical and demographic factors in a signing population. One further limitation to our analyses and to assessing representativeness of the sample is that race and socioeconomic status information was not available.</w:t>
      </w:r>
    </w:p>
    <w:p>
      <w:pPr>
        <w:pStyle w:val="Textkrper"/>
      </w:pPr>
      <w:r>
        <w:t xml:space="preserve">Finally, the considerable variability in the sample did not allow us to easily isolate effects of different factors (e.g., degree vs. amplification). This reflects real-world variability and would be best addressed by larger sample sizes. As researchers continue to study influences on vocabulary in DHH children, a meta-analytic approach too may be able to better estimate effect sizes within the varied outcomes of this heterogeneous population.</w:t>
      </w:r>
    </w:p>
    <w:p>
      <w:pPr>
        <w:pStyle w:val="berschrift1"/>
      </w:pPr>
      <w:bookmarkStart w:id="41" w:name="conclusion"/>
      <w:r>
        <w:t xml:space="preserve">Conclusion</w:t>
      </w:r>
      <w:bookmarkEnd w:id="41"/>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in North Carolina. Our population-based description underscores heavily interlocking demographic, audiological, and clinical characteristics (e.g. communication approach and presence of developmental delays). Our models highlight the outsized roles of age, amplification, and laterality relative to other predictors, together accounting for over half of variance in productive vocabulary. We also explicitly examined the roles of prompt achievement of early intervention milestones on vocabulary. We found that overall, this sample showed vocabulary delays relative to hearing peers, and room for improvement in rates of early diagnosis and intervention in particular. This in turn highlights potential paths forward in ensuring that regardless of hearing status, we are able to provide language access and early childhood support to help children attain their potential.</w:t>
      </w:r>
    </w:p>
    <w:p>
      <w:pPr>
        <w:pStyle w:val="berschrift1"/>
      </w:pPr>
      <w:bookmarkStart w:id="42" w:name="acknowledgement"/>
      <w:r>
        <w:t xml:space="preserve">Acknowledgement</w:t>
      </w:r>
      <w:bookmarkEnd w:id="42"/>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3" w:name="references"/>
      <w:r>
        <w:t xml:space="preserve">References</w:t>
      </w:r>
      <w:bookmarkEnd w:id="43"/>
    </w:p>
    <w:bookmarkStart w:id="146" w:name="refs"/>
    <w:bookmarkStart w:id="45"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4">
        <w:r>
          <w:rPr>
            <w:rStyle w:val="Hyperlink"/>
          </w:rPr>
          <w:t xml:space="preserve">https://doi.org/10.1044/leader.FTR2.16132011.12</w:t>
        </w:r>
      </w:hyperlink>
    </w:p>
    <w:bookmarkEnd w:id="45"/>
    <w:bookmarkStart w:id="46" w:name="ref-apuzzo1995"/>
    <w:p>
      <w:pPr>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46"/>
    <w:bookmarkStart w:id="47" w:name="ref-asha2019"/>
    <w:p>
      <w:pPr>
        <w:pStyle w:val="Literaturverzeichnis"/>
      </w:pPr>
      <w:r>
        <w:t xml:space="preserve">ASHA. (2019). Demographic Profile of ASHA Members Providing Bilingual Services, Year-End 2019, 6.</w:t>
      </w:r>
    </w:p>
    <w:bookmarkEnd w:id="47"/>
    <w:bookmarkStart w:id="48"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48"/>
    <w:bookmarkStart w:id="49"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49"/>
    <w:bookmarkStart w:id="51"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0">
        <w:r>
          <w:rPr>
            <w:rStyle w:val="Hyperlink"/>
          </w:rPr>
          <w:t xml:space="preserve">https://doi.org/10.26077/h0tf-ve32</w:t>
        </w:r>
      </w:hyperlink>
    </w:p>
    <w:bookmarkEnd w:id="51"/>
    <w:bookmarkStart w:id="52"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52"/>
    <w:bookmarkStart w:id="54"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53">
        <w:r>
          <w:rPr>
            <w:rStyle w:val="Hyperlink"/>
          </w:rPr>
          <w:t xml:space="preserve">https://doi.org/10.1080/14992027.2017.1385865</w:t>
        </w:r>
      </w:hyperlink>
    </w:p>
    <w:bookmarkEnd w:id="54"/>
    <w:bookmarkStart w:id="56"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55">
        <w:r>
          <w:rPr>
            <w:rStyle w:val="Hyperlink"/>
          </w:rPr>
          <w:t xml:space="preserve">https://doi.org/10.1097/AUD.0b013e3182857718</w:t>
        </w:r>
      </w:hyperlink>
    </w:p>
    <w:bookmarkEnd w:id="56"/>
    <w:bookmarkStart w:id="58"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57">
        <w:r>
          <w:rPr>
            <w:rStyle w:val="Hyperlink"/>
          </w:rPr>
          <w:t xml:space="preserve">https://doi.org/10.1080/10573569.2013.878123</w:t>
        </w:r>
      </w:hyperlink>
    </w:p>
    <w:bookmarkEnd w:id="58"/>
    <w:bookmarkStart w:id="60"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59">
        <w:r>
          <w:rPr>
            <w:rStyle w:val="Hyperlink"/>
          </w:rPr>
          <w:t xml:space="preserve">https://doi.org/10.1093/deafed/ent045</w:t>
        </w:r>
      </w:hyperlink>
    </w:p>
    <w:bookmarkEnd w:id="60"/>
    <w:bookmarkStart w:id="62"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61">
        <w:r>
          <w:rPr>
            <w:rStyle w:val="Hyperlink"/>
          </w:rPr>
          <w:t xml:space="preserve">https://doi.org/10.1044/2018_LSHSS-17-0148</w:t>
        </w:r>
      </w:hyperlink>
    </w:p>
    <w:bookmarkEnd w:id="62"/>
    <w:bookmarkStart w:id="64"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63">
        <w:r>
          <w:rPr>
            <w:rStyle w:val="Hyperlink"/>
          </w:rPr>
          <w:t xml:space="preserve">https://doi.org/10.1044/1092-4388(2007/091)</w:t>
        </w:r>
      </w:hyperlink>
    </w:p>
    <w:bookmarkEnd w:id="64"/>
    <w:bookmarkStart w:id="66"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65">
        <w:r>
          <w:rPr>
            <w:rStyle w:val="Hyperlink"/>
          </w:rPr>
          <w:t xml:space="preserve">https://doi.org/10.1097/AUD.0b013e318157f01f</w:t>
        </w:r>
      </w:hyperlink>
    </w:p>
    <w:bookmarkEnd w:id="66"/>
    <w:bookmarkStart w:id="68"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67">
        <w:r>
          <w:rPr>
            <w:rStyle w:val="Hyperlink"/>
          </w:rPr>
          <w:t xml:space="preserve">https://doi.org/10.2307/1166093</w:t>
        </w:r>
      </w:hyperlink>
    </w:p>
    <w:bookmarkEnd w:id="68"/>
    <w:bookmarkStart w:id="70"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69">
        <w:r>
          <w:rPr>
            <w:rStyle w:val="Hyperlink"/>
          </w:rPr>
          <w:t xml:space="preserve">https://CRAN.R-project.org/package=car</w:t>
        </w:r>
      </w:hyperlink>
    </w:p>
    <w:bookmarkEnd w:id="70"/>
    <w:bookmarkStart w:id="72"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71">
        <w:r>
          <w:rPr>
            <w:rStyle w:val="Hyperlink"/>
          </w:rPr>
          <w:t xml:space="preserve">https://doi.org/10.1017/S0305000916000209</w:t>
        </w:r>
      </w:hyperlink>
    </w:p>
    <w:bookmarkEnd w:id="72"/>
    <w:bookmarkStart w:id="73" w:name="ref-gallaudetresearchinstitute2014"/>
    <w:p>
      <w:pPr>
        <w:pStyle w:val="Literaturverzeichnis"/>
      </w:pPr>
      <w:r>
        <w:t xml:space="preserve">Gallaudet Research Institute.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73"/>
    <w:bookmarkStart w:id="75"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74">
        <w:r>
          <w:rPr>
            <w:rStyle w:val="Hyperlink"/>
          </w:rPr>
          <w:t xml:space="preserve">https://doi.org/10.1542/peds.2016-3489</w:t>
        </w:r>
      </w:hyperlink>
    </w:p>
    <w:bookmarkEnd w:id="75"/>
    <w:bookmarkStart w:id="77"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76">
        <w:r>
          <w:rPr>
            <w:rStyle w:val="Hyperlink"/>
          </w:rPr>
          <w:t xml:space="preserve">https://doi.org/10.1017/S0022215112001909</w:t>
        </w:r>
      </w:hyperlink>
    </w:p>
    <w:bookmarkEnd w:id="77"/>
    <w:bookmarkStart w:id="79"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78">
        <w:r>
          <w:rPr>
            <w:rStyle w:val="Hyperlink"/>
          </w:rPr>
          <w:t xml:space="preserve">https://doi.org/10.1080/10824660802427710</w:t>
        </w:r>
      </w:hyperlink>
    </w:p>
    <w:bookmarkEnd w:id="79"/>
    <w:bookmarkStart w:id="81" w:name="ref-holzinger2011"/>
    <w:p>
      <w:pPr>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80">
        <w:r>
          <w:rPr>
            <w:rStyle w:val="Hyperlink"/>
          </w:rPr>
          <w:t xml:space="preserve">https://doi.org/10.1016/j.ijporl.2010.11.011</w:t>
        </w:r>
      </w:hyperlink>
    </w:p>
    <w:bookmarkEnd w:id="81"/>
    <w:bookmarkStart w:id="83" w:name="ref-hrastinski2016"/>
    <w:p>
      <w:pPr>
        <w:pStyle w:val="Literaturverzeichnis"/>
      </w:pPr>
      <w:r>
        <w:t xml:space="preserve">Hrastinski, I., &amp; Wilbur, R. B. (2016). Academic Achievement of Deaf and Hard-of-Hearing Students in an ASL/English Bilingual Program.</w:t>
      </w:r>
      <w:r>
        <w:t xml:space="preserve"> </w:t>
      </w:r>
      <w:r>
        <w:rPr>
          <w:i/>
        </w:rPr>
        <w:t xml:space="preserve">Journal of Deaf Studies and Deaf Education</w:t>
      </w:r>
      <w:r>
        <w:t xml:space="preserve">,</w:t>
      </w:r>
      <w:r>
        <w:t xml:space="preserve"> </w:t>
      </w:r>
      <w:r>
        <w:rPr>
          <w:i/>
        </w:rPr>
        <w:t xml:space="preserve">21</w:t>
      </w:r>
      <w:r>
        <w:t xml:space="preserve">(2), 156–170.</w:t>
      </w:r>
      <w:r>
        <w:t xml:space="preserve"> </w:t>
      </w:r>
      <w:hyperlink r:id="rId82">
        <w:r>
          <w:rPr>
            <w:rStyle w:val="Hyperlink"/>
          </w:rPr>
          <w:t xml:space="preserve">https://doi.org/10.1093/deafed/env072</w:t>
        </w:r>
      </w:hyperlink>
    </w:p>
    <w:bookmarkEnd w:id="83"/>
    <w:bookmarkStart w:id="84"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84"/>
    <w:bookmarkStart w:id="86"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85">
        <w:r>
          <w:rPr>
            <w:rStyle w:val="Hyperlink"/>
          </w:rPr>
          <w:t xml:space="preserve">https://doi.org/10.1007/978-1-4614-7138-7</w:t>
        </w:r>
      </w:hyperlink>
    </w:p>
    <w:bookmarkEnd w:id="86"/>
    <w:bookmarkStart w:id="87"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87"/>
    <w:bookmarkStart w:id="89" w:name="ref-kennedy2006"/>
    <w:p>
      <w:pPr>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88">
        <w:r>
          <w:rPr>
            <w:rStyle w:val="Hyperlink"/>
          </w:rPr>
          <w:t xml:space="preserve">https://doi.org/10.1056/NEJMoa054915</w:t>
        </w:r>
      </w:hyperlink>
    </w:p>
    <w:bookmarkEnd w:id="89"/>
    <w:bookmarkStart w:id="91"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90">
        <w:r>
          <w:rPr>
            <w:rStyle w:val="Hyperlink"/>
          </w:rPr>
          <w:t xml:space="preserve">https://doi.org/10.1007/s106-002-8065-9</w:t>
        </w:r>
      </w:hyperlink>
    </w:p>
    <w:bookmarkEnd w:id="91"/>
    <w:bookmarkStart w:id="93"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92">
        <w:r>
          <w:rPr>
            <w:rStyle w:val="Hyperlink"/>
          </w:rPr>
          <w:t xml:space="preserve">https://doi.org/10.1353/aad.0.0129</w:t>
        </w:r>
      </w:hyperlink>
    </w:p>
    <w:bookmarkEnd w:id="93"/>
    <w:bookmarkStart w:id="95"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94">
        <w:r>
          <w:rPr>
            <w:rStyle w:val="Hyperlink"/>
          </w:rPr>
          <w:t xml:space="preserve">https://doi.org/10.1093/deafed/env060</w:t>
        </w:r>
      </w:hyperlink>
    </w:p>
    <w:bookmarkEnd w:id="95"/>
    <w:bookmarkStart w:id="97"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96">
        <w:r>
          <w:rPr>
            <w:rStyle w:val="Hyperlink"/>
          </w:rPr>
          <w:t xml:space="preserve">https://doi.org/10.1503/cmaj.150450</w:t>
        </w:r>
      </w:hyperlink>
    </w:p>
    <w:bookmarkEnd w:id="97"/>
    <w:bookmarkStart w:id="99"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98">
        <w:r>
          <w:rPr>
            <w:rStyle w:val="Hyperlink"/>
          </w:rPr>
          <w:t xml:space="preserve">https://doi.org/10.1353/aad.2012.0256</w:t>
        </w:r>
      </w:hyperlink>
    </w:p>
    <w:bookmarkEnd w:id="99"/>
    <w:bookmarkStart w:id="101"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00">
        <w:r>
          <w:rPr>
            <w:rStyle w:val="Hyperlink"/>
          </w:rPr>
          <w:t xml:space="preserve">https://doi.org/10.11613/BM.2013.018</w:t>
        </w:r>
      </w:hyperlink>
    </w:p>
    <w:bookmarkEnd w:id="101"/>
    <w:bookmarkStart w:id="102"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02"/>
    <w:bookmarkStart w:id="104"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03">
        <w:r>
          <w:rPr>
            <w:rStyle w:val="Hyperlink"/>
          </w:rPr>
          <w:t xml:space="preserve">https://doi.org/10.1097/AUD.0b013e318157f07f</w:t>
        </w:r>
      </w:hyperlink>
    </w:p>
    <w:bookmarkEnd w:id="104"/>
    <w:bookmarkStart w:id="105" w:name="ref-nad"/>
    <w:p>
      <w:pPr>
        <w:pStyle w:val="Literaturverzeichnis"/>
      </w:pPr>
      <w:r>
        <w:t xml:space="preserve">NAD. (n.d.). National Association of the Deaf - NAD. https://www.nad.org/resources/early-intervention-for-infants-and-toddlers/information-for-parents/early-intervention-services/.</w:t>
      </w:r>
    </w:p>
    <w:bookmarkEnd w:id="105"/>
    <w:bookmarkStart w:id="107"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06">
        <w:r>
          <w:rPr>
            <w:rStyle w:val="Hyperlink"/>
          </w:rPr>
          <w:t xml:space="preserve">https://doi.org/10.1136/bmj.j3448</w:t>
        </w:r>
      </w:hyperlink>
    </w:p>
    <w:bookmarkEnd w:id="107"/>
    <w:bookmarkStart w:id="109"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08">
        <w:r>
          <w:rPr>
            <w:rStyle w:val="Hyperlink"/>
          </w:rPr>
          <w:t xml:space="preserve">https://doi.org/10.1016/j.wjorl.2017.12.010</w:t>
        </w:r>
      </w:hyperlink>
    </w:p>
    <w:bookmarkEnd w:id="109"/>
    <w:bookmarkStart w:id="111"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10">
        <w:r>
          <w:rPr>
            <w:rStyle w:val="Hyperlink"/>
          </w:rPr>
          <w:t xml:space="preserve">https://doi.org/10.1093/deafed/enr028</w:t>
        </w:r>
      </w:hyperlink>
    </w:p>
    <w:bookmarkEnd w:id="111"/>
    <w:bookmarkStart w:id="113"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112">
        <w:r>
          <w:rPr>
            <w:rStyle w:val="Hyperlink"/>
          </w:rPr>
          <w:t xml:space="preserve">https://www.R-project.org/</w:t>
        </w:r>
      </w:hyperlink>
    </w:p>
    <w:bookmarkEnd w:id="113"/>
    <w:bookmarkStart w:id="115" w:name="ref-robinshaw1995"/>
    <w:p>
      <w:pPr>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14">
        <w:r>
          <w:rPr>
            <w:rStyle w:val="Hyperlink"/>
          </w:rPr>
          <w:t xml:space="preserve">https://doi.org/10.3109/03005369509076750</w:t>
        </w:r>
      </w:hyperlink>
    </w:p>
    <w:bookmarkEnd w:id="115"/>
    <w:bookmarkStart w:id="117"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16">
        <w:r>
          <w:rPr>
            <w:rStyle w:val="Hyperlink"/>
          </w:rPr>
          <w:t xml:space="preserve">https://doi.org/10.1080/15348431.2018.1463848</w:t>
        </w:r>
      </w:hyperlink>
    </w:p>
    <w:bookmarkEnd w:id="117"/>
    <w:bookmarkStart w:id="118" w:name="ref-rstudioteam2020"/>
    <w:p>
      <w:pPr>
        <w:pStyle w:val="Literaturverzeichnis"/>
      </w:pPr>
      <w:r>
        <w:t xml:space="preserve">RStudio Team,.. (2020). RStudio: Integrated Development for R. Boston, MA: RStudio, PBC.</w:t>
      </w:r>
    </w:p>
    <w:bookmarkEnd w:id="118"/>
    <w:bookmarkStart w:id="120"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19">
        <w:r>
          <w:rPr>
            <w:rStyle w:val="Hyperlink"/>
          </w:rPr>
          <w:t xml:space="preserve">https://doi.org/10.1093/deafed/eng016</w:t>
        </w:r>
      </w:hyperlink>
    </w:p>
    <w:bookmarkEnd w:id="120"/>
    <w:bookmarkStart w:id="122" w:name="ref-stika2015"/>
    <w:p>
      <w:pPr>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21">
        <w:r>
          <w:rPr>
            <w:rStyle w:val="Hyperlink"/>
          </w:rPr>
          <w:t xml:space="preserve">https://doi.org/10.1016/j.earlhumdev.2014.11.005</w:t>
        </w:r>
      </w:hyperlink>
    </w:p>
    <w:bookmarkEnd w:id="122"/>
    <w:bookmarkStart w:id="124"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23">
        <w:r>
          <w:rPr>
            <w:rStyle w:val="Hyperlink"/>
          </w:rPr>
          <w:t xml:space="preserve">https://doi.org/10.1080/09571730802389975</w:t>
        </w:r>
      </w:hyperlink>
    </w:p>
    <w:bookmarkEnd w:id="124"/>
    <w:bookmarkStart w:id="126"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25">
        <w:r>
          <w:rPr>
            <w:rStyle w:val="Hyperlink"/>
          </w:rPr>
          <w:t xml:space="preserve">https://doi.org/10.1044/1058-0360(2007/007)</w:t>
        </w:r>
      </w:hyperlink>
    </w:p>
    <w:bookmarkEnd w:id="126"/>
    <w:bookmarkStart w:id="128"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27">
        <w:r>
          <w:rPr>
            <w:rStyle w:val="Hyperlink"/>
          </w:rPr>
          <w:t xml:space="preserve">https://doi.org/10.1016/j.ijporl.2008.01.012</w:t>
        </w:r>
      </w:hyperlink>
    </w:p>
    <w:bookmarkEnd w:id="128"/>
    <w:bookmarkStart w:id="130"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29">
        <w:r>
          <w:rPr>
            <w:rStyle w:val="Hyperlink"/>
          </w:rPr>
          <w:t xml:space="preserve">https://doi.org/10.1542/peds.2007-2028</w:t>
        </w:r>
      </w:hyperlink>
    </w:p>
    <w:bookmarkEnd w:id="130"/>
    <w:bookmarkStart w:id="132"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31">
        <w:r>
          <w:rPr>
            <w:rStyle w:val="Hyperlink"/>
          </w:rPr>
          <w:t xml:space="preserve">https://doi.org/10.1038/jp.2010.110</w:t>
        </w:r>
      </w:hyperlink>
    </w:p>
    <w:bookmarkEnd w:id="132"/>
    <w:bookmarkStart w:id="134"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33">
        <w:r>
          <w:rPr>
            <w:rStyle w:val="Hyperlink"/>
          </w:rPr>
          <w:t xml:space="preserve">https://doi.org/10.1044/2015_JSLHR-H-15-0043</w:t>
        </w:r>
      </w:hyperlink>
    </w:p>
    <w:bookmarkEnd w:id="134"/>
    <w:bookmarkStart w:id="136" w:name="ref-watkin2007"/>
    <w:p>
      <w:pPr>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135">
        <w:r>
          <w:rPr>
            <w:rStyle w:val="Hyperlink"/>
          </w:rPr>
          <w:t xml:space="preserve">https://doi.org/10.1542/peds.2006-2116</w:t>
        </w:r>
      </w:hyperlink>
    </w:p>
    <w:bookmarkEnd w:id="136"/>
    <w:bookmarkStart w:id="137" w:name="ref-white1987"/>
    <w:p>
      <w:pPr>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137"/>
    <w:bookmarkStart w:id="139"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38">
        <w:r>
          <w:rPr>
            <w:rStyle w:val="Hyperlink"/>
          </w:rPr>
          <w:t xml:space="preserve">https://CRAN.R-project.org/package=tidyverse</w:t>
        </w:r>
      </w:hyperlink>
    </w:p>
    <w:bookmarkEnd w:id="139"/>
    <w:bookmarkStart w:id="141"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40">
        <w:r>
          <w:rPr>
            <w:rStyle w:val="Hyperlink"/>
          </w:rPr>
          <w:t xml:space="preserve">https://doi.org/10.1542/peds.102.5.1161</w:t>
        </w:r>
      </w:hyperlink>
    </w:p>
    <w:bookmarkEnd w:id="141"/>
    <w:bookmarkStart w:id="143"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42">
        <w:r>
          <w:rPr>
            <w:rStyle w:val="Hyperlink"/>
          </w:rPr>
          <w:t xml:space="preserve">https://doi.org/10.1542/peds.2016-2964</w:t>
        </w:r>
      </w:hyperlink>
    </w:p>
    <w:bookmarkEnd w:id="143"/>
    <w:bookmarkStart w:id="145"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44">
        <w:r>
          <w:rPr>
            <w:rStyle w:val="Hyperlink"/>
          </w:rPr>
          <w:t xml:space="preserve">https://doi.org/10.1097/MAO.0000000000001976</w:t>
        </w:r>
      </w:hyperlink>
    </w:p>
    <w:bookmarkEnd w:id="145"/>
    <w:bookmarkEnd w:id="146"/>
    <w:p>
      <w:r>
        <w:br w:type="page"/>
      </w:r>
    </w:p>
    <w:p>
      <w:pPr>
        <w:pStyle w:val="berschrift1"/>
      </w:pPr>
      <w:bookmarkStart w:id="147" w:name="captions"/>
      <w:r>
        <w:t xml:space="preserve">Captions</w:t>
      </w:r>
      <w:bookmarkEnd w:id="147"/>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 dots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 dots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 CDI Ages, Vocabulary Scores and Rate of Developmental Delay: For each version of the CDI (WG = Words and Gestures; WS = Words and Sentences), the table shows the mean(SD) age, comprehension score (spoken + signed), and production score (spoken + signed, where relevant) of participants in our sample, along with the percent diagnosed with developmental delays. (N.B. signs were only reported for the 18 children using total communication as the rest reported solely spoken language as the communication modality).</w:t>
      </w:r>
    </w:p>
    <w:p>
      <w:pPr>
        <w:pStyle w:val="Textkrper"/>
      </w:pPr>
      <w:r>
        <w:rPr>
          <w:b/>
        </w:rPr>
        <w:t xml:space="preserve">Table 2</w:t>
      </w:r>
      <w:r>
        <w:t xml:space="preserve">: Detailed information about the variables studied. For categorical variables, levels are described and Ns provided. For continuous variables, range, mean, and standard deviation are provided.</w:t>
      </w:r>
    </w:p>
    <w:p>
      <w:pPr>
        <w:pStyle w:val="Textkrper"/>
      </w:pPr>
      <w:r>
        <w:rPr>
          <w:b/>
        </w:rPr>
        <w:t xml:space="preserve">Supplemental Materials S1</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S2</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S3</w:t>
      </w:r>
      <w:r>
        <w:t xml:space="preserve">: Language and Communication Characteristics of the Sample: Ns of participants by language background and communication method.</w:t>
      </w:r>
    </w:p>
    <w:p>
      <w:pPr>
        <w:pStyle w:val="Textkrper"/>
      </w:pPr>
      <w:r>
        <w:rPr>
          <w:b/>
        </w:rPr>
        <w:t xml:space="preserve">Supplemental Materials S4</w:t>
      </w:r>
      <w:r>
        <w:t xml:space="preserve">: Unstandardized beta weights (months of vocabulary delay) for the model of vocabulary delay selected by AIC.</w:t>
      </w:r>
    </w:p>
    <w:p>
      <w:pPr>
        <w:pStyle w:val="Textkrper"/>
      </w:pPr>
      <w:r>
        <w:rPr>
          <w:b/>
        </w:rPr>
        <w:t xml:space="preserve">Supplemental Materials S5</w:t>
      </w:r>
      <w:r>
        <w:t xml:space="preserve">: Unstandardized beta coefficients (months) for the model of age at diagnosis selected by AIC.</w:t>
      </w:r>
    </w:p>
    <w:p>
      <w:pPr>
        <w:pStyle w:val="Textkrper"/>
      </w:pPr>
      <w:r>
        <w:rPr>
          <w:b/>
        </w:rPr>
        <w:t xml:space="preserve">Supplemental Materials S6</w:t>
      </w:r>
      <w:r>
        <w:t xml:space="preserve">: Unstandardized beta coefficients (months) for the model of age at intervention selected by AIC.</w:t>
      </w:r>
    </w:p>
    <w:p>
      <w:pPr>
        <w:pStyle w:val="Textkrper"/>
      </w:pPr>
      <w:r>
        <w:rPr>
          <w:b/>
        </w:rPr>
        <w:t xml:space="preserve">Supplemental Materials S7</w:t>
      </w:r>
      <w:r>
        <w:t xml:space="preserve">: PDF containing all figures and tables with their captions in situ (for reader/reviewer ease).</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30">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1">
    <w:p>
      <w:pPr>
        <w:pStyle w:val="Funotentext"/>
      </w:pPr>
      <w:r>
        <w:rPr>
          <w:rStyle w:val="Funotenzeichen"/>
        </w:rPr>
        <w:footnoteRef/>
      </w:r>
      <w:r>
        <w:t xml:space="preserve"> </w:t>
      </w:r>
      <w:r>
        <w:t xml:space="preserve">3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14 participants without Degree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69" Target="https://CRAN.R-project.org/package=car" TargetMode="External" /><Relationship Type="http://schemas.openxmlformats.org/officeDocument/2006/relationships/hyperlink" Id="rId138" Target="https://CRAN.R-project.org/package=tidyverse" TargetMode="External" /><Relationship Type="http://schemas.openxmlformats.org/officeDocument/2006/relationships/hyperlink" Id="rId85" Target="https://doi.org/10.1007/978-1-4614-7138-7" TargetMode="External" /><Relationship Type="http://schemas.openxmlformats.org/officeDocument/2006/relationships/hyperlink" Id="rId90" Target="https://doi.org/10.1007/s106-002-8065-9" TargetMode="External" /><Relationship Type="http://schemas.openxmlformats.org/officeDocument/2006/relationships/hyperlink" Id="rId121" Target="https://doi.org/10.1016/j.earlhumdev.2014.11.005" TargetMode="External" /><Relationship Type="http://schemas.openxmlformats.org/officeDocument/2006/relationships/hyperlink" Id="rId127" Target="https://doi.org/10.1016/j.ijporl.2008.01.012" TargetMode="External" /><Relationship Type="http://schemas.openxmlformats.org/officeDocument/2006/relationships/hyperlink" Id="rId80" Target="https://doi.org/10.1016/j.ijporl.2010.11.011" TargetMode="External" /><Relationship Type="http://schemas.openxmlformats.org/officeDocument/2006/relationships/hyperlink" Id="rId108" Target="https://doi.org/10.1016/j.wjorl.2017.12.010" TargetMode="External" /><Relationship Type="http://schemas.openxmlformats.org/officeDocument/2006/relationships/hyperlink" Id="rId76" Target="https://doi.org/10.1017/S0022215112001909" TargetMode="External" /><Relationship Type="http://schemas.openxmlformats.org/officeDocument/2006/relationships/hyperlink" Id="rId71" Target="https://doi.org/10.1017/S0305000916000209" TargetMode="External" /><Relationship Type="http://schemas.openxmlformats.org/officeDocument/2006/relationships/hyperlink" Id="rId131" Target="https://doi.org/10.1038/jp.2010.110" TargetMode="External" /><Relationship Type="http://schemas.openxmlformats.org/officeDocument/2006/relationships/hyperlink" Id="rId125" Target="https://doi.org/10.1044/1058-0360(2007/007)" TargetMode="External" /><Relationship Type="http://schemas.openxmlformats.org/officeDocument/2006/relationships/hyperlink" Id="rId63" Target="https://doi.org/10.1044/1092-4388(2007/091)" TargetMode="External" /><Relationship Type="http://schemas.openxmlformats.org/officeDocument/2006/relationships/hyperlink" Id="rId133" Target="https://doi.org/10.1044/2015_JSLHR-H-15-0043" TargetMode="External" /><Relationship Type="http://schemas.openxmlformats.org/officeDocument/2006/relationships/hyperlink" Id="rId61" Target="https://doi.org/10.1044/2018_LSHSS-17-0148" TargetMode="External" /><Relationship Type="http://schemas.openxmlformats.org/officeDocument/2006/relationships/hyperlink" Id="rId44" Target="https://doi.org/10.1044/leader.FTR2.16132011.12" TargetMode="External" /><Relationship Type="http://schemas.openxmlformats.org/officeDocument/2006/relationships/hyperlink" Id="rId88" Target="https://doi.org/10.1056/NEJMoa054915" TargetMode="External" /><Relationship Type="http://schemas.openxmlformats.org/officeDocument/2006/relationships/hyperlink" Id="rId123" Target="https://doi.org/10.1080/09571730802389975" TargetMode="External" /><Relationship Type="http://schemas.openxmlformats.org/officeDocument/2006/relationships/hyperlink" Id="rId57" Target="https://doi.org/10.1080/10573569.2013.878123" TargetMode="External" /><Relationship Type="http://schemas.openxmlformats.org/officeDocument/2006/relationships/hyperlink" Id="rId78" Target="https://doi.org/10.1080/10824660802427710" TargetMode="External" /><Relationship Type="http://schemas.openxmlformats.org/officeDocument/2006/relationships/hyperlink" Id="rId53" Target="https://doi.org/10.1080/14992027.2017.1385865" TargetMode="External" /><Relationship Type="http://schemas.openxmlformats.org/officeDocument/2006/relationships/hyperlink" Id="rId116" Target="https://doi.org/10.1080/15348431.2018.1463848" TargetMode="External" /><Relationship Type="http://schemas.openxmlformats.org/officeDocument/2006/relationships/hyperlink" Id="rId119" Target="https://doi.org/10.1093/deafed/eng016" TargetMode="External" /><Relationship Type="http://schemas.openxmlformats.org/officeDocument/2006/relationships/hyperlink" Id="rId110" Target="https://doi.org/10.1093/deafed/enr028" TargetMode="External" /><Relationship Type="http://schemas.openxmlformats.org/officeDocument/2006/relationships/hyperlink" Id="rId59" Target="https://doi.org/10.1093/deafed/ent045" TargetMode="External" /><Relationship Type="http://schemas.openxmlformats.org/officeDocument/2006/relationships/hyperlink" Id="rId94" Target="https://doi.org/10.1093/deafed/env060" TargetMode="External" /><Relationship Type="http://schemas.openxmlformats.org/officeDocument/2006/relationships/hyperlink" Id="rId82" Target="https://doi.org/10.1093/deafed/env072" TargetMode="External" /><Relationship Type="http://schemas.openxmlformats.org/officeDocument/2006/relationships/hyperlink" Id="rId65" Target="https://doi.org/10.1097/AUD.0b013e318157f01f" TargetMode="External" /><Relationship Type="http://schemas.openxmlformats.org/officeDocument/2006/relationships/hyperlink" Id="rId103" Target="https://doi.org/10.1097/AUD.0b013e318157f07f" TargetMode="External" /><Relationship Type="http://schemas.openxmlformats.org/officeDocument/2006/relationships/hyperlink" Id="rId55" Target="https://doi.org/10.1097/AUD.0b013e3182857718" TargetMode="External" /><Relationship Type="http://schemas.openxmlformats.org/officeDocument/2006/relationships/hyperlink" Id="rId144" Target="https://doi.org/10.1097/MAO.0000000000001976" TargetMode="External" /><Relationship Type="http://schemas.openxmlformats.org/officeDocument/2006/relationships/hyperlink" Id="rId106" Target="https://doi.org/10.1136/bmj.j3448" TargetMode="External" /><Relationship Type="http://schemas.openxmlformats.org/officeDocument/2006/relationships/hyperlink" Id="rId100" Target="https://doi.org/10.11613/BM.2013.018" TargetMode="External" /><Relationship Type="http://schemas.openxmlformats.org/officeDocument/2006/relationships/hyperlink" Id="rId92" Target="https://doi.org/10.1353/aad.0.0129" TargetMode="External" /><Relationship Type="http://schemas.openxmlformats.org/officeDocument/2006/relationships/hyperlink" Id="rId98" Target="https://doi.org/10.1353/aad.2012.0256" TargetMode="External" /><Relationship Type="http://schemas.openxmlformats.org/officeDocument/2006/relationships/hyperlink" Id="rId96" Target="https://doi.org/10.1503/cmaj.150450" TargetMode="External" /><Relationship Type="http://schemas.openxmlformats.org/officeDocument/2006/relationships/hyperlink" Id="rId140" Target="https://doi.org/10.1542/peds.102.5.1161" TargetMode="External" /><Relationship Type="http://schemas.openxmlformats.org/officeDocument/2006/relationships/hyperlink" Id="rId135" Target="https://doi.org/10.1542/peds.2006-2116" TargetMode="External" /><Relationship Type="http://schemas.openxmlformats.org/officeDocument/2006/relationships/hyperlink" Id="rId129" Target="https://doi.org/10.1542/peds.2007-2028" TargetMode="External" /><Relationship Type="http://schemas.openxmlformats.org/officeDocument/2006/relationships/hyperlink" Id="rId142" Target="https://doi.org/10.1542/peds.2016-2964" TargetMode="External" /><Relationship Type="http://schemas.openxmlformats.org/officeDocument/2006/relationships/hyperlink" Id="rId74" Target="https://doi.org/10.1542/peds.2016-3489" TargetMode="External" /><Relationship Type="http://schemas.openxmlformats.org/officeDocument/2006/relationships/hyperlink" Id="rId67" Target="https://doi.org/10.2307/1166093" TargetMode="External" /><Relationship Type="http://schemas.openxmlformats.org/officeDocument/2006/relationships/hyperlink" Id="rId50" Target="https://doi.org/10.26077/h0tf-ve32" TargetMode="External" /><Relationship Type="http://schemas.openxmlformats.org/officeDocument/2006/relationships/hyperlink" Id="rId114" Target="https://doi.org/10.3109/03005369509076750" TargetMode="External" /><Relationship Type="http://schemas.openxmlformats.org/officeDocument/2006/relationships/hyperlink" Id="rId27" Target="https://osf.io/kfcs3/?view_only=f2a39ed8381c4ba989de2270c50ff342" TargetMode="External" /><Relationship Type="http://schemas.openxmlformats.org/officeDocument/2006/relationships/hyperlink" Id="rId112" Target="https://www.R-project.org/"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69" Target="https://CRAN.R-project.org/package=car" TargetMode="External" /><Relationship Type="http://schemas.openxmlformats.org/officeDocument/2006/relationships/hyperlink" Id="rId138" Target="https://CRAN.R-project.org/package=tidyverse" TargetMode="External" /><Relationship Type="http://schemas.openxmlformats.org/officeDocument/2006/relationships/hyperlink" Id="rId85" Target="https://doi.org/10.1007/978-1-4614-7138-7" TargetMode="External" /><Relationship Type="http://schemas.openxmlformats.org/officeDocument/2006/relationships/hyperlink" Id="rId90" Target="https://doi.org/10.1007/s106-002-8065-9" TargetMode="External" /><Relationship Type="http://schemas.openxmlformats.org/officeDocument/2006/relationships/hyperlink" Id="rId121" Target="https://doi.org/10.1016/j.earlhumdev.2014.11.005" TargetMode="External" /><Relationship Type="http://schemas.openxmlformats.org/officeDocument/2006/relationships/hyperlink" Id="rId127" Target="https://doi.org/10.1016/j.ijporl.2008.01.012" TargetMode="External" /><Relationship Type="http://schemas.openxmlformats.org/officeDocument/2006/relationships/hyperlink" Id="rId80" Target="https://doi.org/10.1016/j.ijporl.2010.11.011" TargetMode="External" /><Relationship Type="http://schemas.openxmlformats.org/officeDocument/2006/relationships/hyperlink" Id="rId108" Target="https://doi.org/10.1016/j.wjorl.2017.12.010" TargetMode="External" /><Relationship Type="http://schemas.openxmlformats.org/officeDocument/2006/relationships/hyperlink" Id="rId76" Target="https://doi.org/10.1017/S0022215112001909" TargetMode="External" /><Relationship Type="http://schemas.openxmlformats.org/officeDocument/2006/relationships/hyperlink" Id="rId71" Target="https://doi.org/10.1017/S0305000916000209" TargetMode="External" /><Relationship Type="http://schemas.openxmlformats.org/officeDocument/2006/relationships/hyperlink" Id="rId131" Target="https://doi.org/10.1038/jp.2010.110" TargetMode="External" /><Relationship Type="http://schemas.openxmlformats.org/officeDocument/2006/relationships/hyperlink" Id="rId125" Target="https://doi.org/10.1044/1058-0360(2007/007)" TargetMode="External" /><Relationship Type="http://schemas.openxmlformats.org/officeDocument/2006/relationships/hyperlink" Id="rId63" Target="https://doi.org/10.1044/1092-4388(2007/091)" TargetMode="External" /><Relationship Type="http://schemas.openxmlformats.org/officeDocument/2006/relationships/hyperlink" Id="rId133" Target="https://doi.org/10.1044/2015_JSLHR-H-15-0043" TargetMode="External" /><Relationship Type="http://schemas.openxmlformats.org/officeDocument/2006/relationships/hyperlink" Id="rId61" Target="https://doi.org/10.1044/2018_LSHSS-17-0148" TargetMode="External" /><Relationship Type="http://schemas.openxmlformats.org/officeDocument/2006/relationships/hyperlink" Id="rId44" Target="https://doi.org/10.1044/leader.FTR2.16132011.12" TargetMode="External" /><Relationship Type="http://schemas.openxmlformats.org/officeDocument/2006/relationships/hyperlink" Id="rId88" Target="https://doi.org/10.1056/NEJMoa054915" TargetMode="External" /><Relationship Type="http://schemas.openxmlformats.org/officeDocument/2006/relationships/hyperlink" Id="rId123" Target="https://doi.org/10.1080/09571730802389975" TargetMode="External" /><Relationship Type="http://schemas.openxmlformats.org/officeDocument/2006/relationships/hyperlink" Id="rId57" Target="https://doi.org/10.1080/10573569.2013.878123" TargetMode="External" /><Relationship Type="http://schemas.openxmlformats.org/officeDocument/2006/relationships/hyperlink" Id="rId78" Target="https://doi.org/10.1080/10824660802427710" TargetMode="External" /><Relationship Type="http://schemas.openxmlformats.org/officeDocument/2006/relationships/hyperlink" Id="rId53" Target="https://doi.org/10.1080/14992027.2017.1385865" TargetMode="External" /><Relationship Type="http://schemas.openxmlformats.org/officeDocument/2006/relationships/hyperlink" Id="rId116" Target="https://doi.org/10.1080/15348431.2018.1463848" TargetMode="External" /><Relationship Type="http://schemas.openxmlformats.org/officeDocument/2006/relationships/hyperlink" Id="rId119" Target="https://doi.org/10.1093/deafed/eng016" TargetMode="External" /><Relationship Type="http://schemas.openxmlformats.org/officeDocument/2006/relationships/hyperlink" Id="rId110" Target="https://doi.org/10.1093/deafed/enr028" TargetMode="External" /><Relationship Type="http://schemas.openxmlformats.org/officeDocument/2006/relationships/hyperlink" Id="rId59" Target="https://doi.org/10.1093/deafed/ent045" TargetMode="External" /><Relationship Type="http://schemas.openxmlformats.org/officeDocument/2006/relationships/hyperlink" Id="rId94" Target="https://doi.org/10.1093/deafed/env060" TargetMode="External" /><Relationship Type="http://schemas.openxmlformats.org/officeDocument/2006/relationships/hyperlink" Id="rId82" Target="https://doi.org/10.1093/deafed/env072" TargetMode="External" /><Relationship Type="http://schemas.openxmlformats.org/officeDocument/2006/relationships/hyperlink" Id="rId65" Target="https://doi.org/10.1097/AUD.0b013e318157f01f" TargetMode="External" /><Relationship Type="http://schemas.openxmlformats.org/officeDocument/2006/relationships/hyperlink" Id="rId103" Target="https://doi.org/10.1097/AUD.0b013e318157f07f" TargetMode="External" /><Relationship Type="http://schemas.openxmlformats.org/officeDocument/2006/relationships/hyperlink" Id="rId55" Target="https://doi.org/10.1097/AUD.0b013e3182857718" TargetMode="External" /><Relationship Type="http://schemas.openxmlformats.org/officeDocument/2006/relationships/hyperlink" Id="rId144" Target="https://doi.org/10.1097/MAO.0000000000001976" TargetMode="External" /><Relationship Type="http://schemas.openxmlformats.org/officeDocument/2006/relationships/hyperlink" Id="rId106" Target="https://doi.org/10.1136/bmj.j3448" TargetMode="External" /><Relationship Type="http://schemas.openxmlformats.org/officeDocument/2006/relationships/hyperlink" Id="rId100" Target="https://doi.org/10.11613/BM.2013.018" TargetMode="External" /><Relationship Type="http://schemas.openxmlformats.org/officeDocument/2006/relationships/hyperlink" Id="rId92" Target="https://doi.org/10.1353/aad.0.0129" TargetMode="External" /><Relationship Type="http://schemas.openxmlformats.org/officeDocument/2006/relationships/hyperlink" Id="rId98" Target="https://doi.org/10.1353/aad.2012.0256" TargetMode="External" /><Relationship Type="http://schemas.openxmlformats.org/officeDocument/2006/relationships/hyperlink" Id="rId96" Target="https://doi.org/10.1503/cmaj.150450" TargetMode="External" /><Relationship Type="http://schemas.openxmlformats.org/officeDocument/2006/relationships/hyperlink" Id="rId140" Target="https://doi.org/10.1542/peds.102.5.1161" TargetMode="External" /><Relationship Type="http://schemas.openxmlformats.org/officeDocument/2006/relationships/hyperlink" Id="rId135" Target="https://doi.org/10.1542/peds.2006-2116" TargetMode="External" /><Relationship Type="http://schemas.openxmlformats.org/officeDocument/2006/relationships/hyperlink" Id="rId129" Target="https://doi.org/10.1542/peds.2007-2028" TargetMode="External" /><Relationship Type="http://schemas.openxmlformats.org/officeDocument/2006/relationships/hyperlink" Id="rId142" Target="https://doi.org/10.1542/peds.2016-2964" TargetMode="External" /><Relationship Type="http://schemas.openxmlformats.org/officeDocument/2006/relationships/hyperlink" Id="rId74" Target="https://doi.org/10.1542/peds.2016-3489" TargetMode="External" /><Relationship Type="http://schemas.openxmlformats.org/officeDocument/2006/relationships/hyperlink" Id="rId67" Target="https://doi.org/10.2307/1166093" TargetMode="External" /><Relationship Type="http://schemas.openxmlformats.org/officeDocument/2006/relationships/hyperlink" Id="rId50" Target="https://doi.org/10.26077/h0tf-ve32" TargetMode="External" /><Relationship Type="http://schemas.openxmlformats.org/officeDocument/2006/relationships/hyperlink" Id="rId114" Target="https://doi.org/10.3109/03005369509076750" TargetMode="External" /><Relationship Type="http://schemas.openxmlformats.org/officeDocument/2006/relationships/hyperlink" Id="rId27" Target="https://osf.io/kfcs3/?view_only=f2a39ed8381c4ba989de2270c50ff342" TargetMode="External" /><Relationship Type="http://schemas.openxmlformats.org/officeDocument/2006/relationships/hyperlink" Id="rId112" Target="https://www.R-project.org/"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2021-12-29T16:49:06Z</dcterms:created>
  <dcterms:modified xsi:type="dcterms:W3CDTF">2021-12-29T16:49:06Z</dcterms:modified>
</cp:coreProperties>
</file>