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F47BF" w14:textId="0246543D" w:rsidR="00A911CF" w:rsidRDefault="00A911CF"/>
    <w:p w14:paraId="5F1A5EA2" w14:textId="11AD48B8" w:rsidR="007E2663" w:rsidRDefault="007E2663"/>
    <w:p w14:paraId="3FCB797C" w14:textId="39709BB0" w:rsidR="007E2663" w:rsidRDefault="007E2663"/>
    <w:p w14:paraId="2621BCDB" w14:textId="48A9BB19" w:rsidR="007E2663" w:rsidRPr="001F70CB" w:rsidRDefault="00E94542" w:rsidP="007E2663">
      <w:pPr>
        <w:jc w:val="center"/>
        <w:rPr>
          <w:rFonts w:ascii="Georgia" w:hAnsi="Georgia"/>
        </w:rPr>
      </w:pPr>
      <w:bookmarkStart w:id="0" w:name="OLE_LINK3"/>
      <w:bookmarkStart w:id="1" w:name="OLE_LINK4"/>
      <w:r w:rsidRPr="001F70CB">
        <w:rPr>
          <w:rFonts w:ascii="Georgia" w:hAnsi="Georgia"/>
        </w:rPr>
        <w:t>A Handy</w:t>
      </w:r>
      <w:r w:rsidR="007E2663" w:rsidRPr="001F70CB">
        <w:rPr>
          <w:rFonts w:ascii="Georgia" w:hAnsi="Georgia"/>
        </w:rPr>
        <w:t xml:space="preserve"> Guide for Law</w:t>
      </w:r>
      <w:r w:rsidRPr="001F70CB">
        <w:rPr>
          <w:rFonts w:ascii="Georgia" w:hAnsi="Georgia"/>
        </w:rPr>
        <w:t>, Style,</w:t>
      </w:r>
      <w:r w:rsidR="007E2663" w:rsidRPr="001F70CB">
        <w:rPr>
          <w:rFonts w:ascii="Georgia" w:hAnsi="Georgia"/>
        </w:rPr>
        <w:t xml:space="preserve"> </w:t>
      </w:r>
      <w:r w:rsidRPr="001F70CB">
        <w:rPr>
          <w:rFonts w:ascii="Georgia" w:hAnsi="Georgia"/>
        </w:rPr>
        <w:t>Life,</w:t>
      </w:r>
      <w:r w:rsidR="007E2663" w:rsidRPr="001F70CB">
        <w:rPr>
          <w:rFonts w:ascii="Georgia" w:hAnsi="Georgia"/>
        </w:rPr>
        <w:t xml:space="preserve"> and </w:t>
      </w:r>
      <w:r w:rsidR="00A90123" w:rsidRPr="001F70CB">
        <w:rPr>
          <w:rFonts w:ascii="Georgia" w:hAnsi="Georgia"/>
        </w:rPr>
        <w:t xml:space="preserve">Promoting </w:t>
      </w:r>
      <w:r w:rsidR="00621BAA" w:rsidRPr="001F70CB">
        <w:rPr>
          <w:rFonts w:ascii="Georgia" w:hAnsi="Georgia"/>
        </w:rPr>
        <w:t xml:space="preserve">Lives </w:t>
      </w:r>
      <w:proofErr w:type="gramStart"/>
      <w:r w:rsidR="00621BAA" w:rsidRPr="001F70CB">
        <w:rPr>
          <w:rFonts w:ascii="Georgia" w:hAnsi="Georgia"/>
        </w:rPr>
        <w:t>Of</w:t>
      </w:r>
      <w:proofErr w:type="gramEnd"/>
      <w:r w:rsidR="00621BAA" w:rsidRPr="001F70CB">
        <w:rPr>
          <w:rFonts w:ascii="Georgia" w:hAnsi="Georgia"/>
        </w:rPr>
        <w:t xml:space="preserve"> Value for Everyone (L.O.V.E.)</w:t>
      </w:r>
    </w:p>
    <w:bookmarkEnd w:id="0"/>
    <w:bookmarkEnd w:id="1"/>
    <w:p w14:paraId="5C4A0DA7" w14:textId="77777777" w:rsidR="007E2663" w:rsidRPr="001F70CB" w:rsidRDefault="007E2663" w:rsidP="007E2663">
      <w:pPr>
        <w:jc w:val="center"/>
        <w:rPr>
          <w:rFonts w:ascii="Georgia" w:hAnsi="Georgia"/>
        </w:rPr>
      </w:pPr>
    </w:p>
    <w:p w14:paraId="40104D34" w14:textId="77777777" w:rsidR="009B67C3" w:rsidRPr="001F70CB" w:rsidRDefault="007E2663" w:rsidP="007E2663">
      <w:pPr>
        <w:jc w:val="center"/>
        <w:rPr>
          <w:rFonts w:ascii="Georgia" w:hAnsi="Georgia"/>
        </w:rPr>
      </w:pPr>
      <w:r w:rsidRPr="001F70CB">
        <w:rPr>
          <w:rFonts w:ascii="Georgia" w:hAnsi="Georgia"/>
        </w:rPr>
        <w:t>by Justin C. Berger</w:t>
      </w:r>
    </w:p>
    <w:p w14:paraId="4CCAE7E7" w14:textId="77777777" w:rsidR="009B67C3" w:rsidRDefault="009B67C3">
      <w:r>
        <w:br w:type="page"/>
      </w:r>
    </w:p>
    <w:sdt>
      <w:sdtPr>
        <w:rPr>
          <w:rFonts w:asciiTheme="minorHAnsi" w:eastAsiaTheme="minorHAnsi" w:hAnsiTheme="minorHAnsi" w:cstheme="minorBidi"/>
          <w:b w:val="0"/>
          <w:bCs w:val="0"/>
          <w:color w:val="auto"/>
          <w:sz w:val="24"/>
          <w:szCs w:val="24"/>
        </w:rPr>
        <w:id w:val="-629709938"/>
        <w:docPartObj>
          <w:docPartGallery w:val="Table of Contents"/>
          <w:docPartUnique/>
        </w:docPartObj>
      </w:sdtPr>
      <w:sdtEndPr>
        <w:rPr>
          <w:noProof/>
        </w:rPr>
      </w:sdtEndPr>
      <w:sdtContent>
        <w:p w14:paraId="4D0BC84C" w14:textId="57121EFF" w:rsidR="009B67C3" w:rsidRDefault="009B67C3">
          <w:pPr>
            <w:pStyle w:val="TOCHeading"/>
          </w:pPr>
          <w:r>
            <w:t>Table of Contents</w:t>
          </w:r>
        </w:p>
        <w:p w14:paraId="58B6BB5B" w14:textId="4F57FAB4" w:rsidR="00065F6E" w:rsidRDefault="009B67C3">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7249884" w:history="1">
            <w:r w:rsidR="00065F6E" w:rsidRPr="000A4241">
              <w:rPr>
                <w:rStyle w:val="Hyperlink"/>
                <w:noProof/>
              </w:rPr>
              <w:t>Citations</w:t>
            </w:r>
            <w:r w:rsidR="00065F6E">
              <w:rPr>
                <w:noProof/>
                <w:webHidden/>
              </w:rPr>
              <w:tab/>
            </w:r>
            <w:r w:rsidR="00065F6E">
              <w:rPr>
                <w:noProof/>
                <w:webHidden/>
              </w:rPr>
              <w:fldChar w:fldCharType="begin"/>
            </w:r>
            <w:r w:rsidR="00065F6E">
              <w:rPr>
                <w:noProof/>
                <w:webHidden/>
              </w:rPr>
              <w:instrText xml:space="preserve"> PAGEREF _Toc187249884 \h </w:instrText>
            </w:r>
            <w:r w:rsidR="00065F6E">
              <w:rPr>
                <w:noProof/>
                <w:webHidden/>
              </w:rPr>
            </w:r>
            <w:r w:rsidR="00065F6E">
              <w:rPr>
                <w:noProof/>
                <w:webHidden/>
              </w:rPr>
              <w:fldChar w:fldCharType="separate"/>
            </w:r>
            <w:r w:rsidR="00065F6E">
              <w:rPr>
                <w:noProof/>
                <w:webHidden/>
              </w:rPr>
              <w:t>4</w:t>
            </w:r>
            <w:r w:rsidR="00065F6E">
              <w:rPr>
                <w:noProof/>
                <w:webHidden/>
              </w:rPr>
              <w:fldChar w:fldCharType="end"/>
            </w:r>
          </w:hyperlink>
        </w:p>
        <w:p w14:paraId="753E89F1" w14:textId="4EBD2409"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85" w:history="1">
            <w:r w:rsidRPr="000A4241">
              <w:rPr>
                <w:rStyle w:val="Hyperlink"/>
                <w:noProof/>
              </w:rPr>
              <w:t>Abbreviations</w:t>
            </w:r>
            <w:r>
              <w:rPr>
                <w:noProof/>
                <w:webHidden/>
              </w:rPr>
              <w:tab/>
            </w:r>
            <w:r>
              <w:rPr>
                <w:noProof/>
                <w:webHidden/>
              </w:rPr>
              <w:fldChar w:fldCharType="begin"/>
            </w:r>
            <w:r>
              <w:rPr>
                <w:noProof/>
                <w:webHidden/>
              </w:rPr>
              <w:instrText xml:space="preserve"> PAGEREF _Toc187249885 \h </w:instrText>
            </w:r>
            <w:r>
              <w:rPr>
                <w:noProof/>
                <w:webHidden/>
              </w:rPr>
            </w:r>
            <w:r>
              <w:rPr>
                <w:noProof/>
                <w:webHidden/>
              </w:rPr>
              <w:fldChar w:fldCharType="separate"/>
            </w:r>
            <w:r>
              <w:rPr>
                <w:noProof/>
                <w:webHidden/>
              </w:rPr>
              <w:t>4</w:t>
            </w:r>
            <w:r>
              <w:rPr>
                <w:noProof/>
                <w:webHidden/>
              </w:rPr>
              <w:fldChar w:fldCharType="end"/>
            </w:r>
          </w:hyperlink>
        </w:p>
        <w:p w14:paraId="7B3ED45D" w14:textId="5CA70108"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86" w:history="1">
            <w:r w:rsidRPr="000A4241">
              <w:rPr>
                <w:rStyle w:val="Hyperlink"/>
                <w:noProof/>
              </w:rPr>
              <w:t>Months</w:t>
            </w:r>
            <w:r>
              <w:rPr>
                <w:noProof/>
                <w:webHidden/>
              </w:rPr>
              <w:tab/>
            </w:r>
            <w:r>
              <w:rPr>
                <w:noProof/>
                <w:webHidden/>
              </w:rPr>
              <w:fldChar w:fldCharType="begin"/>
            </w:r>
            <w:r>
              <w:rPr>
                <w:noProof/>
                <w:webHidden/>
              </w:rPr>
              <w:instrText xml:space="preserve"> PAGEREF _Toc187249886 \h </w:instrText>
            </w:r>
            <w:r>
              <w:rPr>
                <w:noProof/>
                <w:webHidden/>
              </w:rPr>
            </w:r>
            <w:r>
              <w:rPr>
                <w:noProof/>
                <w:webHidden/>
              </w:rPr>
              <w:fldChar w:fldCharType="separate"/>
            </w:r>
            <w:r>
              <w:rPr>
                <w:noProof/>
                <w:webHidden/>
              </w:rPr>
              <w:t>4</w:t>
            </w:r>
            <w:r>
              <w:rPr>
                <w:noProof/>
                <w:webHidden/>
              </w:rPr>
              <w:fldChar w:fldCharType="end"/>
            </w:r>
          </w:hyperlink>
        </w:p>
        <w:p w14:paraId="3465F0B1" w14:textId="415639AA"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87" w:history="1">
            <w:r w:rsidRPr="000A4241">
              <w:rPr>
                <w:rStyle w:val="Hyperlink"/>
                <w:noProof/>
              </w:rPr>
              <w:t>Books</w:t>
            </w:r>
            <w:r>
              <w:rPr>
                <w:noProof/>
                <w:webHidden/>
              </w:rPr>
              <w:tab/>
            </w:r>
            <w:r>
              <w:rPr>
                <w:noProof/>
                <w:webHidden/>
              </w:rPr>
              <w:fldChar w:fldCharType="begin"/>
            </w:r>
            <w:r>
              <w:rPr>
                <w:noProof/>
                <w:webHidden/>
              </w:rPr>
              <w:instrText xml:space="preserve"> PAGEREF _Toc187249887 \h </w:instrText>
            </w:r>
            <w:r>
              <w:rPr>
                <w:noProof/>
                <w:webHidden/>
              </w:rPr>
            </w:r>
            <w:r>
              <w:rPr>
                <w:noProof/>
                <w:webHidden/>
              </w:rPr>
              <w:fldChar w:fldCharType="separate"/>
            </w:r>
            <w:r>
              <w:rPr>
                <w:noProof/>
                <w:webHidden/>
              </w:rPr>
              <w:t>4</w:t>
            </w:r>
            <w:r>
              <w:rPr>
                <w:noProof/>
                <w:webHidden/>
              </w:rPr>
              <w:fldChar w:fldCharType="end"/>
            </w:r>
          </w:hyperlink>
        </w:p>
        <w:p w14:paraId="45CF8859" w14:textId="4D7BFB05"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88" w:history="1">
            <w:r w:rsidRPr="000A4241">
              <w:rPr>
                <w:rStyle w:val="Hyperlink"/>
                <w:noProof/>
              </w:rPr>
              <w:t>Cases</w:t>
            </w:r>
            <w:r>
              <w:rPr>
                <w:noProof/>
                <w:webHidden/>
              </w:rPr>
              <w:tab/>
            </w:r>
            <w:r>
              <w:rPr>
                <w:noProof/>
                <w:webHidden/>
              </w:rPr>
              <w:fldChar w:fldCharType="begin"/>
            </w:r>
            <w:r>
              <w:rPr>
                <w:noProof/>
                <w:webHidden/>
              </w:rPr>
              <w:instrText xml:space="preserve"> PAGEREF _Toc187249888 \h </w:instrText>
            </w:r>
            <w:r>
              <w:rPr>
                <w:noProof/>
                <w:webHidden/>
              </w:rPr>
            </w:r>
            <w:r>
              <w:rPr>
                <w:noProof/>
                <w:webHidden/>
              </w:rPr>
              <w:fldChar w:fldCharType="separate"/>
            </w:r>
            <w:r>
              <w:rPr>
                <w:noProof/>
                <w:webHidden/>
              </w:rPr>
              <w:t>4</w:t>
            </w:r>
            <w:r>
              <w:rPr>
                <w:noProof/>
                <w:webHidden/>
              </w:rPr>
              <w:fldChar w:fldCharType="end"/>
            </w:r>
          </w:hyperlink>
        </w:p>
        <w:p w14:paraId="45AE9433" w14:textId="688DA0CE"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89" w:history="1">
            <w:r w:rsidRPr="000A4241">
              <w:rPr>
                <w:rStyle w:val="Hyperlink"/>
                <w:noProof/>
              </w:rPr>
              <w:t>Court documents</w:t>
            </w:r>
            <w:r>
              <w:rPr>
                <w:noProof/>
                <w:webHidden/>
              </w:rPr>
              <w:tab/>
            </w:r>
            <w:r>
              <w:rPr>
                <w:noProof/>
                <w:webHidden/>
              </w:rPr>
              <w:fldChar w:fldCharType="begin"/>
            </w:r>
            <w:r>
              <w:rPr>
                <w:noProof/>
                <w:webHidden/>
              </w:rPr>
              <w:instrText xml:space="preserve"> PAGEREF _Toc187249889 \h </w:instrText>
            </w:r>
            <w:r>
              <w:rPr>
                <w:noProof/>
                <w:webHidden/>
              </w:rPr>
            </w:r>
            <w:r>
              <w:rPr>
                <w:noProof/>
                <w:webHidden/>
              </w:rPr>
              <w:fldChar w:fldCharType="separate"/>
            </w:r>
            <w:r>
              <w:rPr>
                <w:noProof/>
                <w:webHidden/>
              </w:rPr>
              <w:t>4</w:t>
            </w:r>
            <w:r>
              <w:rPr>
                <w:noProof/>
                <w:webHidden/>
              </w:rPr>
              <w:fldChar w:fldCharType="end"/>
            </w:r>
          </w:hyperlink>
        </w:p>
        <w:p w14:paraId="55784882" w14:textId="161558D5"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0" w:history="1">
            <w:r w:rsidRPr="000A4241">
              <w:rPr>
                <w:rStyle w:val="Hyperlink"/>
                <w:noProof/>
              </w:rPr>
              <w:t>Geographical specifics</w:t>
            </w:r>
            <w:r>
              <w:rPr>
                <w:noProof/>
                <w:webHidden/>
              </w:rPr>
              <w:tab/>
            </w:r>
            <w:r>
              <w:rPr>
                <w:noProof/>
                <w:webHidden/>
              </w:rPr>
              <w:fldChar w:fldCharType="begin"/>
            </w:r>
            <w:r>
              <w:rPr>
                <w:noProof/>
                <w:webHidden/>
              </w:rPr>
              <w:instrText xml:space="preserve"> PAGEREF _Toc187249890 \h </w:instrText>
            </w:r>
            <w:r>
              <w:rPr>
                <w:noProof/>
                <w:webHidden/>
              </w:rPr>
            </w:r>
            <w:r>
              <w:rPr>
                <w:noProof/>
                <w:webHidden/>
              </w:rPr>
              <w:fldChar w:fldCharType="separate"/>
            </w:r>
            <w:r>
              <w:rPr>
                <w:noProof/>
                <w:webHidden/>
              </w:rPr>
              <w:t>4</w:t>
            </w:r>
            <w:r>
              <w:rPr>
                <w:noProof/>
                <w:webHidden/>
              </w:rPr>
              <w:fldChar w:fldCharType="end"/>
            </w:r>
          </w:hyperlink>
        </w:p>
        <w:p w14:paraId="02829738" w14:textId="34063482"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1" w:history="1">
            <w:r w:rsidRPr="000A4241">
              <w:rPr>
                <w:rStyle w:val="Hyperlink"/>
                <w:noProof/>
              </w:rPr>
              <w:t>Pending Cases or Documents in Litigation</w:t>
            </w:r>
            <w:r>
              <w:rPr>
                <w:noProof/>
                <w:webHidden/>
              </w:rPr>
              <w:tab/>
            </w:r>
            <w:r>
              <w:rPr>
                <w:noProof/>
                <w:webHidden/>
              </w:rPr>
              <w:fldChar w:fldCharType="begin"/>
            </w:r>
            <w:r>
              <w:rPr>
                <w:noProof/>
                <w:webHidden/>
              </w:rPr>
              <w:instrText xml:space="preserve"> PAGEREF _Toc187249891 \h </w:instrText>
            </w:r>
            <w:r>
              <w:rPr>
                <w:noProof/>
                <w:webHidden/>
              </w:rPr>
            </w:r>
            <w:r>
              <w:rPr>
                <w:noProof/>
                <w:webHidden/>
              </w:rPr>
              <w:fldChar w:fldCharType="separate"/>
            </w:r>
            <w:r>
              <w:rPr>
                <w:noProof/>
                <w:webHidden/>
              </w:rPr>
              <w:t>5</w:t>
            </w:r>
            <w:r>
              <w:rPr>
                <w:noProof/>
                <w:webHidden/>
              </w:rPr>
              <w:fldChar w:fldCharType="end"/>
            </w:r>
          </w:hyperlink>
        </w:p>
        <w:p w14:paraId="66EFF9B6" w14:textId="2A81A60D"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92" w:history="1">
            <w:r w:rsidRPr="000A4241">
              <w:rPr>
                <w:rStyle w:val="Hyperlink"/>
                <w:noProof/>
              </w:rPr>
              <w:t>Correspondence</w:t>
            </w:r>
            <w:r>
              <w:rPr>
                <w:noProof/>
                <w:webHidden/>
              </w:rPr>
              <w:tab/>
            </w:r>
            <w:r>
              <w:rPr>
                <w:noProof/>
                <w:webHidden/>
              </w:rPr>
              <w:fldChar w:fldCharType="begin"/>
            </w:r>
            <w:r>
              <w:rPr>
                <w:noProof/>
                <w:webHidden/>
              </w:rPr>
              <w:instrText xml:space="preserve"> PAGEREF _Toc187249892 \h </w:instrText>
            </w:r>
            <w:r>
              <w:rPr>
                <w:noProof/>
                <w:webHidden/>
              </w:rPr>
            </w:r>
            <w:r>
              <w:rPr>
                <w:noProof/>
                <w:webHidden/>
              </w:rPr>
              <w:fldChar w:fldCharType="separate"/>
            </w:r>
            <w:r>
              <w:rPr>
                <w:noProof/>
                <w:webHidden/>
              </w:rPr>
              <w:t>5</w:t>
            </w:r>
            <w:r>
              <w:rPr>
                <w:noProof/>
                <w:webHidden/>
              </w:rPr>
              <w:fldChar w:fldCharType="end"/>
            </w:r>
          </w:hyperlink>
        </w:p>
        <w:p w14:paraId="1F4BA811" w14:textId="751F896D"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3" w:history="1">
            <w:r w:rsidRPr="000A4241">
              <w:rPr>
                <w:rStyle w:val="Hyperlink"/>
                <w:noProof/>
              </w:rPr>
              <w:t>Emails</w:t>
            </w:r>
            <w:r>
              <w:rPr>
                <w:noProof/>
                <w:webHidden/>
              </w:rPr>
              <w:tab/>
            </w:r>
            <w:r>
              <w:rPr>
                <w:noProof/>
                <w:webHidden/>
              </w:rPr>
              <w:fldChar w:fldCharType="begin"/>
            </w:r>
            <w:r>
              <w:rPr>
                <w:noProof/>
                <w:webHidden/>
              </w:rPr>
              <w:instrText xml:space="preserve"> PAGEREF _Toc187249893 \h </w:instrText>
            </w:r>
            <w:r>
              <w:rPr>
                <w:noProof/>
                <w:webHidden/>
              </w:rPr>
            </w:r>
            <w:r>
              <w:rPr>
                <w:noProof/>
                <w:webHidden/>
              </w:rPr>
              <w:fldChar w:fldCharType="separate"/>
            </w:r>
            <w:r>
              <w:rPr>
                <w:noProof/>
                <w:webHidden/>
              </w:rPr>
              <w:t>5</w:t>
            </w:r>
            <w:r>
              <w:rPr>
                <w:noProof/>
                <w:webHidden/>
              </w:rPr>
              <w:fldChar w:fldCharType="end"/>
            </w:r>
          </w:hyperlink>
        </w:p>
        <w:p w14:paraId="347B62B4" w14:textId="5DC87B49"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4" w:history="1">
            <w:r w:rsidRPr="000A4241">
              <w:rPr>
                <w:rStyle w:val="Hyperlink"/>
                <w:noProof/>
              </w:rPr>
              <w:t>Letters</w:t>
            </w:r>
            <w:r>
              <w:rPr>
                <w:noProof/>
                <w:webHidden/>
              </w:rPr>
              <w:tab/>
            </w:r>
            <w:r>
              <w:rPr>
                <w:noProof/>
                <w:webHidden/>
              </w:rPr>
              <w:fldChar w:fldCharType="begin"/>
            </w:r>
            <w:r>
              <w:rPr>
                <w:noProof/>
                <w:webHidden/>
              </w:rPr>
              <w:instrText xml:space="preserve"> PAGEREF _Toc187249894 \h </w:instrText>
            </w:r>
            <w:r>
              <w:rPr>
                <w:noProof/>
                <w:webHidden/>
              </w:rPr>
            </w:r>
            <w:r>
              <w:rPr>
                <w:noProof/>
                <w:webHidden/>
              </w:rPr>
              <w:fldChar w:fldCharType="separate"/>
            </w:r>
            <w:r>
              <w:rPr>
                <w:noProof/>
                <w:webHidden/>
              </w:rPr>
              <w:t>5</w:t>
            </w:r>
            <w:r>
              <w:rPr>
                <w:noProof/>
                <w:webHidden/>
              </w:rPr>
              <w:fldChar w:fldCharType="end"/>
            </w:r>
          </w:hyperlink>
        </w:p>
        <w:p w14:paraId="7C8654A6" w14:textId="20D15956"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95" w:history="1">
            <w:r w:rsidRPr="000A4241">
              <w:rPr>
                <w:rStyle w:val="Hyperlink"/>
                <w:noProof/>
              </w:rPr>
              <w:t>Dictionary</w:t>
            </w:r>
            <w:r>
              <w:rPr>
                <w:noProof/>
                <w:webHidden/>
              </w:rPr>
              <w:tab/>
            </w:r>
            <w:r>
              <w:rPr>
                <w:noProof/>
                <w:webHidden/>
              </w:rPr>
              <w:fldChar w:fldCharType="begin"/>
            </w:r>
            <w:r>
              <w:rPr>
                <w:noProof/>
                <w:webHidden/>
              </w:rPr>
              <w:instrText xml:space="preserve"> PAGEREF _Toc187249895 \h </w:instrText>
            </w:r>
            <w:r>
              <w:rPr>
                <w:noProof/>
                <w:webHidden/>
              </w:rPr>
            </w:r>
            <w:r>
              <w:rPr>
                <w:noProof/>
                <w:webHidden/>
              </w:rPr>
              <w:fldChar w:fldCharType="separate"/>
            </w:r>
            <w:r>
              <w:rPr>
                <w:noProof/>
                <w:webHidden/>
              </w:rPr>
              <w:t>5</w:t>
            </w:r>
            <w:r>
              <w:rPr>
                <w:noProof/>
                <w:webHidden/>
              </w:rPr>
              <w:fldChar w:fldCharType="end"/>
            </w:r>
          </w:hyperlink>
        </w:p>
        <w:p w14:paraId="486A6C86" w14:textId="00EF8768"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6" w:history="1">
            <w:r w:rsidRPr="000A4241">
              <w:rPr>
                <w:rStyle w:val="Hyperlink"/>
                <w:noProof/>
              </w:rPr>
              <w:t>Black’s Law Dictionary</w:t>
            </w:r>
            <w:r>
              <w:rPr>
                <w:noProof/>
                <w:webHidden/>
              </w:rPr>
              <w:tab/>
            </w:r>
            <w:r>
              <w:rPr>
                <w:noProof/>
                <w:webHidden/>
              </w:rPr>
              <w:fldChar w:fldCharType="begin"/>
            </w:r>
            <w:r>
              <w:rPr>
                <w:noProof/>
                <w:webHidden/>
              </w:rPr>
              <w:instrText xml:space="preserve"> PAGEREF _Toc187249896 \h </w:instrText>
            </w:r>
            <w:r>
              <w:rPr>
                <w:noProof/>
                <w:webHidden/>
              </w:rPr>
            </w:r>
            <w:r>
              <w:rPr>
                <w:noProof/>
                <w:webHidden/>
              </w:rPr>
              <w:fldChar w:fldCharType="separate"/>
            </w:r>
            <w:r>
              <w:rPr>
                <w:noProof/>
                <w:webHidden/>
              </w:rPr>
              <w:t>5</w:t>
            </w:r>
            <w:r>
              <w:rPr>
                <w:noProof/>
                <w:webHidden/>
              </w:rPr>
              <w:fldChar w:fldCharType="end"/>
            </w:r>
          </w:hyperlink>
        </w:p>
        <w:p w14:paraId="35D23310" w14:textId="7A99505E"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897" w:history="1">
            <w:r w:rsidRPr="000A4241">
              <w:rPr>
                <w:rStyle w:val="Hyperlink"/>
                <w:noProof/>
              </w:rPr>
              <w:t>Government sources</w:t>
            </w:r>
            <w:r>
              <w:rPr>
                <w:noProof/>
                <w:webHidden/>
              </w:rPr>
              <w:tab/>
            </w:r>
            <w:r>
              <w:rPr>
                <w:noProof/>
                <w:webHidden/>
              </w:rPr>
              <w:fldChar w:fldCharType="begin"/>
            </w:r>
            <w:r>
              <w:rPr>
                <w:noProof/>
                <w:webHidden/>
              </w:rPr>
              <w:instrText xml:space="preserve"> PAGEREF _Toc187249897 \h </w:instrText>
            </w:r>
            <w:r>
              <w:rPr>
                <w:noProof/>
                <w:webHidden/>
              </w:rPr>
            </w:r>
            <w:r>
              <w:rPr>
                <w:noProof/>
                <w:webHidden/>
              </w:rPr>
              <w:fldChar w:fldCharType="separate"/>
            </w:r>
            <w:r>
              <w:rPr>
                <w:noProof/>
                <w:webHidden/>
              </w:rPr>
              <w:t>5</w:t>
            </w:r>
            <w:r>
              <w:rPr>
                <w:noProof/>
                <w:webHidden/>
              </w:rPr>
              <w:fldChar w:fldCharType="end"/>
            </w:r>
          </w:hyperlink>
        </w:p>
        <w:p w14:paraId="5BFDB33E" w14:textId="24733348"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8" w:history="1">
            <w:r w:rsidRPr="000A4241">
              <w:rPr>
                <w:rStyle w:val="Hyperlink"/>
                <w:noProof/>
              </w:rPr>
              <w:t>Administrative Materials</w:t>
            </w:r>
            <w:r>
              <w:rPr>
                <w:noProof/>
                <w:webHidden/>
              </w:rPr>
              <w:tab/>
            </w:r>
            <w:r>
              <w:rPr>
                <w:noProof/>
                <w:webHidden/>
              </w:rPr>
              <w:fldChar w:fldCharType="begin"/>
            </w:r>
            <w:r>
              <w:rPr>
                <w:noProof/>
                <w:webHidden/>
              </w:rPr>
              <w:instrText xml:space="preserve"> PAGEREF _Toc187249898 \h </w:instrText>
            </w:r>
            <w:r>
              <w:rPr>
                <w:noProof/>
                <w:webHidden/>
              </w:rPr>
            </w:r>
            <w:r>
              <w:rPr>
                <w:noProof/>
                <w:webHidden/>
              </w:rPr>
              <w:fldChar w:fldCharType="separate"/>
            </w:r>
            <w:r>
              <w:rPr>
                <w:noProof/>
                <w:webHidden/>
              </w:rPr>
              <w:t>5</w:t>
            </w:r>
            <w:r>
              <w:rPr>
                <w:noProof/>
                <w:webHidden/>
              </w:rPr>
              <w:fldChar w:fldCharType="end"/>
            </w:r>
          </w:hyperlink>
        </w:p>
        <w:p w14:paraId="2ED247D6" w14:textId="28DC946F"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899" w:history="1">
            <w:r w:rsidRPr="000A4241">
              <w:rPr>
                <w:rStyle w:val="Hyperlink"/>
                <w:noProof/>
              </w:rPr>
              <w:t>Congressional Research Service</w:t>
            </w:r>
            <w:r>
              <w:rPr>
                <w:noProof/>
                <w:webHidden/>
              </w:rPr>
              <w:tab/>
            </w:r>
            <w:r>
              <w:rPr>
                <w:noProof/>
                <w:webHidden/>
              </w:rPr>
              <w:fldChar w:fldCharType="begin"/>
            </w:r>
            <w:r>
              <w:rPr>
                <w:noProof/>
                <w:webHidden/>
              </w:rPr>
              <w:instrText xml:space="preserve"> PAGEREF _Toc187249899 \h </w:instrText>
            </w:r>
            <w:r>
              <w:rPr>
                <w:noProof/>
                <w:webHidden/>
              </w:rPr>
            </w:r>
            <w:r>
              <w:rPr>
                <w:noProof/>
                <w:webHidden/>
              </w:rPr>
              <w:fldChar w:fldCharType="separate"/>
            </w:r>
            <w:r>
              <w:rPr>
                <w:noProof/>
                <w:webHidden/>
              </w:rPr>
              <w:t>5</w:t>
            </w:r>
            <w:r>
              <w:rPr>
                <w:noProof/>
                <w:webHidden/>
              </w:rPr>
              <w:fldChar w:fldCharType="end"/>
            </w:r>
          </w:hyperlink>
        </w:p>
        <w:p w14:paraId="541AAF50" w14:textId="4584DE81"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00" w:history="1">
            <w:r w:rsidRPr="000A4241">
              <w:rPr>
                <w:rStyle w:val="Hyperlink"/>
                <w:noProof/>
              </w:rPr>
              <w:t>Executive Orders</w:t>
            </w:r>
            <w:r>
              <w:rPr>
                <w:noProof/>
                <w:webHidden/>
              </w:rPr>
              <w:tab/>
            </w:r>
            <w:r>
              <w:rPr>
                <w:noProof/>
                <w:webHidden/>
              </w:rPr>
              <w:fldChar w:fldCharType="begin"/>
            </w:r>
            <w:r>
              <w:rPr>
                <w:noProof/>
                <w:webHidden/>
              </w:rPr>
              <w:instrText xml:space="preserve"> PAGEREF _Toc187249900 \h </w:instrText>
            </w:r>
            <w:r>
              <w:rPr>
                <w:noProof/>
                <w:webHidden/>
              </w:rPr>
            </w:r>
            <w:r>
              <w:rPr>
                <w:noProof/>
                <w:webHidden/>
              </w:rPr>
              <w:fldChar w:fldCharType="separate"/>
            </w:r>
            <w:r>
              <w:rPr>
                <w:noProof/>
                <w:webHidden/>
              </w:rPr>
              <w:t>6</w:t>
            </w:r>
            <w:r>
              <w:rPr>
                <w:noProof/>
                <w:webHidden/>
              </w:rPr>
              <w:fldChar w:fldCharType="end"/>
            </w:r>
          </w:hyperlink>
        </w:p>
        <w:p w14:paraId="1EC47059" w14:textId="6D6AE685"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01" w:history="1">
            <w:r w:rsidRPr="000A4241">
              <w:rPr>
                <w:rStyle w:val="Hyperlink"/>
                <w:noProof/>
              </w:rPr>
              <w:t>Internal Revenue Service</w:t>
            </w:r>
            <w:r>
              <w:rPr>
                <w:noProof/>
                <w:webHidden/>
              </w:rPr>
              <w:tab/>
            </w:r>
            <w:r>
              <w:rPr>
                <w:noProof/>
                <w:webHidden/>
              </w:rPr>
              <w:fldChar w:fldCharType="begin"/>
            </w:r>
            <w:r>
              <w:rPr>
                <w:noProof/>
                <w:webHidden/>
              </w:rPr>
              <w:instrText xml:space="preserve"> PAGEREF _Toc187249901 \h </w:instrText>
            </w:r>
            <w:r>
              <w:rPr>
                <w:noProof/>
                <w:webHidden/>
              </w:rPr>
            </w:r>
            <w:r>
              <w:rPr>
                <w:noProof/>
                <w:webHidden/>
              </w:rPr>
              <w:fldChar w:fldCharType="separate"/>
            </w:r>
            <w:r>
              <w:rPr>
                <w:noProof/>
                <w:webHidden/>
              </w:rPr>
              <w:t>6</w:t>
            </w:r>
            <w:r>
              <w:rPr>
                <w:noProof/>
                <w:webHidden/>
              </w:rPr>
              <w:fldChar w:fldCharType="end"/>
            </w:r>
          </w:hyperlink>
        </w:p>
        <w:p w14:paraId="7116C977" w14:textId="0B0C1ACF"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02" w:history="1">
            <w:r w:rsidRPr="000A4241">
              <w:rPr>
                <w:rStyle w:val="Hyperlink"/>
                <w:noProof/>
              </w:rPr>
              <w:t>Interviews</w:t>
            </w:r>
            <w:r>
              <w:rPr>
                <w:noProof/>
                <w:webHidden/>
              </w:rPr>
              <w:tab/>
            </w:r>
            <w:r>
              <w:rPr>
                <w:noProof/>
                <w:webHidden/>
              </w:rPr>
              <w:fldChar w:fldCharType="begin"/>
            </w:r>
            <w:r>
              <w:rPr>
                <w:noProof/>
                <w:webHidden/>
              </w:rPr>
              <w:instrText xml:space="preserve"> PAGEREF _Toc187249902 \h </w:instrText>
            </w:r>
            <w:r>
              <w:rPr>
                <w:noProof/>
                <w:webHidden/>
              </w:rPr>
            </w:r>
            <w:r>
              <w:rPr>
                <w:noProof/>
                <w:webHidden/>
              </w:rPr>
              <w:fldChar w:fldCharType="separate"/>
            </w:r>
            <w:r>
              <w:rPr>
                <w:noProof/>
                <w:webHidden/>
              </w:rPr>
              <w:t>6</w:t>
            </w:r>
            <w:r>
              <w:rPr>
                <w:noProof/>
                <w:webHidden/>
              </w:rPr>
              <w:fldChar w:fldCharType="end"/>
            </w:r>
          </w:hyperlink>
        </w:p>
        <w:p w14:paraId="123BD0D8" w14:textId="2E45FD3D"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03" w:history="1">
            <w:r w:rsidRPr="000A4241">
              <w:rPr>
                <w:rStyle w:val="Hyperlink"/>
                <w:noProof/>
              </w:rPr>
              <w:t>Legislation</w:t>
            </w:r>
            <w:r>
              <w:rPr>
                <w:noProof/>
                <w:webHidden/>
              </w:rPr>
              <w:tab/>
            </w:r>
            <w:r>
              <w:rPr>
                <w:noProof/>
                <w:webHidden/>
              </w:rPr>
              <w:fldChar w:fldCharType="begin"/>
            </w:r>
            <w:r>
              <w:rPr>
                <w:noProof/>
                <w:webHidden/>
              </w:rPr>
              <w:instrText xml:space="preserve"> PAGEREF _Toc187249903 \h </w:instrText>
            </w:r>
            <w:r>
              <w:rPr>
                <w:noProof/>
                <w:webHidden/>
              </w:rPr>
            </w:r>
            <w:r>
              <w:rPr>
                <w:noProof/>
                <w:webHidden/>
              </w:rPr>
              <w:fldChar w:fldCharType="separate"/>
            </w:r>
            <w:r>
              <w:rPr>
                <w:noProof/>
                <w:webHidden/>
              </w:rPr>
              <w:t>6</w:t>
            </w:r>
            <w:r>
              <w:rPr>
                <w:noProof/>
                <w:webHidden/>
              </w:rPr>
              <w:fldChar w:fldCharType="end"/>
            </w:r>
          </w:hyperlink>
        </w:p>
        <w:p w14:paraId="1BC7B6A1" w14:textId="7708445D"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04" w:history="1">
            <w:r w:rsidRPr="000A4241">
              <w:rPr>
                <w:rStyle w:val="Hyperlink"/>
                <w:rFonts w:eastAsia="Times New Roman"/>
                <w:noProof/>
              </w:rPr>
              <w:t>Amending statutes</w:t>
            </w:r>
            <w:r>
              <w:rPr>
                <w:noProof/>
                <w:webHidden/>
              </w:rPr>
              <w:tab/>
            </w:r>
            <w:r>
              <w:rPr>
                <w:noProof/>
                <w:webHidden/>
              </w:rPr>
              <w:fldChar w:fldCharType="begin"/>
            </w:r>
            <w:r>
              <w:rPr>
                <w:noProof/>
                <w:webHidden/>
              </w:rPr>
              <w:instrText xml:space="preserve"> PAGEREF _Toc187249904 \h </w:instrText>
            </w:r>
            <w:r>
              <w:rPr>
                <w:noProof/>
                <w:webHidden/>
              </w:rPr>
            </w:r>
            <w:r>
              <w:rPr>
                <w:noProof/>
                <w:webHidden/>
              </w:rPr>
              <w:fldChar w:fldCharType="separate"/>
            </w:r>
            <w:r>
              <w:rPr>
                <w:noProof/>
                <w:webHidden/>
              </w:rPr>
              <w:t>6</w:t>
            </w:r>
            <w:r>
              <w:rPr>
                <w:noProof/>
                <w:webHidden/>
              </w:rPr>
              <w:fldChar w:fldCharType="end"/>
            </w:r>
          </w:hyperlink>
        </w:p>
        <w:p w14:paraId="57B5EEE4" w14:textId="23748EBA"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05" w:history="1">
            <w:r w:rsidRPr="000A4241">
              <w:rPr>
                <w:rStyle w:val="Hyperlink"/>
                <w:noProof/>
              </w:rPr>
              <w:t>Regulations</w:t>
            </w:r>
            <w:r>
              <w:rPr>
                <w:noProof/>
                <w:webHidden/>
              </w:rPr>
              <w:tab/>
            </w:r>
            <w:r>
              <w:rPr>
                <w:noProof/>
                <w:webHidden/>
              </w:rPr>
              <w:fldChar w:fldCharType="begin"/>
            </w:r>
            <w:r>
              <w:rPr>
                <w:noProof/>
                <w:webHidden/>
              </w:rPr>
              <w:instrText xml:space="preserve"> PAGEREF _Toc187249905 \h </w:instrText>
            </w:r>
            <w:r>
              <w:rPr>
                <w:noProof/>
                <w:webHidden/>
              </w:rPr>
            </w:r>
            <w:r>
              <w:rPr>
                <w:noProof/>
                <w:webHidden/>
              </w:rPr>
              <w:fldChar w:fldCharType="separate"/>
            </w:r>
            <w:r>
              <w:rPr>
                <w:noProof/>
                <w:webHidden/>
              </w:rPr>
              <w:t>6</w:t>
            </w:r>
            <w:r>
              <w:rPr>
                <w:noProof/>
                <w:webHidden/>
              </w:rPr>
              <w:fldChar w:fldCharType="end"/>
            </w:r>
          </w:hyperlink>
        </w:p>
        <w:p w14:paraId="799A87B4" w14:textId="165212FD"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06" w:history="1">
            <w:r w:rsidRPr="000A4241">
              <w:rPr>
                <w:rStyle w:val="Hyperlink"/>
                <w:noProof/>
              </w:rPr>
              <w:t>Federal</w:t>
            </w:r>
            <w:r>
              <w:rPr>
                <w:noProof/>
                <w:webHidden/>
              </w:rPr>
              <w:tab/>
            </w:r>
            <w:r>
              <w:rPr>
                <w:noProof/>
                <w:webHidden/>
              </w:rPr>
              <w:fldChar w:fldCharType="begin"/>
            </w:r>
            <w:r>
              <w:rPr>
                <w:noProof/>
                <w:webHidden/>
              </w:rPr>
              <w:instrText xml:space="preserve"> PAGEREF _Toc187249906 \h </w:instrText>
            </w:r>
            <w:r>
              <w:rPr>
                <w:noProof/>
                <w:webHidden/>
              </w:rPr>
            </w:r>
            <w:r>
              <w:rPr>
                <w:noProof/>
                <w:webHidden/>
              </w:rPr>
              <w:fldChar w:fldCharType="separate"/>
            </w:r>
            <w:r>
              <w:rPr>
                <w:noProof/>
                <w:webHidden/>
              </w:rPr>
              <w:t>6</w:t>
            </w:r>
            <w:r>
              <w:rPr>
                <w:noProof/>
                <w:webHidden/>
              </w:rPr>
              <w:fldChar w:fldCharType="end"/>
            </w:r>
          </w:hyperlink>
        </w:p>
        <w:p w14:paraId="3854ED4B" w14:textId="3A2EA201"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07" w:history="1">
            <w:r w:rsidRPr="000A4241">
              <w:rPr>
                <w:rStyle w:val="Hyperlink"/>
                <w:noProof/>
              </w:rPr>
              <w:t>Georgia (U.S.)</w:t>
            </w:r>
            <w:r>
              <w:rPr>
                <w:noProof/>
                <w:webHidden/>
              </w:rPr>
              <w:tab/>
            </w:r>
            <w:r>
              <w:rPr>
                <w:noProof/>
                <w:webHidden/>
              </w:rPr>
              <w:fldChar w:fldCharType="begin"/>
            </w:r>
            <w:r>
              <w:rPr>
                <w:noProof/>
                <w:webHidden/>
              </w:rPr>
              <w:instrText xml:space="preserve"> PAGEREF _Toc187249907 \h </w:instrText>
            </w:r>
            <w:r>
              <w:rPr>
                <w:noProof/>
                <w:webHidden/>
              </w:rPr>
            </w:r>
            <w:r>
              <w:rPr>
                <w:noProof/>
                <w:webHidden/>
              </w:rPr>
              <w:fldChar w:fldCharType="separate"/>
            </w:r>
            <w:r>
              <w:rPr>
                <w:noProof/>
                <w:webHidden/>
              </w:rPr>
              <w:t>6</w:t>
            </w:r>
            <w:r>
              <w:rPr>
                <w:noProof/>
                <w:webHidden/>
              </w:rPr>
              <w:fldChar w:fldCharType="end"/>
            </w:r>
          </w:hyperlink>
        </w:p>
        <w:p w14:paraId="2D20151D" w14:textId="2B9AED9C"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08" w:history="1">
            <w:r w:rsidRPr="000A4241">
              <w:rPr>
                <w:rStyle w:val="Hyperlink"/>
                <w:noProof/>
              </w:rPr>
              <w:t>Restatements</w:t>
            </w:r>
            <w:r>
              <w:rPr>
                <w:noProof/>
                <w:webHidden/>
              </w:rPr>
              <w:tab/>
            </w:r>
            <w:r>
              <w:rPr>
                <w:noProof/>
                <w:webHidden/>
              </w:rPr>
              <w:fldChar w:fldCharType="begin"/>
            </w:r>
            <w:r>
              <w:rPr>
                <w:noProof/>
                <w:webHidden/>
              </w:rPr>
              <w:instrText xml:space="preserve"> PAGEREF _Toc187249908 \h </w:instrText>
            </w:r>
            <w:r>
              <w:rPr>
                <w:noProof/>
                <w:webHidden/>
              </w:rPr>
            </w:r>
            <w:r>
              <w:rPr>
                <w:noProof/>
                <w:webHidden/>
              </w:rPr>
              <w:fldChar w:fldCharType="separate"/>
            </w:r>
            <w:r>
              <w:rPr>
                <w:noProof/>
                <w:webHidden/>
              </w:rPr>
              <w:t>7</w:t>
            </w:r>
            <w:r>
              <w:rPr>
                <w:noProof/>
                <w:webHidden/>
              </w:rPr>
              <w:fldChar w:fldCharType="end"/>
            </w:r>
          </w:hyperlink>
        </w:p>
        <w:p w14:paraId="42D6BC39" w14:textId="427F0A46"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09" w:history="1">
            <w:r w:rsidRPr="000A4241">
              <w:rPr>
                <w:rStyle w:val="Hyperlink"/>
                <w:noProof/>
              </w:rPr>
              <w:t>Rules of Evidence and Procedure</w:t>
            </w:r>
            <w:r>
              <w:rPr>
                <w:noProof/>
                <w:webHidden/>
              </w:rPr>
              <w:tab/>
            </w:r>
            <w:r>
              <w:rPr>
                <w:noProof/>
                <w:webHidden/>
              </w:rPr>
              <w:fldChar w:fldCharType="begin"/>
            </w:r>
            <w:r>
              <w:rPr>
                <w:noProof/>
                <w:webHidden/>
              </w:rPr>
              <w:instrText xml:space="preserve"> PAGEREF _Toc187249909 \h </w:instrText>
            </w:r>
            <w:r>
              <w:rPr>
                <w:noProof/>
                <w:webHidden/>
              </w:rPr>
            </w:r>
            <w:r>
              <w:rPr>
                <w:noProof/>
                <w:webHidden/>
              </w:rPr>
              <w:fldChar w:fldCharType="separate"/>
            </w:r>
            <w:r>
              <w:rPr>
                <w:noProof/>
                <w:webHidden/>
              </w:rPr>
              <w:t>7</w:t>
            </w:r>
            <w:r>
              <w:rPr>
                <w:noProof/>
                <w:webHidden/>
              </w:rPr>
              <w:fldChar w:fldCharType="end"/>
            </w:r>
          </w:hyperlink>
        </w:p>
        <w:p w14:paraId="42FFA382" w14:textId="3620B640"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10" w:history="1">
            <w:r w:rsidRPr="000A4241">
              <w:rPr>
                <w:rStyle w:val="Hyperlink"/>
                <w:noProof/>
              </w:rPr>
              <w:t>Statutes</w:t>
            </w:r>
            <w:r>
              <w:rPr>
                <w:noProof/>
                <w:webHidden/>
              </w:rPr>
              <w:tab/>
            </w:r>
            <w:r>
              <w:rPr>
                <w:noProof/>
                <w:webHidden/>
              </w:rPr>
              <w:fldChar w:fldCharType="begin"/>
            </w:r>
            <w:r>
              <w:rPr>
                <w:noProof/>
                <w:webHidden/>
              </w:rPr>
              <w:instrText xml:space="preserve"> PAGEREF _Toc187249910 \h </w:instrText>
            </w:r>
            <w:r>
              <w:rPr>
                <w:noProof/>
                <w:webHidden/>
              </w:rPr>
            </w:r>
            <w:r>
              <w:rPr>
                <w:noProof/>
                <w:webHidden/>
              </w:rPr>
              <w:fldChar w:fldCharType="separate"/>
            </w:r>
            <w:r>
              <w:rPr>
                <w:noProof/>
                <w:webHidden/>
              </w:rPr>
              <w:t>7</w:t>
            </w:r>
            <w:r>
              <w:rPr>
                <w:noProof/>
                <w:webHidden/>
              </w:rPr>
              <w:fldChar w:fldCharType="end"/>
            </w:r>
          </w:hyperlink>
        </w:p>
        <w:p w14:paraId="64309308" w14:textId="04F611E4"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11" w:history="1">
            <w:r w:rsidRPr="000A4241">
              <w:rPr>
                <w:rStyle w:val="Hyperlink"/>
                <w:noProof/>
              </w:rPr>
              <w:t>United States Code</w:t>
            </w:r>
            <w:r>
              <w:rPr>
                <w:noProof/>
                <w:webHidden/>
              </w:rPr>
              <w:tab/>
            </w:r>
            <w:r>
              <w:rPr>
                <w:noProof/>
                <w:webHidden/>
              </w:rPr>
              <w:fldChar w:fldCharType="begin"/>
            </w:r>
            <w:r>
              <w:rPr>
                <w:noProof/>
                <w:webHidden/>
              </w:rPr>
              <w:instrText xml:space="preserve"> PAGEREF _Toc187249911 \h </w:instrText>
            </w:r>
            <w:r>
              <w:rPr>
                <w:noProof/>
                <w:webHidden/>
              </w:rPr>
            </w:r>
            <w:r>
              <w:rPr>
                <w:noProof/>
                <w:webHidden/>
              </w:rPr>
              <w:fldChar w:fldCharType="separate"/>
            </w:r>
            <w:r>
              <w:rPr>
                <w:noProof/>
                <w:webHidden/>
              </w:rPr>
              <w:t>7</w:t>
            </w:r>
            <w:r>
              <w:rPr>
                <w:noProof/>
                <w:webHidden/>
              </w:rPr>
              <w:fldChar w:fldCharType="end"/>
            </w:r>
          </w:hyperlink>
        </w:p>
        <w:p w14:paraId="36858DD2" w14:textId="74DEFAFE"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12" w:history="1">
            <w:r w:rsidRPr="000A4241">
              <w:rPr>
                <w:rStyle w:val="Hyperlink"/>
                <w:noProof/>
              </w:rPr>
              <w:t>Georgia (U.S.)</w:t>
            </w:r>
            <w:r>
              <w:rPr>
                <w:noProof/>
                <w:webHidden/>
              </w:rPr>
              <w:tab/>
            </w:r>
            <w:r>
              <w:rPr>
                <w:noProof/>
                <w:webHidden/>
              </w:rPr>
              <w:fldChar w:fldCharType="begin"/>
            </w:r>
            <w:r>
              <w:rPr>
                <w:noProof/>
                <w:webHidden/>
              </w:rPr>
              <w:instrText xml:space="preserve"> PAGEREF _Toc187249912 \h </w:instrText>
            </w:r>
            <w:r>
              <w:rPr>
                <w:noProof/>
                <w:webHidden/>
              </w:rPr>
            </w:r>
            <w:r>
              <w:rPr>
                <w:noProof/>
                <w:webHidden/>
              </w:rPr>
              <w:fldChar w:fldCharType="separate"/>
            </w:r>
            <w:r>
              <w:rPr>
                <w:noProof/>
                <w:webHidden/>
              </w:rPr>
              <w:t>7</w:t>
            </w:r>
            <w:r>
              <w:rPr>
                <w:noProof/>
                <w:webHidden/>
              </w:rPr>
              <w:fldChar w:fldCharType="end"/>
            </w:r>
          </w:hyperlink>
        </w:p>
        <w:p w14:paraId="3C9E8B0E" w14:textId="0540126E"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13" w:history="1">
            <w:r w:rsidRPr="000A4241">
              <w:rPr>
                <w:rStyle w:val="Hyperlink"/>
                <w:noProof/>
              </w:rPr>
              <w:t>Session laws amending prior acts.</w:t>
            </w:r>
            <w:r>
              <w:rPr>
                <w:noProof/>
                <w:webHidden/>
              </w:rPr>
              <w:tab/>
            </w:r>
            <w:r>
              <w:rPr>
                <w:noProof/>
                <w:webHidden/>
              </w:rPr>
              <w:fldChar w:fldCharType="begin"/>
            </w:r>
            <w:r>
              <w:rPr>
                <w:noProof/>
                <w:webHidden/>
              </w:rPr>
              <w:instrText xml:space="preserve"> PAGEREF _Toc187249913 \h </w:instrText>
            </w:r>
            <w:r>
              <w:rPr>
                <w:noProof/>
                <w:webHidden/>
              </w:rPr>
            </w:r>
            <w:r>
              <w:rPr>
                <w:noProof/>
                <w:webHidden/>
              </w:rPr>
              <w:fldChar w:fldCharType="separate"/>
            </w:r>
            <w:r>
              <w:rPr>
                <w:noProof/>
                <w:webHidden/>
              </w:rPr>
              <w:t>7</w:t>
            </w:r>
            <w:r>
              <w:rPr>
                <w:noProof/>
                <w:webHidden/>
              </w:rPr>
              <w:fldChar w:fldCharType="end"/>
            </w:r>
          </w:hyperlink>
        </w:p>
        <w:p w14:paraId="294962CB" w14:textId="1B31A998"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14" w:history="1">
            <w:r w:rsidRPr="000A4241">
              <w:rPr>
                <w:rStyle w:val="Hyperlink"/>
                <w:noProof/>
              </w:rPr>
              <w:t>Ordinances</w:t>
            </w:r>
            <w:r>
              <w:rPr>
                <w:noProof/>
                <w:webHidden/>
              </w:rPr>
              <w:tab/>
            </w:r>
            <w:r>
              <w:rPr>
                <w:noProof/>
                <w:webHidden/>
              </w:rPr>
              <w:fldChar w:fldCharType="begin"/>
            </w:r>
            <w:r>
              <w:rPr>
                <w:noProof/>
                <w:webHidden/>
              </w:rPr>
              <w:instrText xml:space="preserve"> PAGEREF _Toc187249914 \h </w:instrText>
            </w:r>
            <w:r>
              <w:rPr>
                <w:noProof/>
                <w:webHidden/>
              </w:rPr>
            </w:r>
            <w:r>
              <w:rPr>
                <w:noProof/>
                <w:webHidden/>
              </w:rPr>
              <w:fldChar w:fldCharType="separate"/>
            </w:r>
            <w:r>
              <w:rPr>
                <w:noProof/>
                <w:webHidden/>
              </w:rPr>
              <w:t>8</w:t>
            </w:r>
            <w:r>
              <w:rPr>
                <w:noProof/>
                <w:webHidden/>
              </w:rPr>
              <w:fldChar w:fldCharType="end"/>
            </w:r>
          </w:hyperlink>
        </w:p>
        <w:p w14:paraId="7F5FBCE4" w14:textId="11056782"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15" w:history="1">
            <w:r w:rsidRPr="000A4241">
              <w:rPr>
                <w:rStyle w:val="Hyperlink"/>
                <w:noProof/>
              </w:rPr>
              <w:t>Bylaws</w:t>
            </w:r>
            <w:r>
              <w:rPr>
                <w:noProof/>
                <w:webHidden/>
              </w:rPr>
              <w:tab/>
            </w:r>
            <w:r>
              <w:rPr>
                <w:noProof/>
                <w:webHidden/>
              </w:rPr>
              <w:fldChar w:fldCharType="begin"/>
            </w:r>
            <w:r>
              <w:rPr>
                <w:noProof/>
                <w:webHidden/>
              </w:rPr>
              <w:instrText xml:space="preserve"> PAGEREF _Toc187249915 \h </w:instrText>
            </w:r>
            <w:r>
              <w:rPr>
                <w:noProof/>
                <w:webHidden/>
              </w:rPr>
            </w:r>
            <w:r>
              <w:rPr>
                <w:noProof/>
                <w:webHidden/>
              </w:rPr>
              <w:fldChar w:fldCharType="separate"/>
            </w:r>
            <w:r>
              <w:rPr>
                <w:noProof/>
                <w:webHidden/>
              </w:rPr>
              <w:t>8</w:t>
            </w:r>
            <w:r>
              <w:rPr>
                <w:noProof/>
                <w:webHidden/>
              </w:rPr>
              <w:fldChar w:fldCharType="end"/>
            </w:r>
          </w:hyperlink>
        </w:p>
        <w:p w14:paraId="16DE6B0B" w14:textId="3B0EAF75"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16" w:history="1">
            <w:r w:rsidRPr="000A4241">
              <w:rPr>
                <w:rStyle w:val="Hyperlink"/>
                <w:noProof/>
              </w:rPr>
              <w:t>Motorsports</w:t>
            </w:r>
            <w:r>
              <w:rPr>
                <w:noProof/>
                <w:webHidden/>
              </w:rPr>
              <w:tab/>
            </w:r>
            <w:r>
              <w:rPr>
                <w:noProof/>
                <w:webHidden/>
              </w:rPr>
              <w:fldChar w:fldCharType="begin"/>
            </w:r>
            <w:r>
              <w:rPr>
                <w:noProof/>
                <w:webHidden/>
              </w:rPr>
              <w:instrText xml:space="preserve"> PAGEREF _Toc187249916 \h </w:instrText>
            </w:r>
            <w:r>
              <w:rPr>
                <w:noProof/>
                <w:webHidden/>
              </w:rPr>
            </w:r>
            <w:r>
              <w:rPr>
                <w:noProof/>
                <w:webHidden/>
              </w:rPr>
              <w:fldChar w:fldCharType="separate"/>
            </w:r>
            <w:r>
              <w:rPr>
                <w:noProof/>
                <w:webHidden/>
              </w:rPr>
              <w:t>8</w:t>
            </w:r>
            <w:r>
              <w:rPr>
                <w:noProof/>
                <w:webHidden/>
              </w:rPr>
              <w:fldChar w:fldCharType="end"/>
            </w:r>
          </w:hyperlink>
        </w:p>
        <w:p w14:paraId="6DBD5458" w14:textId="46CE7D10" w:rsidR="00065F6E" w:rsidRDefault="00065F6E">
          <w:pPr>
            <w:pStyle w:val="TOC1"/>
            <w:tabs>
              <w:tab w:val="right" w:leader="dot" w:pos="9350"/>
            </w:tabs>
            <w:rPr>
              <w:rFonts w:eastAsiaTheme="minorEastAsia" w:cstheme="minorBidi"/>
              <w:b w:val="0"/>
              <w:bCs w:val="0"/>
              <w:i w:val="0"/>
              <w:iCs w:val="0"/>
              <w:noProof/>
              <w:kern w:val="2"/>
              <w14:ligatures w14:val="standardContextual"/>
            </w:rPr>
          </w:pPr>
          <w:hyperlink w:anchor="_Toc187249917" w:history="1">
            <w:r w:rsidRPr="000A4241">
              <w:rPr>
                <w:rStyle w:val="Hyperlink"/>
                <w:noProof/>
              </w:rPr>
              <w:t>Drafting</w:t>
            </w:r>
            <w:r>
              <w:rPr>
                <w:noProof/>
                <w:webHidden/>
              </w:rPr>
              <w:tab/>
            </w:r>
            <w:r>
              <w:rPr>
                <w:noProof/>
                <w:webHidden/>
              </w:rPr>
              <w:fldChar w:fldCharType="begin"/>
            </w:r>
            <w:r>
              <w:rPr>
                <w:noProof/>
                <w:webHidden/>
              </w:rPr>
              <w:instrText xml:space="preserve"> PAGEREF _Toc187249917 \h </w:instrText>
            </w:r>
            <w:r>
              <w:rPr>
                <w:noProof/>
                <w:webHidden/>
              </w:rPr>
            </w:r>
            <w:r>
              <w:rPr>
                <w:noProof/>
                <w:webHidden/>
              </w:rPr>
              <w:fldChar w:fldCharType="separate"/>
            </w:r>
            <w:r>
              <w:rPr>
                <w:noProof/>
                <w:webHidden/>
              </w:rPr>
              <w:t>8</w:t>
            </w:r>
            <w:r>
              <w:rPr>
                <w:noProof/>
                <w:webHidden/>
              </w:rPr>
              <w:fldChar w:fldCharType="end"/>
            </w:r>
          </w:hyperlink>
        </w:p>
        <w:p w14:paraId="13599B86" w14:textId="5BB6D47F" w:rsidR="00065F6E" w:rsidRDefault="00065F6E">
          <w:pPr>
            <w:pStyle w:val="TOC3"/>
            <w:tabs>
              <w:tab w:val="right" w:leader="dot" w:pos="9350"/>
            </w:tabs>
            <w:rPr>
              <w:rFonts w:eastAsiaTheme="minorEastAsia" w:cstheme="minorBidi"/>
              <w:noProof/>
              <w:kern w:val="2"/>
              <w:sz w:val="24"/>
              <w:szCs w:val="24"/>
              <w14:ligatures w14:val="standardContextual"/>
            </w:rPr>
          </w:pPr>
          <w:hyperlink w:anchor="_Toc187249918" w:history="1">
            <w:r w:rsidRPr="000A4241">
              <w:rPr>
                <w:rStyle w:val="Hyperlink"/>
                <w:noProof/>
              </w:rPr>
              <w:t>Vernacular and Usage</w:t>
            </w:r>
            <w:r>
              <w:rPr>
                <w:noProof/>
                <w:webHidden/>
              </w:rPr>
              <w:tab/>
            </w:r>
            <w:r>
              <w:rPr>
                <w:noProof/>
                <w:webHidden/>
              </w:rPr>
              <w:fldChar w:fldCharType="begin"/>
            </w:r>
            <w:r>
              <w:rPr>
                <w:noProof/>
                <w:webHidden/>
              </w:rPr>
              <w:instrText xml:space="preserve"> PAGEREF _Toc187249918 \h </w:instrText>
            </w:r>
            <w:r>
              <w:rPr>
                <w:noProof/>
                <w:webHidden/>
              </w:rPr>
            </w:r>
            <w:r>
              <w:rPr>
                <w:noProof/>
                <w:webHidden/>
              </w:rPr>
              <w:fldChar w:fldCharType="separate"/>
            </w:r>
            <w:r>
              <w:rPr>
                <w:noProof/>
                <w:webHidden/>
              </w:rPr>
              <w:t>8</w:t>
            </w:r>
            <w:r>
              <w:rPr>
                <w:noProof/>
                <w:webHidden/>
              </w:rPr>
              <w:fldChar w:fldCharType="end"/>
            </w:r>
          </w:hyperlink>
        </w:p>
        <w:p w14:paraId="6FB01834" w14:textId="75239259" w:rsidR="00065F6E" w:rsidRDefault="00065F6E">
          <w:pPr>
            <w:pStyle w:val="TOC1"/>
            <w:tabs>
              <w:tab w:val="right" w:leader="dot" w:pos="9350"/>
            </w:tabs>
            <w:rPr>
              <w:rFonts w:eastAsiaTheme="minorEastAsia" w:cstheme="minorBidi"/>
              <w:b w:val="0"/>
              <w:bCs w:val="0"/>
              <w:i w:val="0"/>
              <w:iCs w:val="0"/>
              <w:noProof/>
              <w:kern w:val="2"/>
              <w14:ligatures w14:val="standardContextual"/>
            </w:rPr>
          </w:pPr>
          <w:hyperlink w:anchor="_Toc187249919" w:history="1">
            <w:r w:rsidRPr="000A4241">
              <w:rPr>
                <w:rStyle w:val="Hyperlink"/>
                <w:noProof/>
              </w:rPr>
              <w:t>Formatting and Punctuation</w:t>
            </w:r>
            <w:r>
              <w:rPr>
                <w:noProof/>
                <w:webHidden/>
              </w:rPr>
              <w:tab/>
            </w:r>
            <w:r>
              <w:rPr>
                <w:noProof/>
                <w:webHidden/>
              </w:rPr>
              <w:fldChar w:fldCharType="begin"/>
            </w:r>
            <w:r>
              <w:rPr>
                <w:noProof/>
                <w:webHidden/>
              </w:rPr>
              <w:instrText xml:space="preserve"> PAGEREF _Toc187249919 \h </w:instrText>
            </w:r>
            <w:r>
              <w:rPr>
                <w:noProof/>
                <w:webHidden/>
              </w:rPr>
            </w:r>
            <w:r>
              <w:rPr>
                <w:noProof/>
                <w:webHidden/>
              </w:rPr>
              <w:fldChar w:fldCharType="separate"/>
            </w:r>
            <w:r>
              <w:rPr>
                <w:noProof/>
                <w:webHidden/>
              </w:rPr>
              <w:t>9</w:t>
            </w:r>
            <w:r>
              <w:rPr>
                <w:noProof/>
                <w:webHidden/>
              </w:rPr>
              <w:fldChar w:fldCharType="end"/>
            </w:r>
          </w:hyperlink>
        </w:p>
        <w:p w14:paraId="519D6964" w14:textId="5622FEB6" w:rsidR="00065F6E" w:rsidRDefault="00065F6E">
          <w:pPr>
            <w:pStyle w:val="TOC1"/>
            <w:tabs>
              <w:tab w:val="right" w:leader="dot" w:pos="9350"/>
            </w:tabs>
            <w:rPr>
              <w:rFonts w:eastAsiaTheme="minorEastAsia" w:cstheme="minorBidi"/>
              <w:b w:val="0"/>
              <w:bCs w:val="0"/>
              <w:i w:val="0"/>
              <w:iCs w:val="0"/>
              <w:noProof/>
              <w:kern w:val="2"/>
              <w14:ligatures w14:val="standardContextual"/>
            </w:rPr>
          </w:pPr>
          <w:hyperlink w:anchor="_Toc187249920" w:history="1">
            <w:r w:rsidRPr="000A4241">
              <w:rPr>
                <w:rStyle w:val="Hyperlink"/>
                <w:noProof/>
              </w:rPr>
              <w:t>Terminology, Acronyms, and Preferred Word Choices</w:t>
            </w:r>
            <w:r>
              <w:rPr>
                <w:noProof/>
                <w:webHidden/>
              </w:rPr>
              <w:tab/>
            </w:r>
            <w:r>
              <w:rPr>
                <w:noProof/>
                <w:webHidden/>
              </w:rPr>
              <w:fldChar w:fldCharType="begin"/>
            </w:r>
            <w:r>
              <w:rPr>
                <w:noProof/>
                <w:webHidden/>
              </w:rPr>
              <w:instrText xml:space="preserve"> PAGEREF _Toc187249920 \h </w:instrText>
            </w:r>
            <w:r>
              <w:rPr>
                <w:noProof/>
                <w:webHidden/>
              </w:rPr>
            </w:r>
            <w:r>
              <w:rPr>
                <w:noProof/>
                <w:webHidden/>
              </w:rPr>
              <w:fldChar w:fldCharType="separate"/>
            </w:r>
            <w:r>
              <w:rPr>
                <w:noProof/>
                <w:webHidden/>
              </w:rPr>
              <w:t>10</w:t>
            </w:r>
            <w:r>
              <w:rPr>
                <w:noProof/>
                <w:webHidden/>
              </w:rPr>
              <w:fldChar w:fldCharType="end"/>
            </w:r>
          </w:hyperlink>
        </w:p>
        <w:p w14:paraId="1EE10DC0" w14:textId="4B47EC0B" w:rsidR="00065F6E" w:rsidRDefault="00065F6E">
          <w:pPr>
            <w:pStyle w:val="TOC2"/>
            <w:tabs>
              <w:tab w:val="right" w:leader="dot" w:pos="9350"/>
            </w:tabs>
            <w:rPr>
              <w:rFonts w:eastAsiaTheme="minorEastAsia" w:cstheme="minorBidi"/>
              <w:i w:val="0"/>
              <w:iCs w:val="0"/>
              <w:noProof/>
              <w:kern w:val="2"/>
              <w:sz w:val="24"/>
              <w:szCs w:val="24"/>
              <w14:ligatures w14:val="standardContextual"/>
            </w:rPr>
          </w:pPr>
          <w:hyperlink w:anchor="_Toc187249921" w:history="1">
            <w:r w:rsidRPr="000A4241">
              <w:rPr>
                <w:rStyle w:val="Hyperlink"/>
                <w:noProof/>
              </w:rPr>
              <w:t>Words that are not real</w:t>
            </w:r>
            <w:r>
              <w:rPr>
                <w:noProof/>
                <w:webHidden/>
              </w:rPr>
              <w:tab/>
            </w:r>
            <w:r>
              <w:rPr>
                <w:noProof/>
                <w:webHidden/>
              </w:rPr>
              <w:fldChar w:fldCharType="begin"/>
            </w:r>
            <w:r>
              <w:rPr>
                <w:noProof/>
                <w:webHidden/>
              </w:rPr>
              <w:instrText xml:space="preserve"> PAGEREF _Toc187249921 \h </w:instrText>
            </w:r>
            <w:r>
              <w:rPr>
                <w:noProof/>
                <w:webHidden/>
              </w:rPr>
            </w:r>
            <w:r>
              <w:rPr>
                <w:noProof/>
                <w:webHidden/>
              </w:rPr>
              <w:fldChar w:fldCharType="separate"/>
            </w:r>
            <w:r>
              <w:rPr>
                <w:noProof/>
                <w:webHidden/>
              </w:rPr>
              <w:t>22</w:t>
            </w:r>
            <w:r>
              <w:rPr>
                <w:noProof/>
                <w:webHidden/>
              </w:rPr>
              <w:fldChar w:fldCharType="end"/>
            </w:r>
          </w:hyperlink>
        </w:p>
        <w:p w14:paraId="580FDDE1" w14:textId="3AD95239" w:rsidR="009B67C3" w:rsidRDefault="009B67C3">
          <w:r>
            <w:rPr>
              <w:b/>
              <w:bCs/>
              <w:noProof/>
            </w:rPr>
            <w:fldChar w:fldCharType="end"/>
          </w:r>
        </w:p>
      </w:sdtContent>
    </w:sdt>
    <w:p w14:paraId="30117CDD" w14:textId="4C6EAC0A" w:rsidR="007E2663" w:rsidRDefault="007E2663" w:rsidP="007E2663">
      <w:pPr>
        <w:jc w:val="center"/>
      </w:pPr>
      <w:r>
        <w:br w:type="page"/>
      </w:r>
    </w:p>
    <w:p w14:paraId="6A52B61B" w14:textId="142F0D2B" w:rsidR="00042DE6" w:rsidRDefault="00042DE6">
      <w:pPr>
        <w:rPr>
          <w:b/>
          <w:bCs/>
        </w:rPr>
      </w:pPr>
    </w:p>
    <w:p w14:paraId="6C18D75A" w14:textId="1C3D1310" w:rsidR="0036369F" w:rsidRDefault="0036369F" w:rsidP="0036369F">
      <w:pPr>
        <w:pStyle w:val="Heading1"/>
      </w:pPr>
      <w:bookmarkStart w:id="2" w:name="_Toc80800011"/>
      <w:bookmarkStart w:id="3" w:name="_Toc187249884"/>
      <w:r>
        <w:t>Citations</w:t>
      </w:r>
      <w:bookmarkEnd w:id="2"/>
      <w:bookmarkEnd w:id="3"/>
    </w:p>
    <w:p w14:paraId="389300AF" w14:textId="55757AAF" w:rsidR="008459A2" w:rsidRDefault="008459A2" w:rsidP="008459A2">
      <w:pPr>
        <w:pStyle w:val="Heading2"/>
      </w:pPr>
      <w:bookmarkStart w:id="4" w:name="_Toc80800012"/>
      <w:bookmarkStart w:id="5" w:name="_Toc187249885"/>
      <w:r>
        <w:t>Abbreviations</w:t>
      </w:r>
      <w:bookmarkEnd w:id="4"/>
      <w:bookmarkEnd w:id="5"/>
    </w:p>
    <w:p w14:paraId="6599B187" w14:textId="77116F7A" w:rsidR="008459A2" w:rsidRDefault="00733058" w:rsidP="00FC343F">
      <w:pPr>
        <w:pStyle w:val="Heading3"/>
      </w:pPr>
      <w:bookmarkStart w:id="6" w:name="_Toc80800013"/>
      <w:bookmarkStart w:id="7" w:name="_Toc187249886"/>
      <w:r>
        <w:t>Months</w:t>
      </w:r>
      <w:bookmarkEnd w:id="6"/>
      <w:bookmarkEnd w:id="7"/>
    </w:p>
    <w:tbl>
      <w:tblPr>
        <w:tblStyle w:val="TableGrid"/>
        <w:tblW w:w="0" w:type="auto"/>
        <w:tblLook w:val="04A0" w:firstRow="1" w:lastRow="0" w:firstColumn="1" w:lastColumn="0" w:noHBand="0" w:noVBand="1"/>
      </w:tblPr>
      <w:tblGrid>
        <w:gridCol w:w="2515"/>
        <w:gridCol w:w="1710"/>
      </w:tblGrid>
      <w:tr w:rsidR="00EF2FC9" w14:paraId="0CCD4A66" w14:textId="77777777" w:rsidTr="00FC343F">
        <w:tc>
          <w:tcPr>
            <w:tcW w:w="2515" w:type="dxa"/>
          </w:tcPr>
          <w:p w14:paraId="5DF38FC5" w14:textId="39A760A8" w:rsidR="00EF2FC9" w:rsidRDefault="00EF2FC9" w:rsidP="008459A2">
            <w:r>
              <w:t>January</w:t>
            </w:r>
          </w:p>
        </w:tc>
        <w:tc>
          <w:tcPr>
            <w:tcW w:w="1710" w:type="dxa"/>
          </w:tcPr>
          <w:p w14:paraId="63DF6908" w14:textId="79C095AF" w:rsidR="00EF2FC9" w:rsidRDefault="00EF2FC9" w:rsidP="008459A2">
            <w:r>
              <w:t>Jan.</w:t>
            </w:r>
          </w:p>
        </w:tc>
      </w:tr>
      <w:tr w:rsidR="00EF2FC9" w14:paraId="168C7F0B" w14:textId="77777777" w:rsidTr="00FC343F">
        <w:tc>
          <w:tcPr>
            <w:tcW w:w="2515" w:type="dxa"/>
          </w:tcPr>
          <w:p w14:paraId="3AABF383" w14:textId="55356753" w:rsidR="00EF2FC9" w:rsidRDefault="00EF2FC9" w:rsidP="008459A2">
            <w:r>
              <w:t>February</w:t>
            </w:r>
          </w:p>
        </w:tc>
        <w:tc>
          <w:tcPr>
            <w:tcW w:w="1710" w:type="dxa"/>
          </w:tcPr>
          <w:p w14:paraId="71A9B4DD" w14:textId="760B2C7C" w:rsidR="00EF2FC9" w:rsidRDefault="00EF2FC9" w:rsidP="008459A2">
            <w:r>
              <w:t>Feb.</w:t>
            </w:r>
          </w:p>
        </w:tc>
      </w:tr>
      <w:tr w:rsidR="00EF2FC9" w14:paraId="4C74709B" w14:textId="77777777" w:rsidTr="00FC343F">
        <w:tc>
          <w:tcPr>
            <w:tcW w:w="2515" w:type="dxa"/>
          </w:tcPr>
          <w:p w14:paraId="26F28D1C" w14:textId="06082484" w:rsidR="00EF2FC9" w:rsidRDefault="00EF2FC9" w:rsidP="008459A2">
            <w:r>
              <w:t>March</w:t>
            </w:r>
          </w:p>
        </w:tc>
        <w:tc>
          <w:tcPr>
            <w:tcW w:w="1710" w:type="dxa"/>
          </w:tcPr>
          <w:p w14:paraId="421C22EB" w14:textId="05B646B0" w:rsidR="00EF2FC9" w:rsidRDefault="00EF2FC9" w:rsidP="008459A2">
            <w:r>
              <w:t>Mar.</w:t>
            </w:r>
          </w:p>
        </w:tc>
      </w:tr>
      <w:tr w:rsidR="00EF2FC9" w14:paraId="1B2E1242" w14:textId="77777777" w:rsidTr="00FC343F">
        <w:tc>
          <w:tcPr>
            <w:tcW w:w="2515" w:type="dxa"/>
          </w:tcPr>
          <w:p w14:paraId="2A10BEFB" w14:textId="67035EEB" w:rsidR="00EF2FC9" w:rsidRDefault="00EF2FC9" w:rsidP="008459A2">
            <w:r>
              <w:t>April</w:t>
            </w:r>
          </w:p>
        </w:tc>
        <w:tc>
          <w:tcPr>
            <w:tcW w:w="1710" w:type="dxa"/>
          </w:tcPr>
          <w:p w14:paraId="5F7B6066" w14:textId="3BAA1CE4" w:rsidR="00EF2FC9" w:rsidRDefault="00EF2FC9" w:rsidP="008459A2">
            <w:r>
              <w:t>Apr.</w:t>
            </w:r>
          </w:p>
        </w:tc>
      </w:tr>
      <w:tr w:rsidR="00EF2FC9" w14:paraId="13316BA5" w14:textId="77777777" w:rsidTr="00FC343F">
        <w:tc>
          <w:tcPr>
            <w:tcW w:w="2515" w:type="dxa"/>
          </w:tcPr>
          <w:p w14:paraId="517F225A" w14:textId="0A51FB2B" w:rsidR="00EF2FC9" w:rsidRDefault="00EF2FC9" w:rsidP="008459A2">
            <w:r>
              <w:t>May</w:t>
            </w:r>
          </w:p>
        </w:tc>
        <w:tc>
          <w:tcPr>
            <w:tcW w:w="1710" w:type="dxa"/>
          </w:tcPr>
          <w:p w14:paraId="1555AF43" w14:textId="3A87919E" w:rsidR="00EF2FC9" w:rsidRDefault="00EF2FC9" w:rsidP="008459A2">
            <w:r>
              <w:t>May</w:t>
            </w:r>
          </w:p>
        </w:tc>
      </w:tr>
      <w:tr w:rsidR="00EF2FC9" w14:paraId="42424046" w14:textId="77777777" w:rsidTr="00FC343F">
        <w:tc>
          <w:tcPr>
            <w:tcW w:w="2515" w:type="dxa"/>
          </w:tcPr>
          <w:p w14:paraId="69FB454C" w14:textId="4552A20B" w:rsidR="00EF2FC9" w:rsidRDefault="00EF2FC9" w:rsidP="008459A2">
            <w:r>
              <w:t>June</w:t>
            </w:r>
          </w:p>
        </w:tc>
        <w:tc>
          <w:tcPr>
            <w:tcW w:w="1710" w:type="dxa"/>
          </w:tcPr>
          <w:p w14:paraId="679E62D4" w14:textId="0D34D218" w:rsidR="00EF2FC9" w:rsidRDefault="00EF2FC9" w:rsidP="008459A2">
            <w:r>
              <w:t>June</w:t>
            </w:r>
          </w:p>
        </w:tc>
      </w:tr>
      <w:tr w:rsidR="00EF2FC9" w14:paraId="44E773F4" w14:textId="77777777" w:rsidTr="00FC343F">
        <w:tc>
          <w:tcPr>
            <w:tcW w:w="2515" w:type="dxa"/>
          </w:tcPr>
          <w:p w14:paraId="02A88E6E" w14:textId="537FDFD0" w:rsidR="00EF2FC9" w:rsidRDefault="00EF2FC9" w:rsidP="008459A2">
            <w:r>
              <w:t>July</w:t>
            </w:r>
          </w:p>
        </w:tc>
        <w:tc>
          <w:tcPr>
            <w:tcW w:w="1710" w:type="dxa"/>
          </w:tcPr>
          <w:p w14:paraId="176CD300" w14:textId="62228366" w:rsidR="00EF2FC9" w:rsidRDefault="00EF2FC9" w:rsidP="008459A2">
            <w:r>
              <w:t>July</w:t>
            </w:r>
          </w:p>
        </w:tc>
      </w:tr>
      <w:tr w:rsidR="00EF2FC9" w14:paraId="57BAD15B" w14:textId="77777777" w:rsidTr="00FC343F">
        <w:tc>
          <w:tcPr>
            <w:tcW w:w="2515" w:type="dxa"/>
          </w:tcPr>
          <w:p w14:paraId="7E583705" w14:textId="7DD7B3F6" w:rsidR="00EF2FC9" w:rsidRDefault="00EF2FC9" w:rsidP="008459A2">
            <w:r>
              <w:t>August</w:t>
            </w:r>
          </w:p>
        </w:tc>
        <w:tc>
          <w:tcPr>
            <w:tcW w:w="1710" w:type="dxa"/>
          </w:tcPr>
          <w:p w14:paraId="1943C3CA" w14:textId="0CC82C6C" w:rsidR="00EF2FC9" w:rsidRDefault="00EF2FC9" w:rsidP="008459A2">
            <w:r>
              <w:t>Aug.</w:t>
            </w:r>
          </w:p>
        </w:tc>
      </w:tr>
      <w:tr w:rsidR="00EF2FC9" w14:paraId="7E2DA8C1" w14:textId="77777777" w:rsidTr="00FC343F">
        <w:tc>
          <w:tcPr>
            <w:tcW w:w="2515" w:type="dxa"/>
          </w:tcPr>
          <w:p w14:paraId="10E2AD16" w14:textId="7370F2BC" w:rsidR="00EF2FC9" w:rsidRDefault="00EF2FC9" w:rsidP="008459A2">
            <w:r>
              <w:t>September</w:t>
            </w:r>
          </w:p>
        </w:tc>
        <w:tc>
          <w:tcPr>
            <w:tcW w:w="1710" w:type="dxa"/>
          </w:tcPr>
          <w:p w14:paraId="6316D671" w14:textId="164C1678" w:rsidR="00EF2FC9" w:rsidRDefault="00EF2FC9" w:rsidP="008459A2">
            <w:r>
              <w:t>Sept.</w:t>
            </w:r>
          </w:p>
        </w:tc>
      </w:tr>
      <w:tr w:rsidR="00EF2FC9" w14:paraId="573B9BE5" w14:textId="77777777" w:rsidTr="00FC343F">
        <w:tc>
          <w:tcPr>
            <w:tcW w:w="2515" w:type="dxa"/>
          </w:tcPr>
          <w:p w14:paraId="2F48E884" w14:textId="61C9A8CF" w:rsidR="00EF2FC9" w:rsidRDefault="00EF2FC9" w:rsidP="008459A2">
            <w:r>
              <w:t>October</w:t>
            </w:r>
          </w:p>
        </w:tc>
        <w:tc>
          <w:tcPr>
            <w:tcW w:w="1710" w:type="dxa"/>
          </w:tcPr>
          <w:p w14:paraId="1B0CDB09" w14:textId="678975BF" w:rsidR="00EF2FC9" w:rsidRDefault="00EF2FC9" w:rsidP="008459A2">
            <w:r>
              <w:t>Oct.</w:t>
            </w:r>
          </w:p>
        </w:tc>
      </w:tr>
      <w:tr w:rsidR="00EF2FC9" w14:paraId="3CFB7C62" w14:textId="77777777" w:rsidTr="00FC343F">
        <w:tc>
          <w:tcPr>
            <w:tcW w:w="2515" w:type="dxa"/>
          </w:tcPr>
          <w:p w14:paraId="43F56B5A" w14:textId="6F5AB54F" w:rsidR="00EF2FC9" w:rsidRDefault="00EF2FC9" w:rsidP="008459A2">
            <w:r>
              <w:t>November</w:t>
            </w:r>
          </w:p>
        </w:tc>
        <w:tc>
          <w:tcPr>
            <w:tcW w:w="1710" w:type="dxa"/>
          </w:tcPr>
          <w:p w14:paraId="39243469" w14:textId="345D0E71" w:rsidR="00EF2FC9" w:rsidRDefault="00EF2FC9" w:rsidP="008459A2">
            <w:r>
              <w:t>Nov.</w:t>
            </w:r>
          </w:p>
        </w:tc>
      </w:tr>
      <w:tr w:rsidR="00EF2FC9" w14:paraId="7A1BE9DE" w14:textId="77777777" w:rsidTr="00FC343F">
        <w:tc>
          <w:tcPr>
            <w:tcW w:w="2515" w:type="dxa"/>
          </w:tcPr>
          <w:p w14:paraId="525B9B09" w14:textId="55C08456" w:rsidR="00EF2FC9" w:rsidRDefault="00EF2FC9" w:rsidP="008459A2">
            <w:r>
              <w:t>December</w:t>
            </w:r>
          </w:p>
        </w:tc>
        <w:tc>
          <w:tcPr>
            <w:tcW w:w="1710" w:type="dxa"/>
          </w:tcPr>
          <w:p w14:paraId="1F577B24" w14:textId="02DB9C4C" w:rsidR="00EF2FC9" w:rsidRDefault="00EF2FC9" w:rsidP="008459A2">
            <w:r>
              <w:t>Dec.</w:t>
            </w:r>
          </w:p>
        </w:tc>
      </w:tr>
    </w:tbl>
    <w:p w14:paraId="29F29AD4" w14:textId="694B60B3" w:rsidR="00733058" w:rsidRPr="00733058" w:rsidRDefault="00146B7D" w:rsidP="008459A2">
      <w:r w:rsidRPr="00755452">
        <w:rPr>
          <w:rStyle w:val="FootnoteReference"/>
        </w:rPr>
        <w:footnoteReference w:id="2"/>
      </w:r>
    </w:p>
    <w:p w14:paraId="2D69B6EB" w14:textId="172F52F4" w:rsidR="008459A2" w:rsidRDefault="008459A2" w:rsidP="008459A2"/>
    <w:p w14:paraId="0D8E1DEE" w14:textId="6D10C2CE" w:rsidR="00CC584A" w:rsidRDefault="00CC584A" w:rsidP="00CC584A">
      <w:pPr>
        <w:pStyle w:val="Heading2"/>
      </w:pPr>
      <w:bookmarkStart w:id="8" w:name="_Toc187249887"/>
      <w:r>
        <w:t>Books</w:t>
      </w:r>
      <w:bookmarkEnd w:id="8"/>
    </w:p>
    <w:p w14:paraId="370E408A" w14:textId="7FC4AD49" w:rsidR="00CC584A" w:rsidRDefault="00CC584A" w:rsidP="008459A2">
      <w:r>
        <w:rPr>
          <w:color w:val="000000"/>
          <w:sz w:val="20"/>
          <w:szCs w:val="20"/>
        </w:rPr>
        <w:t xml:space="preserve">Carl Vinson Institute of Government, </w:t>
      </w:r>
      <w:r>
        <w:rPr>
          <w:i/>
          <w:iCs/>
          <w:color w:val="000000"/>
          <w:sz w:val="20"/>
          <w:szCs w:val="20"/>
        </w:rPr>
        <w:t>Handbook for Georgia Legislators</w:t>
      </w:r>
      <w:r>
        <w:rPr>
          <w:color w:val="000000"/>
          <w:sz w:val="20"/>
          <w:szCs w:val="20"/>
        </w:rPr>
        <w:t xml:space="preserve"> 244 (15th ed. 2020).</w:t>
      </w:r>
    </w:p>
    <w:p w14:paraId="5D350F5B" w14:textId="77777777" w:rsidR="00CC584A" w:rsidRDefault="00CC584A" w:rsidP="008459A2"/>
    <w:p w14:paraId="2290C7E8" w14:textId="231D1987" w:rsidR="005E7F50" w:rsidRDefault="005E7F50" w:rsidP="00A67753">
      <w:pPr>
        <w:pStyle w:val="Heading2"/>
      </w:pPr>
      <w:bookmarkStart w:id="9" w:name="_Toc80800014"/>
      <w:bookmarkStart w:id="10" w:name="_Toc187249888"/>
      <w:r>
        <w:t>Cases</w:t>
      </w:r>
      <w:bookmarkEnd w:id="9"/>
      <w:bookmarkEnd w:id="10"/>
    </w:p>
    <w:p w14:paraId="3639D27A" w14:textId="77777777" w:rsidR="00D40AC7" w:rsidRDefault="00D40AC7" w:rsidP="00D40AC7"/>
    <w:p w14:paraId="38F27F4A" w14:textId="1D04BCF4" w:rsidR="00D40AC7" w:rsidRDefault="00D40AC7" w:rsidP="00A34ACA">
      <w:pPr>
        <w:pStyle w:val="Heading3"/>
      </w:pPr>
      <w:bookmarkStart w:id="11" w:name="_Toc187249889"/>
      <w:r>
        <w:t>Court documents</w:t>
      </w:r>
      <w:bookmarkEnd w:id="11"/>
    </w:p>
    <w:p w14:paraId="59D1A120" w14:textId="2E45B348" w:rsidR="00D40AC7" w:rsidRDefault="00D40AC7" w:rsidP="00D40AC7">
      <w:r>
        <w:t>Refer to BT1 (page 29 of th</w:t>
      </w:r>
      <w:r w:rsidR="00C37434">
        <w:t>e 20</w:t>
      </w:r>
      <w:r w:rsidR="00C37434" w:rsidRPr="00C37434">
        <w:rPr>
          <w:vertAlign w:val="superscript"/>
        </w:rPr>
        <w:t>th</w:t>
      </w:r>
      <w:r w:rsidR="00C37434">
        <w:t xml:space="preserve"> ed. Bluebook).</w:t>
      </w:r>
    </w:p>
    <w:p w14:paraId="7D47CD09" w14:textId="77777777" w:rsidR="00D40AC7" w:rsidRPr="00D40AC7" w:rsidRDefault="00D40AC7" w:rsidP="00D40AC7"/>
    <w:p w14:paraId="41756E33" w14:textId="2151C7E1" w:rsidR="007213B6" w:rsidRDefault="007213B6" w:rsidP="00C473CB">
      <w:pPr>
        <w:pStyle w:val="Heading3"/>
      </w:pPr>
      <w:bookmarkStart w:id="12" w:name="_Toc80800015"/>
      <w:bookmarkStart w:id="13" w:name="_Toc187249890"/>
      <w:r>
        <w:t>Geographi</w:t>
      </w:r>
      <w:r w:rsidR="00D40AC7">
        <w:t>cal specifics</w:t>
      </w:r>
      <w:bookmarkEnd w:id="12"/>
      <w:bookmarkEnd w:id="13"/>
    </w:p>
    <w:p w14:paraId="541A95F2" w14:textId="7B27D077" w:rsidR="005E7F50" w:rsidRDefault="007C2362" w:rsidP="00D40AC7">
      <w:pPr>
        <w:pStyle w:val="Heading4"/>
      </w:pPr>
      <w:r>
        <w:t>Georgia</w:t>
      </w:r>
    </w:p>
    <w:p w14:paraId="33A287D8" w14:textId="0F3B3726" w:rsidR="004B5483" w:rsidRPr="00A179D4" w:rsidRDefault="004B5483" w:rsidP="002555FE">
      <w:r>
        <w:t xml:space="preserve">Note: </w:t>
      </w:r>
      <w:r w:rsidR="00A06757">
        <w:t>Whenever possible, use the in-state,</w:t>
      </w:r>
      <w:r w:rsidR="00D213FC">
        <w:t xml:space="preserve"> official reporters,</w:t>
      </w:r>
      <w:r>
        <w:t xml:space="preserve"> Georgia Reports </w:t>
      </w:r>
      <w:r w:rsidR="00D213FC">
        <w:t>(“Ga.”) and Georgia Appeals Reports (“Ga. App.”)</w:t>
      </w:r>
      <w:r w:rsidR="00D63DF9">
        <w:t xml:space="preserve">. If those reporters are </w:t>
      </w:r>
      <w:r w:rsidR="00D63DF9" w:rsidRPr="00A179D4">
        <w:rPr>
          <w:u w:val="single"/>
        </w:rPr>
        <w:t>not</w:t>
      </w:r>
      <w:r w:rsidR="00D63DF9">
        <w:t xml:space="preserve"> available, include the court </w:t>
      </w:r>
      <w:r w:rsidR="00A179D4">
        <w:t xml:space="preserve">(“Ga.” or “Ga. Ct. App.”) </w:t>
      </w:r>
      <w:r w:rsidR="00220B12">
        <w:t xml:space="preserve">in the </w:t>
      </w:r>
      <w:r w:rsidR="00A179D4">
        <w:t xml:space="preserve">parentheses with the year of the decision. If those reporters </w:t>
      </w:r>
      <w:r w:rsidR="00A179D4">
        <w:rPr>
          <w:u w:val="single"/>
        </w:rPr>
        <w:t>are</w:t>
      </w:r>
      <w:r w:rsidR="00A179D4">
        <w:t xml:space="preserve"> available, </w:t>
      </w:r>
      <w:r w:rsidR="00337EDC">
        <w:t>only put the year of the decision in the parentheses.</w:t>
      </w:r>
      <w:r w:rsidR="00D36FD8" w:rsidRPr="00755452">
        <w:rPr>
          <w:rStyle w:val="FootnoteReference"/>
        </w:rPr>
        <w:footnoteReference w:id="3"/>
      </w:r>
    </w:p>
    <w:p w14:paraId="02DE7A48" w14:textId="5AF80197" w:rsidR="002555FE" w:rsidRPr="002555FE" w:rsidRDefault="002555FE" w:rsidP="00A06757">
      <w:pPr>
        <w:spacing w:before="120"/>
        <w:ind w:left="720"/>
      </w:pPr>
      <w:r w:rsidRPr="002555FE">
        <w:rPr>
          <w:i/>
          <w:iCs/>
        </w:rPr>
        <w:t>Retention Alts., Ltd. v. Hayward</w:t>
      </w:r>
      <w:r w:rsidRPr="002555FE">
        <w:t>, 285 Ga. 437, 678 S.E.2d 877 (2009).</w:t>
      </w:r>
    </w:p>
    <w:p w14:paraId="2C05DACC" w14:textId="77777777" w:rsidR="002555FE" w:rsidRPr="002555FE" w:rsidRDefault="002555FE" w:rsidP="00A06757">
      <w:pPr>
        <w:spacing w:before="120"/>
        <w:ind w:left="720"/>
      </w:pPr>
      <w:bookmarkStart w:id="14" w:name="alt"/>
      <w:bookmarkEnd w:id="14"/>
      <w:r w:rsidRPr="002555FE">
        <w:rPr>
          <w:i/>
          <w:iCs/>
        </w:rPr>
        <w:t>Retention Alts., Ltd. v. Hayward</w:t>
      </w:r>
      <w:r w:rsidRPr="002555FE">
        <w:t>, 678 S.E.2d 877 (Ga. 2009). </w:t>
      </w:r>
    </w:p>
    <w:p w14:paraId="77A79841" w14:textId="77777777" w:rsidR="002555FE" w:rsidRPr="002555FE" w:rsidRDefault="002555FE" w:rsidP="00A06757">
      <w:pPr>
        <w:spacing w:before="120"/>
        <w:ind w:left="720"/>
      </w:pPr>
      <w:bookmarkStart w:id="15" w:name="mgmt"/>
      <w:bookmarkEnd w:id="15"/>
      <w:proofErr w:type="spellStart"/>
      <w:r w:rsidRPr="002555FE">
        <w:rPr>
          <w:i/>
          <w:iCs/>
        </w:rPr>
        <w:t>Dalcor</w:t>
      </w:r>
      <w:proofErr w:type="spellEnd"/>
      <w:r w:rsidRPr="002555FE">
        <w:rPr>
          <w:i/>
          <w:iCs/>
        </w:rPr>
        <w:t> Mgmt., Inc. v. Sewer Rooter, Inc.</w:t>
      </w:r>
      <w:r w:rsidRPr="002555FE">
        <w:t>, 423 S.E.2d 419 (Ga. Ct. App. 1992). </w:t>
      </w:r>
    </w:p>
    <w:p w14:paraId="7388E5C7" w14:textId="7761D9CA" w:rsidR="002555FE" w:rsidRPr="002555FE" w:rsidRDefault="002555FE" w:rsidP="00A06757">
      <w:pPr>
        <w:spacing w:before="120"/>
        <w:ind w:left="720"/>
      </w:pPr>
      <w:bookmarkStart w:id="16" w:name="mach"/>
      <w:bookmarkStart w:id="17" w:name="ss"/>
      <w:r w:rsidRPr="002555FE">
        <w:rPr>
          <w:i/>
          <w:iCs/>
        </w:rPr>
        <w:t xml:space="preserve">S &amp; S Mach. Co. v. </w:t>
      </w:r>
      <w:proofErr w:type="spellStart"/>
      <w:r w:rsidRPr="002555FE">
        <w:rPr>
          <w:i/>
          <w:iCs/>
        </w:rPr>
        <w:t>Intermar</w:t>
      </w:r>
      <w:proofErr w:type="spellEnd"/>
      <w:r w:rsidRPr="002555FE">
        <w:rPr>
          <w:i/>
          <w:iCs/>
        </w:rPr>
        <w:t> S.S. Corp.</w:t>
      </w:r>
      <w:r w:rsidRPr="002555FE">
        <w:t>, 189 Ga. App. 13, 374 S.E.2d 767 (1988).</w:t>
      </w:r>
    </w:p>
    <w:bookmarkEnd w:id="16"/>
    <w:bookmarkEnd w:id="17"/>
    <w:p w14:paraId="65E40059" w14:textId="3B70C0F2" w:rsidR="002555FE" w:rsidRDefault="002555FE" w:rsidP="00A06757">
      <w:pPr>
        <w:spacing w:before="120"/>
        <w:ind w:left="720"/>
      </w:pPr>
      <w:r w:rsidRPr="002555FE">
        <w:rPr>
          <w:i/>
          <w:iCs/>
        </w:rPr>
        <w:lastRenderedPageBreak/>
        <w:t xml:space="preserve">S &amp; S Mach. Co. v. </w:t>
      </w:r>
      <w:proofErr w:type="spellStart"/>
      <w:r w:rsidRPr="002555FE">
        <w:rPr>
          <w:i/>
          <w:iCs/>
        </w:rPr>
        <w:t>Intermar</w:t>
      </w:r>
      <w:proofErr w:type="spellEnd"/>
      <w:r w:rsidRPr="002555FE">
        <w:rPr>
          <w:i/>
          <w:iCs/>
        </w:rPr>
        <w:t> S.S. Corp.</w:t>
      </w:r>
      <w:r w:rsidRPr="002555FE">
        <w:t>, 374 S.E.2d 767 (Ga. Ct. App. 1988). </w:t>
      </w:r>
    </w:p>
    <w:p w14:paraId="6FA6D06A" w14:textId="6D965DCD" w:rsidR="00337EDC" w:rsidRDefault="00337EDC" w:rsidP="002555FE"/>
    <w:p w14:paraId="295077E5" w14:textId="6D7EBE70" w:rsidR="007C2362" w:rsidRDefault="00A34ACA" w:rsidP="00A34ACA">
      <w:pPr>
        <w:pStyle w:val="Heading3"/>
      </w:pPr>
      <w:bookmarkStart w:id="18" w:name="_Toc187249891"/>
      <w:r>
        <w:t xml:space="preserve">Pending </w:t>
      </w:r>
      <w:r w:rsidR="00873405">
        <w:t>Cases or Documents in Litigation</w:t>
      </w:r>
      <w:bookmarkEnd w:id="18"/>
    </w:p>
    <w:p w14:paraId="2DF84CE3" w14:textId="3C63F5E2" w:rsidR="00873405" w:rsidRDefault="00873405" w:rsidP="00873405">
      <w:r w:rsidRPr="00873405">
        <w:t>“Notice of Settlement” at 4, </w:t>
      </w:r>
      <w:r w:rsidRPr="00873405">
        <w:rPr>
          <w:i/>
          <w:iCs/>
        </w:rPr>
        <w:t>Democratic Party of Georgia, Inc. v. Raffensperger</w:t>
      </w:r>
      <w:r w:rsidRPr="00873405">
        <w:t>, No. 1:19-cv-05028 (N.D. Ga. Mar. 6, 2020), ECF No. 56-1. </w:t>
      </w:r>
    </w:p>
    <w:p w14:paraId="545BF3C7" w14:textId="77777777" w:rsidR="0094184B" w:rsidRDefault="0094184B" w:rsidP="00873405"/>
    <w:p w14:paraId="3CE697AD" w14:textId="286CBA73" w:rsidR="0094184B" w:rsidRPr="00873405" w:rsidRDefault="0094184B" w:rsidP="00873405">
      <w:r>
        <w:rPr>
          <w:rStyle w:val="notion-enable-hover"/>
          <w:i/>
          <w:iCs/>
        </w:rPr>
        <w:t>Adams v. Fulton County et al.</w:t>
      </w:r>
      <w:r>
        <w:t xml:space="preserve">, No. 24CV011584 (Fulton Cnty. Super. Ct. Oct. 14, 2024), </w:t>
      </w:r>
      <w:r w:rsidRPr="001E5185">
        <w:rPr>
          <w:i/>
          <w:iCs/>
        </w:rPr>
        <w:t>appeal docketed</w:t>
      </w:r>
      <w:r>
        <w:t>, No. A25A0685 (Ga. Ct. App. Nov. 8, 2024).</w:t>
      </w:r>
      <w:r w:rsidR="007B75BA">
        <w:rPr>
          <w:rStyle w:val="FootnoteReference"/>
        </w:rPr>
        <w:footnoteReference w:id="4"/>
      </w:r>
    </w:p>
    <w:p w14:paraId="464D3139" w14:textId="77777777" w:rsidR="00A34ACA" w:rsidRDefault="00A34ACA" w:rsidP="008459A2"/>
    <w:p w14:paraId="76A4C75C" w14:textId="77777777" w:rsidR="00E71EFA" w:rsidRDefault="00E71EFA" w:rsidP="008459A2"/>
    <w:p w14:paraId="1A8E1F85" w14:textId="77777777" w:rsidR="005E7F50" w:rsidRPr="008459A2" w:rsidRDefault="005E7F50" w:rsidP="008459A2"/>
    <w:p w14:paraId="739DADC3" w14:textId="6C84304D" w:rsidR="0005534A" w:rsidRDefault="0005534A" w:rsidP="009F3AD6">
      <w:pPr>
        <w:pStyle w:val="Heading2"/>
      </w:pPr>
      <w:bookmarkStart w:id="19" w:name="_Toc80800016"/>
      <w:bookmarkStart w:id="20" w:name="_Toc187249892"/>
      <w:r>
        <w:t>Correspondence</w:t>
      </w:r>
      <w:bookmarkEnd w:id="19"/>
      <w:bookmarkEnd w:id="20"/>
    </w:p>
    <w:p w14:paraId="4129B77E" w14:textId="79ABCB02" w:rsidR="0005534A" w:rsidRDefault="0005534A" w:rsidP="00913DFE">
      <w:pPr>
        <w:pStyle w:val="Heading3"/>
      </w:pPr>
      <w:bookmarkStart w:id="21" w:name="_Toc80800017"/>
      <w:bookmarkStart w:id="22" w:name="_Toc187249893"/>
      <w:r>
        <w:t>Emails</w:t>
      </w:r>
      <w:bookmarkEnd w:id="21"/>
      <w:bookmarkEnd w:id="22"/>
    </w:p>
    <w:p w14:paraId="44E8FEC8" w14:textId="187D1764" w:rsidR="006D0FC7" w:rsidRDefault="006D0FC7" w:rsidP="0005534A">
      <w:r>
        <w:t xml:space="preserve">E-mail from </w:t>
      </w:r>
      <w:r w:rsidR="008D654F">
        <w:t>Makau Mutua, Chairman, Kenya Human Rights Comm’n, to author (Dec. 28, 2006, 16:18 EST) (on file with author).</w:t>
      </w:r>
      <w:r w:rsidR="002E2D51" w:rsidRPr="00755452">
        <w:rPr>
          <w:rStyle w:val="FootnoteReference"/>
        </w:rPr>
        <w:footnoteReference w:id="5"/>
      </w:r>
    </w:p>
    <w:p w14:paraId="11F7117A" w14:textId="4E6626FF" w:rsidR="00121834" w:rsidRDefault="00121834" w:rsidP="0005534A"/>
    <w:p w14:paraId="3FF2EEE3" w14:textId="076234E1" w:rsidR="00121834" w:rsidRDefault="00121834" w:rsidP="00121834">
      <w:pPr>
        <w:pStyle w:val="Heading3"/>
      </w:pPr>
      <w:bookmarkStart w:id="23" w:name="_Toc187249894"/>
      <w:r>
        <w:t>Letters</w:t>
      </w:r>
      <w:bookmarkEnd w:id="23"/>
    </w:p>
    <w:p w14:paraId="5D93525C" w14:textId="45740B94" w:rsidR="00121834" w:rsidRPr="0005534A" w:rsidRDefault="00121834" w:rsidP="0005534A">
      <w:r w:rsidRPr="00121834">
        <w:rPr>
          <w:i/>
          <w:iCs/>
        </w:rPr>
        <w:t>See</w:t>
      </w:r>
      <w:r w:rsidRPr="00121834">
        <w:t xml:space="preserve"> Letter from Brian Kemp, Governor of Georgia, to Geoff Duncan, Lt. Governor of Georgia, and to David Ralston, Speaker of the Georgia House of Representatives, “HB 911 - FY 2023 Line Item Veto and Disregard Letter and Statements” 6 (May 12, 2022), </w:t>
      </w:r>
      <w:hyperlink r:id="rId8" w:history="1">
        <w:r w:rsidRPr="00121834">
          <w:rPr>
            <w:rStyle w:val="Hyperlink"/>
            <w:rFonts w:cstheme="minorBidi"/>
          </w:rPr>
          <w:t>https://gov.georgia.gov/document/2022-vetoed-legislation/hb-911-fy-2023-line-item-veto-and-disregard-letter-and-statements/download</w:t>
        </w:r>
      </w:hyperlink>
      <w:r w:rsidRPr="00121834">
        <w:t xml:space="preserve">  [https://perma.cc/7UW8-NY5E].</w:t>
      </w:r>
      <w:r w:rsidRPr="00755452">
        <w:rPr>
          <w:rStyle w:val="FootnoteReference"/>
        </w:rPr>
        <w:footnoteReference w:id="6"/>
      </w:r>
    </w:p>
    <w:p w14:paraId="7CB22C29" w14:textId="77777777" w:rsidR="0005534A" w:rsidRPr="00C9626E" w:rsidRDefault="0005534A" w:rsidP="008A6106">
      <w:pPr>
        <w:jc w:val="center"/>
      </w:pPr>
    </w:p>
    <w:p w14:paraId="0748C856" w14:textId="248E9FF9" w:rsidR="007B1523" w:rsidRDefault="007B1523" w:rsidP="009F3AD6">
      <w:pPr>
        <w:pStyle w:val="Heading2"/>
      </w:pPr>
      <w:bookmarkStart w:id="24" w:name="_Toc80800018"/>
      <w:bookmarkStart w:id="25" w:name="_Toc187249895"/>
      <w:r>
        <w:t>Dictionary</w:t>
      </w:r>
      <w:bookmarkEnd w:id="24"/>
      <w:bookmarkEnd w:id="25"/>
    </w:p>
    <w:p w14:paraId="162BC709" w14:textId="13501BD7" w:rsidR="007B1523" w:rsidRDefault="009F3AD6" w:rsidP="009F3AD6">
      <w:pPr>
        <w:pStyle w:val="Heading3"/>
      </w:pPr>
      <w:bookmarkStart w:id="26" w:name="_Toc80800019"/>
      <w:bookmarkStart w:id="27" w:name="_Toc187249896"/>
      <w:r>
        <w:t>Black’s Law Dictionary</w:t>
      </w:r>
      <w:bookmarkEnd w:id="26"/>
      <w:bookmarkEnd w:id="27"/>
    </w:p>
    <w:p w14:paraId="795B7EC5" w14:textId="77777777" w:rsidR="00887F7C" w:rsidRPr="00887F7C" w:rsidRDefault="00887F7C" w:rsidP="00887F7C">
      <w:pPr>
        <w:rPr>
          <w:rFonts w:eastAsia="Times New Roman" w:cstheme="minorHAnsi"/>
        </w:rPr>
      </w:pPr>
      <w:r w:rsidRPr="00887F7C">
        <w:rPr>
          <w:rFonts w:eastAsia="Times New Roman" w:cstheme="minorHAnsi"/>
          <w:i/>
          <w:iCs/>
          <w:color w:val="333333"/>
        </w:rPr>
        <w:t>Replevin, </w:t>
      </w:r>
      <w:r w:rsidRPr="00887F7C">
        <w:rPr>
          <w:rFonts w:eastAsia="Times New Roman" w:cs="Calibri (Body)"/>
          <w:smallCaps/>
          <w:color w:val="333333"/>
        </w:rPr>
        <w:t>Black's Law Dictionary</w:t>
      </w:r>
      <w:r w:rsidRPr="00887F7C">
        <w:rPr>
          <w:rFonts w:eastAsia="Times New Roman" w:cstheme="minorHAnsi"/>
          <w:color w:val="333333"/>
          <w:shd w:val="clear" w:color="auto" w:fill="FFFFFF"/>
        </w:rPr>
        <w:t> (10th ed. 2014).</w:t>
      </w:r>
    </w:p>
    <w:p w14:paraId="2E617790" w14:textId="77777777" w:rsidR="009F3AD6" w:rsidRPr="009F3AD6" w:rsidRDefault="009F3AD6" w:rsidP="009F3AD6"/>
    <w:p w14:paraId="7D37B725" w14:textId="271DB1FF" w:rsidR="0036369F" w:rsidRDefault="00B74232" w:rsidP="00F608D6">
      <w:pPr>
        <w:pStyle w:val="Heading2"/>
        <w:spacing w:before="120"/>
      </w:pPr>
      <w:bookmarkStart w:id="28" w:name="_Toc80800020"/>
      <w:bookmarkStart w:id="29" w:name="_Toc187249897"/>
      <w:r>
        <w:t>Government</w:t>
      </w:r>
      <w:bookmarkEnd w:id="28"/>
      <w:r w:rsidR="00037E61">
        <w:t xml:space="preserve"> sources</w:t>
      </w:r>
      <w:bookmarkEnd w:id="29"/>
    </w:p>
    <w:p w14:paraId="394241FA" w14:textId="5642A764" w:rsidR="007F199C" w:rsidRDefault="007F199C" w:rsidP="007F199C">
      <w:pPr>
        <w:pStyle w:val="Heading3"/>
        <w:spacing w:before="120"/>
      </w:pPr>
      <w:bookmarkStart w:id="30" w:name="_Toc187249898"/>
      <w:r>
        <w:t>Administrative Materials</w:t>
      </w:r>
      <w:bookmarkEnd w:id="30"/>
    </w:p>
    <w:p w14:paraId="1A5B1870" w14:textId="5C8BA0FC" w:rsidR="007F199C" w:rsidRPr="007F199C" w:rsidRDefault="007F199C" w:rsidP="007F199C">
      <w:pPr>
        <w:ind w:left="270"/>
      </w:pPr>
      <w:r w:rsidRPr="007F199C">
        <w:t>FTC Credit Practices Rule, 16 C.F.R. § 444.1 (2019).</w:t>
      </w:r>
      <w:r w:rsidR="00497AF3" w:rsidRPr="00755452">
        <w:rPr>
          <w:rStyle w:val="FootnoteReference"/>
        </w:rPr>
        <w:footnoteReference w:id="7"/>
      </w:r>
    </w:p>
    <w:p w14:paraId="595B6F30" w14:textId="77777777" w:rsidR="007F199C" w:rsidRDefault="007F199C" w:rsidP="007F199C">
      <w:pPr>
        <w:ind w:left="270"/>
      </w:pPr>
    </w:p>
    <w:p w14:paraId="04027E18" w14:textId="7B6A477D" w:rsidR="007F199C" w:rsidRPr="007F199C" w:rsidRDefault="007F199C" w:rsidP="007F199C">
      <w:pPr>
        <w:ind w:left="270"/>
      </w:pPr>
      <w:r w:rsidRPr="007F199C">
        <w:t>Importation of Fruits and Vegetables, 60 Fed. Reg. 50,379 (Sept. 29, 1995) (to be codified at 7 C.F.R. pt. 300).</w:t>
      </w:r>
      <w:r w:rsidR="00497AF3" w:rsidRPr="00755452">
        <w:rPr>
          <w:rStyle w:val="FootnoteReference"/>
        </w:rPr>
        <w:footnoteReference w:id="8"/>
      </w:r>
    </w:p>
    <w:p w14:paraId="03193B6E" w14:textId="77777777" w:rsidR="007F199C" w:rsidRDefault="007F199C" w:rsidP="007F199C">
      <w:pPr>
        <w:ind w:left="270"/>
      </w:pPr>
    </w:p>
    <w:p w14:paraId="439EE699" w14:textId="11279F8A" w:rsidR="007F199C" w:rsidRPr="007F199C" w:rsidRDefault="007F199C" w:rsidP="007F199C">
      <w:pPr>
        <w:ind w:left="270"/>
      </w:pPr>
      <w:r w:rsidRPr="007F199C">
        <w:t>Reichhold Chems., Inc., 91 F.T.C. 246 (1978).</w:t>
      </w:r>
      <w:r w:rsidR="00497AF3" w:rsidRPr="00755452">
        <w:rPr>
          <w:rStyle w:val="FootnoteReference"/>
        </w:rPr>
        <w:footnoteReference w:id="9"/>
      </w:r>
    </w:p>
    <w:p w14:paraId="620AADFD" w14:textId="77777777" w:rsidR="007F199C" w:rsidRDefault="007F199C" w:rsidP="007F199C"/>
    <w:p w14:paraId="530735CA" w14:textId="66581BEE" w:rsidR="007F199C" w:rsidRDefault="00393789" w:rsidP="00393789">
      <w:pPr>
        <w:pStyle w:val="Heading3"/>
      </w:pPr>
      <w:r>
        <w:lastRenderedPageBreak/>
        <w:t>Attorney General Opinions</w:t>
      </w:r>
    </w:p>
    <w:p w14:paraId="33DE0386" w14:textId="77777777" w:rsidR="00393789" w:rsidRDefault="00393789" w:rsidP="00393789">
      <w:pPr>
        <w:pStyle w:val="Heading4"/>
      </w:pPr>
      <w:r>
        <w:t>Federal</w:t>
      </w:r>
    </w:p>
    <w:p w14:paraId="37827608" w14:textId="1BE6A2D3" w:rsidR="00393789" w:rsidRDefault="00393789" w:rsidP="00393789">
      <w:pPr>
        <w:ind w:left="270"/>
      </w:pPr>
      <w:r w:rsidRPr="00393789">
        <w:t xml:space="preserve">Legality of Revised Phila. Plan, 42 Op. </w:t>
      </w:r>
      <w:proofErr w:type="spellStart"/>
      <w:r w:rsidRPr="00393789">
        <w:t>Att'y</w:t>
      </w:r>
      <w:proofErr w:type="spellEnd"/>
      <w:r w:rsidRPr="00393789">
        <w:t xml:space="preserve"> Gen. 405 (1969).</w:t>
      </w:r>
      <w:r>
        <w:rPr>
          <w:rStyle w:val="FootnoteReference"/>
        </w:rPr>
        <w:footnoteReference w:id="10"/>
      </w:r>
    </w:p>
    <w:p w14:paraId="021C689C" w14:textId="1E467308" w:rsidR="00393789" w:rsidRDefault="00393789" w:rsidP="00393789">
      <w:pPr>
        <w:pStyle w:val="Heading4"/>
      </w:pPr>
      <w:r w:rsidRPr="00393789">
        <w:t>Georgia</w:t>
      </w:r>
      <w:r>
        <w:tab/>
      </w:r>
    </w:p>
    <w:p w14:paraId="3C32D9B9" w14:textId="6D737A01" w:rsidR="00393789" w:rsidRPr="007F199C" w:rsidRDefault="00393789" w:rsidP="00393789">
      <w:pPr>
        <w:ind w:left="270"/>
      </w:pPr>
      <w:r>
        <w:t xml:space="preserve">Meaning of “formal charges”, Ga. Official </w:t>
      </w:r>
      <w:r w:rsidRPr="00927F3B">
        <w:t xml:space="preserve">Op. </w:t>
      </w:r>
      <w:proofErr w:type="spellStart"/>
      <w:r w:rsidRPr="00927F3B">
        <w:t>Att'y</w:t>
      </w:r>
      <w:proofErr w:type="spellEnd"/>
      <w:r w:rsidRPr="00927F3B">
        <w:t xml:space="preserve"> Gen.</w:t>
      </w:r>
      <w:r>
        <w:t xml:space="preserve"> 2024-2 (2024).</w:t>
      </w:r>
    </w:p>
    <w:p w14:paraId="0BFD320B" w14:textId="68A09468" w:rsidR="00037E61" w:rsidRDefault="00037E61" w:rsidP="00F608D6">
      <w:pPr>
        <w:pStyle w:val="Heading3"/>
        <w:spacing w:before="120"/>
      </w:pPr>
      <w:bookmarkStart w:id="31" w:name="_Toc187249899"/>
      <w:r>
        <w:t>Congressional Research Service</w:t>
      </w:r>
      <w:bookmarkEnd w:id="31"/>
    </w:p>
    <w:p w14:paraId="01D1206D" w14:textId="77777777" w:rsidR="00037E61" w:rsidRDefault="00037E61" w:rsidP="00037E61">
      <w:pPr>
        <w:pStyle w:val="FootnoteText"/>
      </w:pPr>
      <w:r>
        <w:t>Charles Doyle, Cong. Research Serv., Qui Tam: The False Claims Act and Related Federal Statutes 31 (Apr. 26, 2021).</w:t>
      </w:r>
    </w:p>
    <w:p w14:paraId="736A447A" w14:textId="66D78930" w:rsidR="00037E61" w:rsidRDefault="00037E61" w:rsidP="00037E61"/>
    <w:p w14:paraId="75B6D332" w14:textId="77777777" w:rsidR="00037E61" w:rsidRPr="00037E61" w:rsidRDefault="00037E61" w:rsidP="00037E61"/>
    <w:p w14:paraId="5503E641" w14:textId="0ED2F3BA" w:rsidR="00CE176C" w:rsidRDefault="00CE176C" w:rsidP="00F608D6">
      <w:pPr>
        <w:pStyle w:val="Heading3"/>
        <w:spacing w:before="120"/>
      </w:pPr>
      <w:bookmarkStart w:id="32" w:name="_Toc187249900"/>
      <w:bookmarkStart w:id="33" w:name="_Toc80800021"/>
      <w:r>
        <w:t>Executive Orders</w:t>
      </w:r>
      <w:bookmarkEnd w:id="32"/>
    </w:p>
    <w:p w14:paraId="2AA06750" w14:textId="5EC7523B" w:rsidR="00CE176C" w:rsidRDefault="00CE176C" w:rsidP="00CE176C">
      <w:pPr>
        <w:pStyle w:val="Heading4"/>
      </w:pPr>
      <w:r>
        <w:t>Federal</w:t>
      </w:r>
    </w:p>
    <w:p w14:paraId="6D83D8DA" w14:textId="77777777" w:rsidR="00CE176C" w:rsidRDefault="00CE176C" w:rsidP="00CE176C"/>
    <w:p w14:paraId="3D5C8E71" w14:textId="480BDB65" w:rsidR="00CE176C" w:rsidRDefault="00CE176C" w:rsidP="00CE176C">
      <w:pPr>
        <w:pStyle w:val="Heading4"/>
      </w:pPr>
      <w:r>
        <w:t>Florida</w:t>
      </w:r>
    </w:p>
    <w:p w14:paraId="51A65E1B" w14:textId="0EDD690B" w:rsidR="00CE176C" w:rsidRDefault="00CE176C" w:rsidP="00CE176C">
      <w:r w:rsidRPr="00F71956">
        <w:rPr>
          <w:i/>
          <w:iCs/>
        </w:rPr>
        <w:t xml:space="preserve">Fla. Exec. Order No. 91-215 </w:t>
      </w:r>
      <w:r>
        <w:t>(Aug. 23, 1991).</w:t>
      </w:r>
    </w:p>
    <w:p w14:paraId="750E88E6" w14:textId="03DFB882" w:rsidR="00F71956" w:rsidRPr="00CE176C" w:rsidRDefault="00F71956" w:rsidP="00CE176C">
      <w:r w:rsidRPr="00F71956">
        <w:rPr>
          <w:i/>
          <w:iCs/>
        </w:rPr>
        <w:t>Fla. Exec. Order No. 24-234 § 1</w:t>
      </w:r>
      <w:r w:rsidRPr="00F71956">
        <w:t xml:space="preserve"> (Oct. 16, 2024).</w:t>
      </w:r>
    </w:p>
    <w:p w14:paraId="0B3E094D" w14:textId="77777777" w:rsidR="00CE176C" w:rsidRDefault="00CE176C" w:rsidP="00F608D6">
      <w:pPr>
        <w:pStyle w:val="Heading3"/>
        <w:spacing w:before="120"/>
      </w:pPr>
    </w:p>
    <w:p w14:paraId="150608E7" w14:textId="11A53DBC" w:rsidR="00B74232" w:rsidRDefault="00B74232" w:rsidP="00F608D6">
      <w:pPr>
        <w:pStyle w:val="Heading3"/>
        <w:spacing w:before="120"/>
      </w:pPr>
      <w:bookmarkStart w:id="34" w:name="_Toc187249901"/>
      <w:r>
        <w:t>Internal Revenue Service</w:t>
      </w:r>
      <w:bookmarkEnd w:id="33"/>
      <w:bookmarkEnd w:id="34"/>
    </w:p>
    <w:p w14:paraId="195CEE50" w14:textId="320D13C2" w:rsidR="00091E83" w:rsidRDefault="00973994" w:rsidP="006959E9">
      <w:pPr>
        <w:pStyle w:val="Heading4"/>
      </w:pPr>
      <w:r>
        <w:t>Tax-Exempt</w:t>
      </w:r>
      <w:r w:rsidR="00057C45">
        <w:t>ion</w:t>
      </w:r>
      <w:r>
        <w:t xml:space="preserve"> </w:t>
      </w:r>
      <w:r w:rsidR="006959E9">
        <w:t xml:space="preserve">Determination </w:t>
      </w:r>
      <w:r>
        <w:t>L</w:t>
      </w:r>
      <w:r w:rsidR="006959E9">
        <w:t>etters</w:t>
      </w:r>
    </w:p>
    <w:p w14:paraId="251E9079" w14:textId="1AFCEA18" w:rsidR="006959E9" w:rsidRPr="00091E83" w:rsidRDefault="006D6BF1" w:rsidP="00091E83">
      <w:commentRangeStart w:id="35"/>
      <w:r>
        <w:t>IRS Determination Letter, Letter</w:t>
      </w:r>
      <w:r w:rsidR="006229F2">
        <w:t xml:space="preserve"> from IRS</w:t>
      </w:r>
      <w:r w:rsidRPr="004223CA">
        <w:rPr>
          <w:color w:val="080808"/>
        </w:rPr>
        <w:t xml:space="preserve"> to </w:t>
      </w:r>
      <w:r>
        <w:rPr>
          <w:color w:val="080808"/>
        </w:rPr>
        <w:t>Giving Health, Inc., Determining Exemption</w:t>
      </w:r>
      <w:r w:rsidR="00AE5484">
        <w:rPr>
          <w:color w:val="080808"/>
        </w:rPr>
        <w:t xml:space="preserve"> (DLN </w:t>
      </w:r>
      <w:r w:rsidR="006229F2" w:rsidRPr="006229F2">
        <w:rPr>
          <w:color w:val="080808"/>
        </w:rPr>
        <w:t>29053200372009</w:t>
      </w:r>
      <w:r w:rsidR="006229F2">
        <w:rPr>
          <w:color w:val="080808"/>
        </w:rPr>
        <w:t>)</w:t>
      </w:r>
      <w:r>
        <w:rPr>
          <w:color w:val="080808"/>
        </w:rPr>
        <w:t>, 1 (Aug. 19, 2019) (on file with author).</w:t>
      </w:r>
      <w:commentRangeEnd w:id="35"/>
      <w:r w:rsidR="00D9617B">
        <w:rPr>
          <w:rStyle w:val="CommentReference"/>
        </w:rPr>
        <w:commentReference w:id="35"/>
      </w:r>
    </w:p>
    <w:p w14:paraId="45F5C735" w14:textId="3AC756B5" w:rsidR="000F2147" w:rsidRDefault="000F2147" w:rsidP="00F608D6">
      <w:pPr>
        <w:pStyle w:val="Heading4"/>
        <w:spacing w:before="120"/>
      </w:pPr>
      <w:r>
        <w:t>IRS Publications</w:t>
      </w:r>
    </w:p>
    <w:p w14:paraId="43E8420F" w14:textId="241536BF" w:rsidR="00F608D6" w:rsidRDefault="00F608D6" w:rsidP="00C62D8B">
      <w:r w:rsidRPr="00C62D8B">
        <w:t>IRS Pub. No. 598, Tax on Unrelated Business Income of Exempt Organizations, 2 (Feb. 26, 2019) (https://perma.cc/FL54-E3QV).</w:t>
      </w:r>
    </w:p>
    <w:p w14:paraId="5CE207DD" w14:textId="3DFDD704" w:rsidR="004E2AF6" w:rsidRDefault="004E2AF6" w:rsidP="00C62D8B"/>
    <w:p w14:paraId="2F09CAE5" w14:textId="72718167" w:rsidR="00B63F53" w:rsidRDefault="00B63F53" w:rsidP="004759DF">
      <w:pPr>
        <w:pStyle w:val="Heading2"/>
      </w:pPr>
      <w:bookmarkStart w:id="36" w:name="_Toc187249902"/>
      <w:r>
        <w:t>Interviews</w:t>
      </w:r>
      <w:bookmarkEnd w:id="36"/>
    </w:p>
    <w:p w14:paraId="0F20F19F" w14:textId="1D12DAC4" w:rsidR="00B63F53" w:rsidRDefault="00B63F53" w:rsidP="00B63F53">
      <w:r>
        <w:t>Telephone Interview with Michael Leiter, President, Harvard Law Review (Oct. 22, 1999).</w:t>
      </w:r>
      <w:r w:rsidRPr="00755452">
        <w:rPr>
          <w:rStyle w:val="FootnoteReference"/>
        </w:rPr>
        <w:footnoteReference w:id="11"/>
      </w:r>
    </w:p>
    <w:p w14:paraId="71051B5A" w14:textId="77777777" w:rsidR="00B63F53" w:rsidRDefault="00B63F53" w:rsidP="00B63F53"/>
    <w:p w14:paraId="0613EBBE" w14:textId="6507AB9C" w:rsidR="00B63F53" w:rsidRDefault="00B63F53" w:rsidP="00B63F53">
      <w:r>
        <w:t>Interview by Lauren Brook Eisen with Shane Spradlin, CEO, Nextel Commc’ns, in Potomac, Md. (Mar. 1, 2000).</w:t>
      </w:r>
      <w:r w:rsidRPr="00755452">
        <w:rPr>
          <w:rStyle w:val="FootnoteReference"/>
        </w:rPr>
        <w:footnoteReference w:id="12"/>
      </w:r>
    </w:p>
    <w:p w14:paraId="0125AAB7" w14:textId="77777777" w:rsidR="00B63F53" w:rsidRPr="00B63F53" w:rsidRDefault="00B63F53" w:rsidP="00B63F53"/>
    <w:p w14:paraId="4E2E89F2" w14:textId="037B5F75" w:rsidR="004759DF" w:rsidRDefault="004759DF" w:rsidP="004759DF">
      <w:pPr>
        <w:pStyle w:val="Heading2"/>
      </w:pPr>
      <w:bookmarkStart w:id="37" w:name="_Toc187249903"/>
      <w:r>
        <w:t>Legislation</w:t>
      </w:r>
      <w:bookmarkEnd w:id="37"/>
    </w:p>
    <w:p w14:paraId="6840DDE5" w14:textId="195BC7DD" w:rsidR="00CB1780" w:rsidRDefault="00CB1780" w:rsidP="00CB1780">
      <w:pPr>
        <w:pStyle w:val="Heading3"/>
        <w:rPr>
          <w:rFonts w:eastAsia="Times New Roman"/>
        </w:rPr>
      </w:pPr>
      <w:bookmarkStart w:id="38" w:name="_Toc187249904"/>
      <w:r>
        <w:rPr>
          <w:rFonts w:eastAsia="Times New Roman"/>
        </w:rPr>
        <w:t>Amending statutes</w:t>
      </w:r>
      <w:bookmarkEnd w:id="38"/>
    </w:p>
    <w:p w14:paraId="28F8C696" w14:textId="0582E293" w:rsidR="004759DF" w:rsidRPr="005D5724" w:rsidRDefault="004759DF" w:rsidP="004759DF">
      <w:pPr>
        <w:rPr>
          <w:rFonts w:eastAsia="Times New Roman" w:cstheme="minorHAnsi"/>
          <w:color w:val="000000"/>
        </w:rPr>
      </w:pPr>
      <w:r w:rsidRPr="005D5724">
        <w:rPr>
          <w:rFonts w:eastAsia="Times New Roman" w:cstheme="minorHAnsi"/>
          <w:color w:val="000000"/>
          <w:sz w:val="22"/>
          <w:szCs w:val="22"/>
        </w:rPr>
        <w:t xml:space="preserve">Use this </w:t>
      </w:r>
      <w:r w:rsidR="00E54E54" w:rsidRPr="005D5724">
        <w:rPr>
          <w:rFonts w:eastAsia="Times New Roman" w:cstheme="minorHAnsi"/>
          <w:color w:val="000000"/>
          <w:sz w:val="22"/>
          <w:szCs w:val="22"/>
        </w:rPr>
        <w:t xml:space="preserve">guideline </w:t>
      </w:r>
      <w:r w:rsidRPr="005D5724">
        <w:rPr>
          <w:rFonts w:eastAsia="Times New Roman" w:cstheme="minorHAnsi"/>
          <w:color w:val="000000"/>
          <w:sz w:val="22"/>
          <w:szCs w:val="22"/>
        </w:rPr>
        <w:t>when citing to provisions inside legislation that will amend statutes: “Cite the bill’s sections by abbreviation (sec.) and the amended act’s sections by symbol (§).” So instead of a citation that looks like this: [2021 Ga. Laws 15, § 1 (referencing what will be § 2(a))], it now looks like this: [2021 Ga. Laws 15, sec. 1, § 2(a)].</w:t>
      </w:r>
      <w:r w:rsidRPr="00755452">
        <w:rPr>
          <w:rStyle w:val="FootnoteReference"/>
        </w:rPr>
        <w:footnoteReference w:id="13"/>
      </w:r>
    </w:p>
    <w:p w14:paraId="6AE7294E" w14:textId="77777777" w:rsidR="004759DF" w:rsidRPr="004759DF" w:rsidRDefault="004759DF" w:rsidP="004759DF">
      <w:pPr>
        <w:spacing w:after="240"/>
        <w:rPr>
          <w:rFonts w:ascii="Times New Roman" w:eastAsia="Times New Roman" w:hAnsi="Times New Roman" w:cs="Times New Roman"/>
        </w:rPr>
      </w:pPr>
    </w:p>
    <w:p w14:paraId="412873BF" w14:textId="77777777" w:rsidR="004759DF" w:rsidRPr="004759DF" w:rsidRDefault="004759DF" w:rsidP="004759DF">
      <w:pPr>
        <w:rPr>
          <w:rFonts w:ascii="Times New Roman" w:eastAsia="Times New Roman" w:hAnsi="Times New Roman" w:cs="Times New Roman"/>
        </w:rPr>
      </w:pPr>
    </w:p>
    <w:p w14:paraId="1DE5FF01" w14:textId="77777777" w:rsidR="004759DF" w:rsidRDefault="004759DF" w:rsidP="00C62D8B"/>
    <w:p w14:paraId="2D336B3C" w14:textId="5B1CCC15" w:rsidR="004E0D84" w:rsidRDefault="004E0D84" w:rsidP="004E0D84"/>
    <w:p w14:paraId="7ACE3A09" w14:textId="1AA763C8" w:rsidR="005038E5" w:rsidRDefault="005038E5" w:rsidP="00FE7EC3">
      <w:pPr>
        <w:pStyle w:val="Heading2"/>
      </w:pPr>
      <w:bookmarkStart w:id="39" w:name="_Toc187249905"/>
      <w:r>
        <w:t>Regulations</w:t>
      </w:r>
      <w:bookmarkEnd w:id="39"/>
    </w:p>
    <w:p w14:paraId="22AB9E90" w14:textId="14504B24" w:rsidR="005038E5" w:rsidRDefault="005038E5" w:rsidP="00FE7EC3">
      <w:pPr>
        <w:pStyle w:val="Heading3"/>
      </w:pPr>
      <w:bookmarkStart w:id="40" w:name="_Toc187249906"/>
      <w:r>
        <w:t>Federal</w:t>
      </w:r>
      <w:bookmarkEnd w:id="40"/>
    </w:p>
    <w:p w14:paraId="675F7346" w14:textId="53D64468" w:rsidR="005038E5" w:rsidRDefault="005038E5" w:rsidP="004E0D84"/>
    <w:p w14:paraId="5E0B2CE9" w14:textId="6BBC8E66" w:rsidR="005038E5" w:rsidRDefault="005038E5" w:rsidP="00FE7EC3">
      <w:pPr>
        <w:pStyle w:val="Heading3"/>
      </w:pPr>
      <w:bookmarkStart w:id="41" w:name="_Toc187249907"/>
      <w:r>
        <w:t>Georgia (U.S.)</w:t>
      </w:r>
      <w:bookmarkEnd w:id="41"/>
    </w:p>
    <w:p w14:paraId="3BAFC1D0" w14:textId="4D8CDDE9" w:rsidR="005038E5" w:rsidRDefault="005038E5" w:rsidP="004E0D84">
      <w:bookmarkStart w:id="42" w:name="OLE_LINK79"/>
      <w:bookmarkStart w:id="43" w:name="OLE_LINK80"/>
      <w:r w:rsidRPr="002C26FA">
        <w:rPr>
          <w:i/>
          <w:iCs/>
        </w:rPr>
        <w:t>Ga. Comp. R. &amp; Regs. r.</w:t>
      </w:r>
      <w:bookmarkEnd w:id="42"/>
      <w:bookmarkEnd w:id="43"/>
      <w:r w:rsidRPr="002C26FA">
        <w:rPr>
          <w:i/>
          <w:iCs/>
        </w:rPr>
        <w:t xml:space="preserve"> 125-2-3.04</w:t>
      </w:r>
      <w:r w:rsidRPr="005038E5">
        <w:t>.</w:t>
      </w:r>
    </w:p>
    <w:p w14:paraId="713F05A3" w14:textId="77777777" w:rsidR="00F60170" w:rsidRDefault="00F60170" w:rsidP="004E0D84"/>
    <w:p w14:paraId="2EA587EF" w14:textId="2C452876" w:rsidR="00F60170" w:rsidRPr="00F60170" w:rsidRDefault="00F60170" w:rsidP="004E0D84">
      <w:pPr>
        <w:rPr>
          <w:i/>
          <w:iCs/>
        </w:rPr>
      </w:pPr>
      <w:r w:rsidRPr="00DC7F49">
        <w:rPr>
          <w:b/>
          <w:bCs/>
          <w:i/>
          <w:iCs/>
        </w:rPr>
        <w:t>Note</w:t>
      </w:r>
      <w:r w:rsidRPr="00F60170">
        <w:t>: If a regulation does not contain separating punctuation for subsections, separate the subsections with parentheses (i.e., not periods, hyphens, or other marks). The Bluebook illustrates by indicating that “1” and “a.” should be placed in parentheses as such (1) and (a).</w:t>
      </w:r>
      <w:r w:rsidRPr="00755452">
        <w:rPr>
          <w:rStyle w:val="FootnoteReference"/>
        </w:rPr>
        <w:footnoteReference w:id="14"/>
      </w:r>
    </w:p>
    <w:p w14:paraId="02B079A3" w14:textId="77777777" w:rsidR="005038E5" w:rsidRDefault="005038E5" w:rsidP="004E0D84"/>
    <w:p w14:paraId="1522DAFB" w14:textId="0A20114A" w:rsidR="0014057E" w:rsidRDefault="0014057E" w:rsidP="000306D1">
      <w:pPr>
        <w:pStyle w:val="Heading2"/>
      </w:pPr>
      <w:bookmarkStart w:id="44" w:name="_Toc80800022"/>
      <w:bookmarkStart w:id="45" w:name="_Toc187249908"/>
      <w:r>
        <w:t>Restatements</w:t>
      </w:r>
      <w:bookmarkEnd w:id="44"/>
      <w:bookmarkEnd w:id="45"/>
    </w:p>
    <w:p w14:paraId="5C443029" w14:textId="0D8839F3" w:rsidR="0014057E" w:rsidRDefault="008A457B" w:rsidP="004E0D84">
      <w:pPr>
        <w:rPr>
          <w:rFonts w:cs="Times New Roman (Body CS)"/>
          <w:smallCaps/>
        </w:rPr>
      </w:pPr>
      <w:r w:rsidRPr="000306D1">
        <w:rPr>
          <w:rFonts w:cs="Times New Roman (Body CS)"/>
          <w:smallCaps/>
        </w:rPr>
        <w:t>Restatement (Second) of Contracts</w:t>
      </w:r>
      <w:r w:rsidR="00AB759D" w:rsidRPr="000306D1">
        <w:rPr>
          <w:rFonts w:cs="Times New Roman (Body CS)"/>
          <w:smallCaps/>
        </w:rPr>
        <w:t xml:space="preserve"> § 178 (Am. Law Inst. </w:t>
      </w:r>
      <w:r w:rsidR="003678EA" w:rsidRPr="000306D1">
        <w:rPr>
          <w:rFonts w:cs="Times New Roman (Body CS)"/>
          <w:smallCaps/>
        </w:rPr>
        <w:t>1981)</w:t>
      </w:r>
      <w:r w:rsidR="00D179EE" w:rsidRPr="000306D1">
        <w:rPr>
          <w:rFonts w:cs="Times New Roman (Body CS)"/>
          <w:smallCaps/>
        </w:rPr>
        <w:t>.</w:t>
      </w:r>
    </w:p>
    <w:p w14:paraId="3E23E4BC" w14:textId="020AE8C0" w:rsidR="00037E61" w:rsidRDefault="00037E61" w:rsidP="004E0D84">
      <w:pPr>
        <w:rPr>
          <w:rFonts w:cs="Times New Roman (Body CS)"/>
          <w:smallCaps/>
        </w:rPr>
      </w:pPr>
    </w:p>
    <w:p w14:paraId="778FC92A" w14:textId="6B46ADDE" w:rsidR="00037E61" w:rsidRDefault="00037E61" w:rsidP="00037E61">
      <w:pPr>
        <w:pStyle w:val="Heading2"/>
      </w:pPr>
      <w:bookmarkStart w:id="46" w:name="_Toc187249909"/>
      <w:r>
        <w:t>Rules of Evidence and Procedure</w:t>
      </w:r>
      <w:bookmarkEnd w:id="46"/>
    </w:p>
    <w:p w14:paraId="11891C6F" w14:textId="39EE3435" w:rsidR="00037E61" w:rsidRDefault="00037E61" w:rsidP="00037E61">
      <w:r w:rsidRPr="00037E61">
        <w:rPr>
          <w:rFonts w:cs="Times New Roman (Body CS)"/>
          <w:smallCaps/>
        </w:rPr>
        <w:t>Fed. R. Civ. P.</w:t>
      </w:r>
      <w:r>
        <w:t xml:space="preserve"> 12(b)(6).</w:t>
      </w:r>
    </w:p>
    <w:p w14:paraId="13F1C62A" w14:textId="41EDAA48" w:rsidR="00037E61" w:rsidRDefault="00037E61" w:rsidP="00037E61">
      <w:r w:rsidRPr="00037E61">
        <w:rPr>
          <w:rFonts w:cs="Times New Roman (Body CS)"/>
          <w:smallCaps/>
        </w:rPr>
        <w:t xml:space="preserve">Fed. R. Crim. P. </w:t>
      </w:r>
      <w:r>
        <w:t>42(a).</w:t>
      </w:r>
    </w:p>
    <w:p w14:paraId="55AA6BD7" w14:textId="65ADFDD9" w:rsidR="00037E61" w:rsidRDefault="00037E61" w:rsidP="00037E61">
      <w:r w:rsidRPr="00037E61">
        <w:rPr>
          <w:rFonts w:cs="Times New Roman (Body CS)"/>
          <w:smallCaps/>
        </w:rPr>
        <w:t>Fed. R. App. P.</w:t>
      </w:r>
      <w:r>
        <w:t xml:space="preserve"> 2.</w:t>
      </w:r>
    </w:p>
    <w:p w14:paraId="5EF05BFA" w14:textId="2937BCC8" w:rsidR="00037E61" w:rsidRDefault="00037E61" w:rsidP="00037E61">
      <w:r w:rsidRPr="00037E61">
        <w:rPr>
          <w:rFonts w:cs="Times New Roman (Body CS)"/>
          <w:smallCaps/>
        </w:rPr>
        <w:t xml:space="preserve">1st Cir. R. </w:t>
      </w:r>
      <w:r>
        <w:t>6(a).</w:t>
      </w:r>
    </w:p>
    <w:p w14:paraId="5A51FBCD" w14:textId="2F7F4B2E" w:rsidR="00037E61" w:rsidRDefault="00037E61" w:rsidP="00037E61">
      <w:r w:rsidRPr="00037E61">
        <w:rPr>
          <w:rFonts w:cs="Times New Roman (Body CS)"/>
          <w:smallCaps/>
        </w:rPr>
        <w:t xml:space="preserve">Del. Ct. C.P.R. </w:t>
      </w:r>
      <w:r>
        <w:t>8(f).</w:t>
      </w:r>
    </w:p>
    <w:p w14:paraId="4173FC20" w14:textId="63A248C3" w:rsidR="00037E61" w:rsidRDefault="00037E61" w:rsidP="00037E61">
      <w:r w:rsidRPr="00037E61">
        <w:rPr>
          <w:rFonts w:cs="Times New Roman (Body CS)"/>
          <w:smallCaps/>
        </w:rPr>
        <w:t>Fed. R. Evid.</w:t>
      </w:r>
      <w:r>
        <w:t xml:space="preserve"> 410.</w:t>
      </w:r>
    </w:p>
    <w:p w14:paraId="63CE4039" w14:textId="4AC38927" w:rsidR="00037E61" w:rsidRDefault="00037E61" w:rsidP="00037E61">
      <w:proofErr w:type="spellStart"/>
      <w:r w:rsidRPr="00037E61">
        <w:rPr>
          <w:rFonts w:cs="Times New Roman (Body CS)"/>
          <w:smallCaps/>
        </w:rPr>
        <w:t>Unif</w:t>
      </w:r>
      <w:proofErr w:type="spellEnd"/>
      <w:r w:rsidRPr="00037E61">
        <w:rPr>
          <w:rFonts w:cs="Times New Roman (Body CS)"/>
          <w:smallCaps/>
        </w:rPr>
        <w:t xml:space="preserve">. R. Evid. </w:t>
      </w:r>
      <w:r>
        <w:t>404(b)</w:t>
      </w:r>
    </w:p>
    <w:p w14:paraId="4A7186BE" w14:textId="296E5A2C" w:rsidR="00037E61" w:rsidRDefault="00037E61" w:rsidP="00037E61">
      <w:r w:rsidRPr="00037E61">
        <w:rPr>
          <w:rFonts w:cs="Times New Roman (Body CS)"/>
          <w:smallCaps/>
        </w:rPr>
        <w:t>Sup. Ct. R.</w:t>
      </w:r>
      <w:r>
        <w:t xml:space="preserve"> 17.</w:t>
      </w:r>
    </w:p>
    <w:p w14:paraId="7F7C2B10" w14:textId="77777777" w:rsidR="00037E61" w:rsidRPr="00037E61" w:rsidRDefault="00037E61" w:rsidP="00037E61"/>
    <w:p w14:paraId="7C1EE68C" w14:textId="506373FB" w:rsidR="004E2AF6" w:rsidRDefault="004E2AF6" w:rsidP="004E0D84">
      <w:pPr>
        <w:rPr>
          <w:rFonts w:cs="Times New Roman (Body CS)"/>
          <w:smallCaps/>
        </w:rPr>
      </w:pPr>
    </w:p>
    <w:p w14:paraId="61F6E366" w14:textId="77777777" w:rsidR="00037E61" w:rsidRDefault="00037E61" w:rsidP="00037E61">
      <w:pPr>
        <w:pStyle w:val="Heading2"/>
      </w:pPr>
      <w:bookmarkStart w:id="47" w:name="_Toc187249910"/>
      <w:r>
        <w:t>Statutes</w:t>
      </w:r>
      <w:bookmarkEnd w:id="47"/>
    </w:p>
    <w:p w14:paraId="577EA5BB" w14:textId="77777777" w:rsidR="00037E61" w:rsidRDefault="00037E61" w:rsidP="00037E61">
      <w:pPr>
        <w:pStyle w:val="Heading3"/>
      </w:pPr>
      <w:bookmarkStart w:id="48" w:name="_Toc187249911"/>
      <w:r>
        <w:t>United States Code</w:t>
      </w:r>
      <w:bookmarkEnd w:id="48"/>
    </w:p>
    <w:p w14:paraId="30A8E36E" w14:textId="77777777" w:rsidR="00037E61" w:rsidRDefault="00037E61" w:rsidP="00037E61">
      <w:r>
        <w:t>When citing to an entire statute:</w:t>
      </w:r>
    </w:p>
    <w:p w14:paraId="5A29CD66" w14:textId="77777777" w:rsidR="00037E61" w:rsidRDefault="00037E61" w:rsidP="00037E61">
      <w:r>
        <w:t>False Claims Act, 31 U.S.C. §§ 3729</w:t>
      </w:r>
      <w:r w:rsidRPr="004E2AF6">
        <w:t>–2733</w:t>
      </w:r>
      <w:r>
        <w:t xml:space="preserve"> (2019).</w:t>
      </w:r>
    </w:p>
    <w:p w14:paraId="10B9A51D" w14:textId="77777777" w:rsidR="00037E61" w:rsidRDefault="00037E61" w:rsidP="00037E61"/>
    <w:p w14:paraId="3D0001F5" w14:textId="77777777" w:rsidR="00037E61" w:rsidRDefault="00037E61" w:rsidP="00037E61">
      <w:r>
        <w:t xml:space="preserve">When citing to an individual provision of the </w:t>
      </w:r>
      <w:r>
        <w:rPr>
          <w:i/>
          <w:iCs/>
        </w:rPr>
        <w:t>United States Code</w:t>
      </w:r>
      <w:r>
        <w:t>:</w:t>
      </w:r>
    </w:p>
    <w:p w14:paraId="4457E53A" w14:textId="2DDC2A8B" w:rsidR="00037E61" w:rsidRDefault="00037E61" w:rsidP="00037E61">
      <w:r>
        <w:t>31 U.S.C. § 3729 (2019).</w:t>
      </w:r>
    </w:p>
    <w:p w14:paraId="7258DA9A" w14:textId="55C74A6B" w:rsidR="00164055" w:rsidRDefault="00164055" w:rsidP="00037E61"/>
    <w:p w14:paraId="597ECA1B" w14:textId="47129A7C" w:rsidR="00164055" w:rsidRDefault="00164055" w:rsidP="00164055">
      <w:pPr>
        <w:pStyle w:val="Heading3"/>
      </w:pPr>
      <w:bookmarkStart w:id="49" w:name="_Toc187249912"/>
      <w:r>
        <w:t>Georgia (U.S.)</w:t>
      </w:r>
      <w:bookmarkEnd w:id="49"/>
    </w:p>
    <w:p w14:paraId="2FBD55F3" w14:textId="0089C19A" w:rsidR="00164055" w:rsidRPr="00164055" w:rsidRDefault="00164055" w:rsidP="00164055">
      <w:pPr>
        <w:pStyle w:val="Heading4"/>
      </w:pPr>
      <w:r>
        <w:t>Official Code of Georgia Annotated (LexisNexis)</w:t>
      </w:r>
    </w:p>
    <w:p w14:paraId="7C663C50" w14:textId="557F51EB" w:rsidR="00164055" w:rsidRDefault="00164055" w:rsidP="00037E61">
      <w:r w:rsidRPr="00164055">
        <w:rPr>
          <w:rFonts w:cs="Times New Roman (Body CS)"/>
          <w:smallCaps/>
        </w:rPr>
        <w:t>Ga. Code Ann.</w:t>
      </w:r>
      <w:r>
        <w:t xml:space="preserve"> § x-x-x </w:t>
      </w:r>
      <w:commentRangeStart w:id="50"/>
      <w:r>
        <w:t>(&lt;year of code&gt;).</w:t>
      </w:r>
      <w:commentRangeEnd w:id="50"/>
      <w:r>
        <w:rPr>
          <w:rStyle w:val="CommentReference"/>
        </w:rPr>
        <w:commentReference w:id="50"/>
      </w:r>
    </w:p>
    <w:p w14:paraId="62FE8F6B" w14:textId="1A69A45C" w:rsidR="00164055" w:rsidRDefault="00164055" w:rsidP="00037E61"/>
    <w:p w14:paraId="61D3117F" w14:textId="60BAA77A" w:rsidR="00164055" w:rsidRDefault="00164055" w:rsidP="00164055">
      <w:pPr>
        <w:pStyle w:val="Heading4"/>
      </w:pPr>
      <w:r>
        <w:lastRenderedPageBreak/>
        <w:t>West’s Code of Georgia Annotated (</w:t>
      </w:r>
      <w:proofErr w:type="spellStart"/>
      <w:r>
        <w:t>WestLaw</w:t>
      </w:r>
      <w:proofErr w:type="spellEnd"/>
      <w:r>
        <w:t>)</w:t>
      </w:r>
    </w:p>
    <w:p w14:paraId="73B7F04C" w14:textId="7231FCF7" w:rsidR="00164055" w:rsidRDefault="00164055" w:rsidP="00037E61">
      <w:r w:rsidRPr="00164055">
        <w:rPr>
          <w:rFonts w:cs="Times New Roman (Body CS)"/>
          <w:smallCaps/>
        </w:rPr>
        <w:t>Ga. Code Ann.</w:t>
      </w:r>
      <w:r>
        <w:t xml:space="preserve"> § x-x-x (West </w:t>
      </w:r>
      <w:commentRangeStart w:id="51"/>
      <w:r>
        <w:t>&lt;year of code&gt;</w:t>
      </w:r>
      <w:commentRangeEnd w:id="51"/>
      <w:r>
        <w:rPr>
          <w:rStyle w:val="CommentReference"/>
        </w:rPr>
        <w:commentReference w:id="51"/>
      </w:r>
      <w:r>
        <w:t>).</w:t>
      </w:r>
    </w:p>
    <w:p w14:paraId="02C28D17" w14:textId="7CAB5A7B" w:rsidR="003B47E4" w:rsidRDefault="003B47E4" w:rsidP="00037E61"/>
    <w:p w14:paraId="54BB2A8E" w14:textId="3B80ABC7" w:rsidR="003B47E4" w:rsidRDefault="003B47E4" w:rsidP="003B47E4">
      <w:pPr>
        <w:pStyle w:val="Heading3"/>
      </w:pPr>
      <w:bookmarkStart w:id="52" w:name="_Toc187249913"/>
      <w:r>
        <w:t>Session laws amending prior acts.</w:t>
      </w:r>
      <w:bookmarkEnd w:id="52"/>
    </w:p>
    <w:p w14:paraId="524AC5A9" w14:textId="7776225F" w:rsidR="003B47E4" w:rsidRDefault="003B47E4" w:rsidP="00037E61">
      <w:r>
        <w:t>“Cite the bill’s sections by abbreviation (</w:t>
      </w:r>
      <w:r w:rsidRPr="003B47E4">
        <w:rPr>
          <w:rFonts w:ascii="Open Sans" w:hAnsi="Open Sans" w:cs="Open Sans"/>
        </w:rPr>
        <w:t>sec.</w:t>
      </w:r>
      <w:r>
        <w:t>) and the amended act’s sections by symbol (</w:t>
      </w:r>
      <w:r w:rsidRPr="003B47E4">
        <w:rPr>
          <w:rFonts w:ascii="Open Sans" w:hAnsi="Open Sans" w:cs="Open Sans"/>
        </w:rPr>
        <w:t>§</w:t>
      </w:r>
      <w:r>
        <w:t>).”</w:t>
      </w:r>
      <w:r w:rsidRPr="00755452">
        <w:rPr>
          <w:rStyle w:val="FootnoteReference"/>
        </w:rPr>
        <w:footnoteReference w:id="15"/>
      </w:r>
    </w:p>
    <w:p w14:paraId="0A11863C" w14:textId="2A124E9E" w:rsidR="003B47E4" w:rsidRDefault="003B47E4" w:rsidP="00037E61">
      <w:r>
        <w:t>Labor-Management Relations Act, ch. 120, sec. 101, § 8(a)(3), 61 Stat. 136, 140–41 (1947).</w:t>
      </w:r>
    </w:p>
    <w:p w14:paraId="1B5EDD04" w14:textId="77777777" w:rsidR="00350F4E" w:rsidRDefault="00350F4E" w:rsidP="00037E61"/>
    <w:p w14:paraId="0EA09429" w14:textId="2CF0F828" w:rsidR="003B47E4" w:rsidRPr="004E2AF6" w:rsidRDefault="003B47E4" w:rsidP="00037E61">
      <w:r>
        <w:t>2021 Ga. Laws 15, sec. 1, § 2(a).</w:t>
      </w:r>
    </w:p>
    <w:p w14:paraId="1265545B" w14:textId="215DD930" w:rsidR="004E2AF6" w:rsidRPr="00350F4E" w:rsidRDefault="00350F4E" w:rsidP="004E0D84">
      <w:pPr>
        <w:rPr>
          <w:rStyle w:val="SubtleEmphasis"/>
        </w:rPr>
      </w:pPr>
      <w:r>
        <w:rPr>
          <w:rStyle w:val="SubtleEmphasis"/>
        </w:rPr>
        <w:t>In the citation above, “sec. 1” refers to the first section of the bill; “§ 2(a)” is citing to the location in the original act that is being amended (i.e., where the changes will go).</w:t>
      </w:r>
    </w:p>
    <w:p w14:paraId="7BCE893B" w14:textId="77777777" w:rsidR="00350F4E" w:rsidRDefault="00350F4E" w:rsidP="004E0D84">
      <w:pPr>
        <w:rPr>
          <w:rFonts w:cs="Times New Roman (Body CS)"/>
          <w:smallCaps/>
        </w:rPr>
      </w:pPr>
    </w:p>
    <w:p w14:paraId="5C44A464" w14:textId="77777777" w:rsidR="004E2AF6" w:rsidRDefault="004E2AF6" w:rsidP="004E0D84">
      <w:pPr>
        <w:rPr>
          <w:rFonts w:cs="Times New Roman (Body CS)"/>
          <w:smallCaps/>
        </w:rPr>
      </w:pPr>
    </w:p>
    <w:p w14:paraId="4E41E3B8" w14:textId="27E220B8" w:rsidR="001E7BD7" w:rsidRDefault="00A51295" w:rsidP="00A51295">
      <w:pPr>
        <w:pStyle w:val="Heading2"/>
      </w:pPr>
      <w:bookmarkStart w:id="53" w:name="_Toc187249914"/>
      <w:r>
        <w:t>Ordinances</w:t>
      </w:r>
      <w:bookmarkEnd w:id="53"/>
    </w:p>
    <w:p w14:paraId="72967530" w14:textId="6BAB6D12" w:rsidR="00A51295" w:rsidRDefault="00A51295" w:rsidP="00A51295">
      <w:pPr>
        <w:rPr>
          <w:rFonts w:cs="Times New Roman (Body CS)"/>
          <w:smallCaps/>
        </w:rPr>
      </w:pPr>
      <w:r>
        <w:rPr>
          <w:rFonts w:cs="Times New Roman (Body CS)"/>
          <w:smallCaps/>
        </w:rPr>
        <w:t xml:space="preserve">Montgomery, Ala., Code </w:t>
      </w:r>
      <w:r w:rsidRPr="00A51295">
        <w:rPr>
          <w:rFonts w:cs="Times New Roman (Body CS)"/>
        </w:rPr>
        <w:t>§ 3A-11 (1971)</w:t>
      </w:r>
      <w:r>
        <w:rPr>
          <w:rFonts w:cs="Times New Roman (Body CS)"/>
          <w:smallCaps/>
        </w:rPr>
        <w:t>.</w:t>
      </w:r>
    </w:p>
    <w:p w14:paraId="2A843E8E" w14:textId="67AC3BAD" w:rsidR="00A51295" w:rsidRDefault="00A51295" w:rsidP="00A51295">
      <w:pPr>
        <w:rPr>
          <w:rFonts w:cs="Times New Roman (Body CS)"/>
        </w:rPr>
      </w:pPr>
      <w:r>
        <w:rPr>
          <w:rFonts w:cs="Times New Roman (Body CS)"/>
          <w:smallCaps/>
        </w:rPr>
        <w:t xml:space="preserve">Portland, Or., Police Code </w:t>
      </w:r>
      <w:r w:rsidRPr="00A51295">
        <w:rPr>
          <w:rFonts w:cs="Times New Roman (Body CS)"/>
        </w:rPr>
        <w:t>art. 30 (1933).</w:t>
      </w:r>
      <w:r w:rsidRPr="00755452">
        <w:rPr>
          <w:rStyle w:val="FootnoteReference"/>
        </w:rPr>
        <w:footnoteReference w:id="16"/>
      </w:r>
    </w:p>
    <w:p w14:paraId="557A5B26" w14:textId="6C9E6D6B" w:rsidR="00FD2026" w:rsidRDefault="00FD2026" w:rsidP="00A51295">
      <w:pPr>
        <w:rPr>
          <w:rFonts w:cs="Times New Roman (Body CS)"/>
        </w:rPr>
      </w:pPr>
    </w:p>
    <w:p w14:paraId="14D897E3" w14:textId="75E97A00" w:rsidR="00FD2026" w:rsidRDefault="00FD2026" w:rsidP="00FD2026">
      <w:pPr>
        <w:pStyle w:val="Heading2"/>
        <w:rPr>
          <w:smallCaps/>
        </w:rPr>
      </w:pPr>
      <w:bookmarkStart w:id="54" w:name="_Toc187249915"/>
      <w:r>
        <w:t>Bylaws</w:t>
      </w:r>
      <w:bookmarkEnd w:id="54"/>
    </w:p>
    <w:p w14:paraId="290E00EC" w14:textId="66922251" w:rsidR="00A51295" w:rsidRPr="00A51295" w:rsidRDefault="00A51295" w:rsidP="00A51295">
      <w:r w:rsidRPr="00A51295">
        <w:rPr>
          <w:rFonts w:cs="Times New Roman (Body CS)"/>
          <w:smallCaps/>
        </w:rPr>
        <w:t>Fulton Cty., Ga. Bd. of Registration and Elections Bylaws</w:t>
      </w:r>
      <w:r w:rsidRPr="00A51295">
        <w:t xml:space="preserve"> art. I (</w:t>
      </w:r>
      <w:r w:rsidR="00C813E0">
        <w:t xml:space="preserve">adopted Feb. 11, </w:t>
      </w:r>
      <w:r w:rsidRPr="00A51295">
        <w:t>2021).</w:t>
      </w:r>
    </w:p>
    <w:p w14:paraId="62F1406F" w14:textId="77777777" w:rsidR="00A51295" w:rsidRDefault="00A51295" w:rsidP="00BC0B98"/>
    <w:p w14:paraId="6B086F90" w14:textId="541273CC" w:rsidR="001E7BD7" w:rsidRDefault="001E7BD7" w:rsidP="001E7BD7">
      <w:pPr>
        <w:pStyle w:val="Heading2"/>
      </w:pPr>
      <w:bookmarkStart w:id="55" w:name="_Toc187249916"/>
      <w:r>
        <w:t>Motorsports</w:t>
      </w:r>
      <w:bookmarkEnd w:id="55"/>
    </w:p>
    <w:p w14:paraId="096F37B2" w14:textId="7002885A" w:rsidR="001E7BD7" w:rsidRDefault="001E7BD7" w:rsidP="001E7BD7">
      <w:r w:rsidRPr="001E7BD7">
        <w:rPr>
          <w:i/>
          <w:iCs/>
        </w:rPr>
        <w:t>Event name</w:t>
      </w:r>
      <w:r>
        <w:t xml:space="preserve"> (dates of event),</w:t>
      </w:r>
    </w:p>
    <w:p w14:paraId="2C35D996" w14:textId="2B9D6B1A" w:rsidR="001E7BD7" w:rsidRPr="001E7BD7" w:rsidRDefault="001E7BD7" w:rsidP="001E7BD7">
      <w:r w:rsidRPr="001E7BD7">
        <w:rPr>
          <w:i/>
          <w:iCs/>
        </w:rPr>
        <w:t>2021 Emilia Romagna Grand</w:t>
      </w:r>
      <w:r>
        <w:t xml:space="preserve"> Prix (15 – 18 April 2021), </w:t>
      </w:r>
    </w:p>
    <w:p w14:paraId="251C7E13" w14:textId="76F22474" w:rsidR="000306D1" w:rsidRDefault="000306D1" w:rsidP="004E0D84"/>
    <w:p w14:paraId="3E8B2464" w14:textId="3BFC3CB1" w:rsidR="009B67C3" w:rsidRDefault="00012F4F" w:rsidP="009812E8">
      <w:pPr>
        <w:pStyle w:val="Heading1"/>
      </w:pPr>
      <w:bookmarkStart w:id="56" w:name="_Toc80800023"/>
      <w:bookmarkStart w:id="57" w:name="_Toc187249917"/>
      <w:r>
        <w:t>Drafting</w:t>
      </w:r>
      <w:bookmarkEnd w:id="56"/>
      <w:bookmarkEnd w:id="57"/>
    </w:p>
    <w:p w14:paraId="436EABD5" w14:textId="608D5F16" w:rsidR="009B67C3" w:rsidRDefault="009B67C3" w:rsidP="00E31386">
      <w:pPr>
        <w:pStyle w:val="Heading3"/>
      </w:pPr>
      <w:bookmarkStart w:id="58" w:name="_Toc80800024"/>
      <w:bookmarkStart w:id="59" w:name="_Toc187249918"/>
      <w:r>
        <w:t>Vernacular and Usage</w:t>
      </w:r>
      <w:bookmarkEnd w:id="58"/>
      <w:bookmarkEnd w:id="59"/>
    </w:p>
    <w:p w14:paraId="2FA3214C" w14:textId="31832377" w:rsidR="00736084" w:rsidRPr="00736084" w:rsidRDefault="00736084" w:rsidP="00E31386">
      <w:r>
        <w:rPr>
          <w:b/>
          <w:bCs/>
        </w:rPr>
        <w:t>and/or</w:t>
      </w:r>
      <w:r>
        <w:t xml:space="preserve">. To avoid creating ambiguity, avoid using </w:t>
      </w:r>
      <w:r>
        <w:rPr>
          <w:i/>
          <w:iCs/>
        </w:rPr>
        <w:t>and/or</w:t>
      </w:r>
      <w:r>
        <w:t xml:space="preserve">. </w:t>
      </w:r>
      <w:r>
        <w:rPr>
          <w:i/>
          <w:iCs/>
        </w:rPr>
        <w:t>Or</w:t>
      </w:r>
      <w:r>
        <w:t xml:space="preserve"> usually suffices by itself. “</w:t>
      </w:r>
      <w:r w:rsidRPr="00736084">
        <w:t>If you are offered coffee or tea, you may pick either (or, in this case, nei</w:t>
      </w:r>
      <w:r>
        <w:t>th</w:t>
      </w:r>
      <w:r w:rsidRPr="00736084">
        <w:t>er), or you may for w</w:t>
      </w:r>
      <w:r>
        <w:t>h</w:t>
      </w:r>
      <w:r w:rsidRPr="00736084">
        <w:t xml:space="preserve">atever reason order both. This is the ordinary sense of the word, </w:t>
      </w:r>
      <w:r>
        <w:t>u</w:t>
      </w:r>
      <w:r w:rsidRPr="00736084">
        <w:t xml:space="preserve">nderstood by everyone and </w:t>
      </w:r>
      <w:r>
        <w:t>un</w:t>
      </w:r>
      <w:r w:rsidRPr="00736084">
        <w:t>iversally</w:t>
      </w:r>
      <w:r>
        <w:t xml:space="preserve"> </w:t>
      </w:r>
      <w:r w:rsidRPr="00736084">
        <w:t>acco</w:t>
      </w:r>
      <w:r>
        <w:t>m</w:t>
      </w:r>
      <w:r w:rsidRPr="00736084">
        <w:t>modated by t</w:t>
      </w:r>
      <w:r>
        <w:t>h</w:t>
      </w:r>
      <w:r w:rsidRPr="00736084">
        <w:t>e si</w:t>
      </w:r>
      <w:r>
        <w:t>m</w:t>
      </w:r>
      <w:r w:rsidRPr="00736084">
        <w:t xml:space="preserve">ple </w:t>
      </w:r>
      <w:r w:rsidRPr="00736084">
        <w:rPr>
          <w:i/>
          <w:iCs/>
        </w:rPr>
        <w:t>or</w:t>
      </w:r>
      <w:r w:rsidRPr="00736084">
        <w:t>.”</w:t>
      </w:r>
      <w:r w:rsidRPr="00755452">
        <w:rPr>
          <w:rStyle w:val="FootnoteReference"/>
        </w:rPr>
        <w:footnoteReference w:id="17"/>
      </w:r>
    </w:p>
    <w:p w14:paraId="02355667" w14:textId="77777777" w:rsidR="00736084" w:rsidRDefault="00736084" w:rsidP="00E31386">
      <w:pPr>
        <w:rPr>
          <w:b/>
          <w:bCs/>
        </w:rPr>
      </w:pPr>
    </w:p>
    <w:p w14:paraId="31C6FA90" w14:textId="20413FB2" w:rsidR="00E31386" w:rsidRDefault="00E31386" w:rsidP="00E31386">
      <w:r>
        <w:rPr>
          <w:b/>
          <w:bCs/>
        </w:rPr>
        <w:t>indemnify</w:t>
      </w:r>
      <w:r>
        <w:t xml:space="preserve">. “﻿It’s commonplace for drafters to use the phrase </w:t>
      </w:r>
      <w:r w:rsidRPr="00F34E7E">
        <w:rPr>
          <w:i/>
          <w:iCs/>
        </w:rPr>
        <w:t>indemnify and hold harmless</w:t>
      </w:r>
      <w:r>
        <w:t xml:space="preserve"> (or </w:t>
      </w:r>
      <w:r w:rsidRPr="000A2337">
        <w:rPr>
          <w:i/>
          <w:iCs/>
        </w:rPr>
        <w:t>save harmless</w:t>
      </w:r>
      <w:r>
        <w:t xml:space="preserve">). Use instead just </w:t>
      </w:r>
      <w:r w:rsidRPr="000A2337">
        <w:rPr>
          <w:i/>
          <w:iCs/>
        </w:rPr>
        <w:t>indemnify</w:t>
      </w:r>
      <w:r>
        <w:t>—it’s clearer and more concise.</w:t>
      </w:r>
      <w:r w:rsidR="000A2337">
        <w:t>”</w:t>
      </w:r>
      <w:r w:rsidR="00A93E2E" w:rsidRPr="00755452">
        <w:rPr>
          <w:rStyle w:val="FootnoteReference"/>
        </w:rPr>
        <w:footnoteReference w:id="18"/>
      </w:r>
      <w:r>
        <w:t xml:space="preserve"> </w:t>
      </w:r>
      <w:r w:rsidR="00D31DC0">
        <w:t xml:space="preserve">Vice Chancellor </w:t>
      </w:r>
      <w:proofErr w:type="spellStart"/>
      <w:r w:rsidR="00D31DC0">
        <w:t>Strine</w:t>
      </w:r>
      <w:proofErr w:type="spellEnd"/>
      <w:r w:rsidR="00D31DC0">
        <w:t xml:space="preserve"> noted in that “</w:t>
      </w:r>
      <w:r w:rsidR="00D31DC0" w:rsidRPr="00D31DC0">
        <w:t xml:space="preserve">modern authorities confirm that </w:t>
      </w:r>
      <w:r w:rsidR="00D31DC0">
        <w:t>‘</w:t>
      </w:r>
      <w:r w:rsidR="00D31DC0" w:rsidRPr="00D31DC0">
        <w:t>hold harmless</w:t>
      </w:r>
      <w:r w:rsidR="00D31DC0">
        <w:t>’</w:t>
      </w:r>
      <w:r w:rsidR="00D31DC0" w:rsidRPr="00D31DC0">
        <w:t xml:space="preserve"> has little, if any, different meaning than the word </w:t>
      </w:r>
      <w:r w:rsidR="00D31DC0">
        <w:t>‘</w:t>
      </w:r>
      <w:r w:rsidR="00D31DC0" w:rsidRPr="00D31DC0">
        <w:t>indemnify.</w:t>
      </w:r>
      <w:r w:rsidR="00D31DC0">
        <w:t>’”</w:t>
      </w:r>
      <w:r w:rsidR="00E15F65" w:rsidRPr="00755452">
        <w:rPr>
          <w:rStyle w:val="FootnoteReference"/>
        </w:rPr>
        <w:footnoteReference w:id="19"/>
      </w:r>
      <w:r w:rsidR="00666F52">
        <w:t xml:space="preserve"> </w:t>
      </w:r>
      <w:r w:rsidR="00AF0EC1">
        <w:t>“To ensure that indemnification covers both</w:t>
      </w:r>
      <w:r w:rsidR="009F40A6">
        <w:t xml:space="preserve"> </w:t>
      </w:r>
      <w:r w:rsidR="00EF3B9D">
        <w:t>[“losses you’ve paid for”</w:t>
      </w:r>
      <w:r w:rsidR="000905BA">
        <w:t xml:space="preserve"> and “whether the indemnifying party must also step in when you’ve incurred a liability that you’re being asked to pay,”]</w:t>
      </w:r>
      <w:r w:rsidR="000077F4">
        <w:t xml:space="preserve">, impose on </w:t>
      </w:r>
      <w:r w:rsidR="00D023BE">
        <w:t xml:space="preserve">[the indemnitor] </w:t>
      </w:r>
      <w:r w:rsidR="000077F4">
        <w:t>th</w:t>
      </w:r>
      <w:r w:rsidR="00CC5198">
        <w:t xml:space="preserve">e </w:t>
      </w:r>
      <w:r w:rsidR="000077F4">
        <w:t>obligation</w:t>
      </w:r>
      <w:r w:rsidR="00D023BE">
        <w:t xml:space="preserve"> to indemnify [the indemnitee] against both losses and liabilities.”</w:t>
      </w:r>
      <w:r w:rsidR="00D023BE" w:rsidRPr="00755452">
        <w:rPr>
          <w:rStyle w:val="FootnoteReference"/>
        </w:rPr>
        <w:footnoteReference w:id="20"/>
      </w:r>
    </w:p>
    <w:p w14:paraId="6D0C4751" w14:textId="77777777" w:rsidR="00B51284" w:rsidRDefault="00B51284" w:rsidP="00E31386"/>
    <w:p w14:paraId="56482B14" w14:textId="4A0BAE79" w:rsidR="00B51284" w:rsidRPr="00B51284" w:rsidRDefault="00B51284" w:rsidP="00E31386">
      <w:r>
        <w:rPr>
          <w:b/>
          <w:bCs/>
        </w:rPr>
        <w:t>ISL</w:t>
      </w:r>
      <w:r>
        <w:t>/</w:t>
      </w:r>
      <w:r>
        <w:rPr>
          <w:b/>
          <w:bCs/>
        </w:rPr>
        <w:t>ISLT</w:t>
      </w:r>
      <w:r>
        <w:t>. Stands for “Independent State Legislature Theory.”</w:t>
      </w:r>
    </w:p>
    <w:p w14:paraId="6B6665B4" w14:textId="77777777" w:rsidR="00962755" w:rsidRDefault="00962755" w:rsidP="00E31386"/>
    <w:p w14:paraId="2D08ACD0" w14:textId="710EFA69" w:rsidR="00962755" w:rsidRPr="00962755" w:rsidRDefault="00962755" w:rsidP="00E31386">
      <w:r>
        <w:rPr>
          <w:b/>
          <w:bCs/>
        </w:rPr>
        <w:t>I</w:t>
      </w:r>
      <w:r>
        <w:t xml:space="preserve"> versus </w:t>
      </w:r>
      <w:r w:rsidRPr="00962755">
        <w:rPr>
          <w:b/>
          <w:bCs/>
        </w:rPr>
        <w:t>me</w:t>
      </w:r>
      <w:r w:rsidR="005447C5">
        <w:rPr>
          <w:b/>
          <w:bCs/>
        </w:rPr>
        <w:t xml:space="preserve"> </w:t>
      </w:r>
      <w:r w:rsidR="005447C5">
        <w:t>(</w:t>
      </w:r>
      <w:r w:rsidR="005447C5">
        <w:rPr>
          <w:b/>
          <w:bCs/>
        </w:rPr>
        <w:t>I</w:t>
      </w:r>
      <w:r w:rsidR="005447C5">
        <w:t xml:space="preserve"> v. </w:t>
      </w:r>
      <w:r w:rsidR="005447C5">
        <w:rPr>
          <w:b/>
          <w:bCs/>
        </w:rPr>
        <w:t>me</w:t>
      </w:r>
      <w:r w:rsidR="005447C5">
        <w:t>)</w:t>
      </w:r>
      <w:r>
        <w:t xml:space="preserve">. </w:t>
      </w:r>
      <w:r w:rsidRPr="00962755">
        <w:t>See</w:t>
      </w:r>
      <w:r>
        <w:rPr>
          <w:i/>
          <w:iCs/>
        </w:rPr>
        <w:t xml:space="preserve"> </w:t>
      </w:r>
      <w:r w:rsidRPr="00962755">
        <w:rPr>
          <w:i/>
          <w:iCs/>
        </w:rPr>
        <w:fldChar w:fldCharType="begin"/>
      </w:r>
      <w:r w:rsidRPr="00962755">
        <w:rPr>
          <w:i/>
          <w:iCs/>
        </w:rPr>
        <w:instrText xml:space="preserve"> REF me_versus_I \h  \* MERGEFORMAT </w:instrText>
      </w:r>
      <w:r w:rsidRPr="00962755">
        <w:rPr>
          <w:i/>
          <w:iCs/>
        </w:rPr>
      </w:r>
      <w:r w:rsidRPr="00962755">
        <w:rPr>
          <w:i/>
          <w:iCs/>
        </w:rPr>
        <w:fldChar w:fldCharType="separate"/>
      </w:r>
      <w:r w:rsidRPr="00962755">
        <w:rPr>
          <w:b/>
          <w:bCs/>
          <w:i/>
          <w:iCs/>
        </w:rPr>
        <w:t>me</w:t>
      </w:r>
      <w:r w:rsidRPr="00962755">
        <w:rPr>
          <w:i/>
          <w:iCs/>
        </w:rPr>
        <w:t xml:space="preserve"> versus </w:t>
      </w:r>
      <w:r w:rsidRPr="00962755">
        <w:rPr>
          <w:b/>
          <w:bCs/>
          <w:i/>
          <w:iCs/>
        </w:rPr>
        <w:t>I</w:t>
      </w:r>
      <w:r w:rsidRPr="00962755">
        <w:rPr>
          <w:i/>
          <w:iCs/>
        </w:rPr>
        <w:fldChar w:fldCharType="end"/>
      </w:r>
      <w:r>
        <w:t>.</w:t>
      </w:r>
    </w:p>
    <w:p w14:paraId="3D4A374A" w14:textId="77777777" w:rsidR="00962755" w:rsidRDefault="00962755" w:rsidP="00E31386"/>
    <w:p w14:paraId="74749D34" w14:textId="1A40511E" w:rsidR="00962755" w:rsidRPr="00962755" w:rsidRDefault="00962755" w:rsidP="00E31386">
      <w:bookmarkStart w:id="60" w:name="me_versus_I"/>
      <w:bookmarkStart w:id="61" w:name="_Hlk178766330"/>
      <w:r>
        <w:rPr>
          <w:b/>
          <w:bCs/>
        </w:rPr>
        <w:t>me</w:t>
      </w:r>
      <w:r>
        <w:t xml:space="preserve"> versus </w:t>
      </w:r>
      <w:r>
        <w:rPr>
          <w:b/>
          <w:bCs/>
        </w:rPr>
        <w:t>I</w:t>
      </w:r>
      <w:bookmarkEnd w:id="60"/>
      <w:r w:rsidR="005447C5">
        <w:rPr>
          <w:b/>
          <w:bCs/>
        </w:rPr>
        <w:t xml:space="preserve"> </w:t>
      </w:r>
      <w:r w:rsidR="005447C5">
        <w:t>(</w:t>
      </w:r>
      <w:r w:rsidR="005447C5">
        <w:rPr>
          <w:b/>
          <w:bCs/>
        </w:rPr>
        <w:t>me</w:t>
      </w:r>
      <w:r w:rsidR="005447C5">
        <w:t xml:space="preserve"> v. </w:t>
      </w:r>
      <w:r w:rsidR="005447C5">
        <w:rPr>
          <w:b/>
          <w:bCs/>
        </w:rPr>
        <w:t>I</w:t>
      </w:r>
      <w:r w:rsidR="005447C5">
        <w:t>)</w:t>
      </w:r>
      <w:r>
        <w:t xml:space="preserve">. </w:t>
      </w:r>
      <w:bookmarkEnd w:id="61"/>
      <w:r>
        <w:t>“</w:t>
      </w:r>
      <w:r w:rsidRPr="00962755">
        <w:t>Knowing when to use </w:t>
      </w:r>
      <w:r w:rsidRPr="00962755">
        <w:rPr>
          <w:i/>
          <w:iCs/>
        </w:rPr>
        <w:t>me</w:t>
      </w:r>
      <w:r w:rsidRPr="00962755">
        <w:t> and </w:t>
      </w:r>
      <w:r w:rsidRPr="00962755">
        <w:rPr>
          <w:i/>
          <w:iCs/>
        </w:rPr>
        <w:t>I</w:t>
      </w:r>
      <w:r w:rsidRPr="00962755">
        <w:t> can be confusing, so here is a quick guide: Use </w:t>
      </w:r>
      <w:r w:rsidRPr="00962755">
        <w:rPr>
          <w:i/>
          <w:iCs/>
        </w:rPr>
        <w:t>me</w:t>
      </w:r>
      <w:r w:rsidRPr="00962755">
        <w:t> when you’re talking about an action done</w:t>
      </w:r>
      <w:r w:rsidRPr="00962755">
        <w:rPr>
          <w:i/>
          <w:iCs/>
        </w:rPr>
        <w:t> to</w:t>
      </w:r>
      <w:r w:rsidRPr="00962755">
        <w:t>, </w:t>
      </w:r>
      <w:r w:rsidRPr="00962755">
        <w:rPr>
          <w:i/>
          <w:iCs/>
        </w:rPr>
        <w:t>toward</w:t>
      </w:r>
      <w:r w:rsidRPr="00962755">
        <w:t>, </w:t>
      </w:r>
      <w:r w:rsidRPr="00962755">
        <w:rPr>
          <w:i/>
          <w:iCs/>
        </w:rPr>
        <w:t>for</w:t>
      </w:r>
      <w:r w:rsidRPr="00962755">
        <w:t>, </w:t>
      </w:r>
      <w:r w:rsidRPr="00962755">
        <w:rPr>
          <w:i/>
          <w:iCs/>
        </w:rPr>
        <w:t>with</w:t>
      </w:r>
      <w:r w:rsidRPr="00962755">
        <w:t>, or </w:t>
      </w:r>
      <w:r w:rsidRPr="00962755">
        <w:rPr>
          <w:i/>
          <w:iCs/>
        </w:rPr>
        <w:t>without</w:t>
      </w:r>
      <w:r w:rsidRPr="00962755">
        <w:t> </w:t>
      </w:r>
      <w:r w:rsidRPr="00962755">
        <w:rPr>
          <w:b/>
          <w:bCs/>
        </w:rPr>
        <w:t>you</w:t>
      </w:r>
      <w:r w:rsidRPr="00962755">
        <w:t>. And use </w:t>
      </w:r>
      <w:r w:rsidRPr="00962755">
        <w:rPr>
          <w:i/>
          <w:iCs/>
        </w:rPr>
        <w:t>I </w:t>
      </w:r>
      <w:r w:rsidRPr="00962755">
        <w:t>whenever you’re the one doing the action.</w:t>
      </w:r>
      <w:r>
        <w:t>”</w:t>
      </w:r>
      <w:r w:rsidRPr="00755452">
        <w:rPr>
          <w:rStyle w:val="FootnoteReference"/>
        </w:rPr>
        <w:footnoteReference w:id="21"/>
      </w:r>
    </w:p>
    <w:p w14:paraId="6D9D406A" w14:textId="7B98313A" w:rsidR="00012F4F" w:rsidRDefault="00012F4F" w:rsidP="004E0D84"/>
    <w:p w14:paraId="0F2C1F18" w14:textId="77777777" w:rsidR="00755452" w:rsidRDefault="00755452" w:rsidP="00755452">
      <w:r w:rsidRPr="00755452">
        <w:rPr>
          <w:b/>
          <w:bCs/>
          <w:i/>
          <w:iCs/>
        </w:rPr>
        <w:t>No</w:t>
      </w:r>
      <w:r w:rsidRPr="00755452">
        <w:rPr>
          <w:b/>
          <w:bCs/>
        </w:rPr>
        <w:t xml:space="preserve"> v. </w:t>
      </w:r>
      <w:r w:rsidRPr="00755452">
        <w:rPr>
          <w:b/>
          <w:bCs/>
          <w:i/>
          <w:iCs/>
        </w:rPr>
        <w:t>Not</w:t>
      </w:r>
      <w:r>
        <w:t xml:space="preserve">. Use </w:t>
      </w:r>
      <w:r>
        <w:rPr>
          <w:i/>
          <w:iCs/>
        </w:rPr>
        <w:t>no</w:t>
      </w:r>
      <w:r>
        <w:t xml:space="preserve"> before a noun phrase. For example: </w:t>
      </w:r>
    </w:p>
    <w:p w14:paraId="42E26574" w14:textId="18FCEF9E" w:rsidR="00755452" w:rsidRDefault="00755452" w:rsidP="00755452">
      <w:pPr>
        <w:pStyle w:val="ListParagraph"/>
        <w:numPr>
          <w:ilvl w:val="0"/>
          <w:numId w:val="4"/>
        </w:numPr>
      </w:pPr>
      <w:r>
        <w:t>&lt;</w:t>
      </w:r>
      <w:r w:rsidRPr="00755452">
        <w:t>There’s </w:t>
      </w:r>
      <w:r w:rsidRPr="00755452">
        <w:rPr>
          <w:b/>
        </w:rPr>
        <w:t>no</w:t>
      </w:r>
      <w:r w:rsidRPr="00755452">
        <w:t> address on the envelope.</w:t>
      </w:r>
      <w:r>
        <w:t>&gt;</w:t>
      </w:r>
    </w:p>
    <w:p w14:paraId="1E74A3F5" w14:textId="7E31363D" w:rsidR="00755452" w:rsidRDefault="00755452" w:rsidP="00755452">
      <w:pPr>
        <w:pStyle w:val="ListParagraph"/>
        <w:numPr>
          <w:ilvl w:val="0"/>
          <w:numId w:val="4"/>
        </w:numPr>
      </w:pPr>
      <w:r>
        <w:t>&lt;</w:t>
      </w:r>
      <w:r>
        <w:rPr>
          <w:b/>
          <w:bCs/>
        </w:rPr>
        <w:t>No</w:t>
      </w:r>
      <w:r>
        <w:t xml:space="preserve"> biscuits before dinner!&gt; (as if a parent was saying this to a child)</w:t>
      </w:r>
    </w:p>
    <w:p w14:paraId="3FDAE5A5" w14:textId="3CFC2784" w:rsidR="00755452" w:rsidRPr="00755452" w:rsidRDefault="00755452" w:rsidP="00755452">
      <w:pPr>
        <w:pStyle w:val="ListParagraph"/>
        <w:numPr>
          <w:ilvl w:val="0"/>
          <w:numId w:val="4"/>
        </w:numPr>
      </w:pPr>
      <w:r>
        <w:t>&lt;</w:t>
      </w:r>
      <w:r>
        <w:rPr>
          <w:b/>
          <w:bCs/>
        </w:rPr>
        <w:t>No</w:t>
      </w:r>
      <w:r>
        <w:t xml:space="preserve"> decisions have been made.&gt;</w:t>
      </w:r>
    </w:p>
    <w:p w14:paraId="33E71B0B" w14:textId="77777777" w:rsidR="00755452" w:rsidRPr="00755452" w:rsidRDefault="00755452" w:rsidP="00755452">
      <w:r>
        <w:t xml:space="preserve">Use </w:t>
      </w:r>
      <w:r w:rsidRPr="00755452">
        <w:rPr>
          <w:i/>
          <w:iCs/>
        </w:rPr>
        <w:t>not</w:t>
      </w:r>
      <w:r w:rsidRPr="00755452">
        <w:t xml:space="preserve"> with any other phrase or clause:</w:t>
      </w:r>
    </w:p>
    <w:p w14:paraId="44054DA3" w14:textId="44694A12" w:rsidR="00755452" w:rsidRPr="00755452" w:rsidRDefault="00755452" w:rsidP="00755452">
      <w:pPr>
        <w:pStyle w:val="ListParagraph"/>
        <w:numPr>
          <w:ilvl w:val="0"/>
          <w:numId w:val="4"/>
        </w:numPr>
      </w:pPr>
      <w:r>
        <w:t>&lt;</w:t>
      </w:r>
      <w:r w:rsidRPr="00755452">
        <w:t>It’s </w:t>
      </w:r>
      <w:r w:rsidRPr="00755452">
        <w:rPr>
          <w:b/>
          <w:bCs/>
        </w:rPr>
        <w:t>not</w:t>
      </w:r>
      <w:r w:rsidRPr="00755452">
        <w:t> often that you stop and think about the way you breathe.</w:t>
      </w:r>
      <w:r>
        <w:t>&gt;</w:t>
      </w:r>
    </w:p>
    <w:p w14:paraId="1A803B7C" w14:textId="64D8DFB8" w:rsidR="00755452" w:rsidRPr="00755452" w:rsidRDefault="00755452" w:rsidP="00755452">
      <w:pPr>
        <w:pStyle w:val="ListParagraph"/>
        <w:numPr>
          <w:ilvl w:val="0"/>
          <w:numId w:val="4"/>
        </w:numPr>
      </w:pPr>
      <w:r w:rsidRPr="00755452">
        <w:t>&lt;</w:t>
      </w:r>
      <w:r w:rsidRPr="00755452">
        <w:rPr>
          <w:b/>
          <w:bCs/>
        </w:rPr>
        <w:t>Not</w:t>
      </w:r>
      <w:r w:rsidRPr="00755452">
        <w:t> suitable for children under 15.</w:t>
      </w:r>
      <w:r>
        <w:t>&gt;</w:t>
      </w:r>
    </w:p>
    <w:p w14:paraId="4476D2A6" w14:textId="1C6B8475" w:rsidR="00755452" w:rsidRPr="00755452" w:rsidRDefault="00755452" w:rsidP="00755452">
      <w:pPr>
        <w:pStyle w:val="ListParagraph"/>
        <w:numPr>
          <w:ilvl w:val="0"/>
          <w:numId w:val="4"/>
        </w:numPr>
      </w:pPr>
      <w:r w:rsidRPr="00755452">
        <w:t>&lt;</w:t>
      </w:r>
      <w:r w:rsidRPr="00755452">
        <w:rPr>
          <w:b/>
          <w:bCs/>
        </w:rPr>
        <w:t>Not</w:t>
      </w:r>
      <w:r w:rsidRPr="00755452">
        <w:t> surprisingly, it was a tense match but eventually the more experienced Australians won.</w:t>
      </w:r>
      <w:r>
        <w:t>&gt;</w:t>
      </w:r>
    </w:p>
    <w:p w14:paraId="11B8E032" w14:textId="6D4D2A31" w:rsidR="00755452" w:rsidRDefault="00755452" w:rsidP="00366989">
      <w:pPr>
        <w:pStyle w:val="ListParagraph"/>
        <w:numPr>
          <w:ilvl w:val="0"/>
          <w:numId w:val="4"/>
        </w:numPr>
      </w:pPr>
      <w:r w:rsidRPr="00755452">
        <w:t>&lt;</w:t>
      </w:r>
      <w:r w:rsidRPr="00755452">
        <w:rPr>
          <w:u w:val="single"/>
        </w:rPr>
        <w:t>A</w:t>
      </w:r>
      <w:r w:rsidRPr="00755452">
        <w:t>:</w:t>
      </w:r>
      <w:r w:rsidRPr="00755452">
        <w:rPr>
          <w:b/>
          <w:bCs/>
        </w:rPr>
        <w:t xml:space="preserve"> </w:t>
      </w:r>
      <w:r w:rsidRPr="00755452">
        <w:t>Do you go cycling all year round?</w:t>
      </w:r>
      <w:r>
        <w:t>&gt; / &lt;</w:t>
      </w:r>
      <w:r w:rsidRPr="00755452">
        <w:rPr>
          <w:u w:val="single"/>
        </w:rPr>
        <w:t>B</w:t>
      </w:r>
      <w:r w:rsidRPr="00755452">
        <w:t>:</w:t>
      </w:r>
      <w:r w:rsidRPr="00755452">
        <w:rPr>
          <w:b/>
          <w:bCs/>
        </w:rPr>
        <w:t xml:space="preserve"> Not</w:t>
      </w:r>
      <w:r w:rsidRPr="00755452">
        <w:t> in the winter.</w:t>
      </w:r>
      <w:r>
        <w:t>&gt; (“</w:t>
      </w:r>
      <w:r w:rsidRPr="00755452">
        <w:rPr>
          <w:strike/>
        </w:rPr>
        <w:t>Not: No in the winter.</w:t>
      </w:r>
      <w:r>
        <w:t>”)</w:t>
      </w:r>
      <w:r>
        <w:rPr>
          <w:rStyle w:val="FootnoteReference"/>
        </w:rPr>
        <w:footnoteReference w:id="22"/>
      </w:r>
    </w:p>
    <w:p w14:paraId="6D750347" w14:textId="5E7D09D8" w:rsidR="00755452" w:rsidRPr="00755452" w:rsidRDefault="00755452" w:rsidP="004E0D84"/>
    <w:p w14:paraId="18A567B9" w14:textId="77777777" w:rsidR="001F0B3B" w:rsidRDefault="001F0B3B" w:rsidP="004E0D84"/>
    <w:p w14:paraId="183FF29C" w14:textId="1B1A07A0" w:rsidR="004E0D84" w:rsidRDefault="004E0D84" w:rsidP="00BC0B98">
      <w:pPr>
        <w:pStyle w:val="Heading2"/>
      </w:pPr>
      <w:bookmarkStart w:id="62" w:name="_Toc80800025"/>
      <w:bookmarkStart w:id="63" w:name="_Toc187249919"/>
      <w:r>
        <w:t>Formatting</w:t>
      </w:r>
      <w:bookmarkEnd w:id="62"/>
      <w:r w:rsidR="00FF5A54">
        <w:t xml:space="preserve"> and Punctuation</w:t>
      </w:r>
      <w:bookmarkEnd w:id="63"/>
    </w:p>
    <w:p w14:paraId="606F6D2F" w14:textId="52DC9FC1" w:rsidR="006309C3" w:rsidRDefault="00FE169D" w:rsidP="006309C3">
      <w:r>
        <w:rPr>
          <w:b/>
          <w:bCs/>
        </w:rPr>
        <w:t>hyphen (-)</w:t>
      </w:r>
      <w:r w:rsidR="00DB5EAB">
        <w:t xml:space="preserve">. “Use </w:t>
      </w:r>
      <w:r w:rsidR="00DB5EAB">
        <w:rPr>
          <w:i/>
          <w:iCs/>
        </w:rPr>
        <w:t>hyphens</w:t>
      </w:r>
      <w:r w:rsidR="00DB5EAB">
        <w:t xml:space="preserve"> as joiners, such as for compound modifiers</w:t>
      </w:r>
      <w:r w:rsidR="0037510B">
        <w:t xml:space="preserve">: </w:t>
      </w:r>
      <w:r w:rsidR="0037510B">
        <w:rPr>
          <w:i/>
          <w:iCs/>
        </w:rPr>
        <w:t>small-business owner</w:t>
      </w:r>
      <w:r w:rsidR="0037510B">
        <w:t>.”</w:t>
      </w:r>
      <w:r w:rsidR="007B1955" w:rsidRPr="00755452">
        <w:rPr>
          <w:rStyle w:val="FootnoteReference"/>
        </w:rPr>
        <w:footnoteReference w:id="23"/>
      </w:r>
      <w:r w:rsidR="0037510B">
        <w:t xml:space="preserve"> The AP Stylebook also uses hyphens for ranges (e.g., 1-4), but I prefer to use en</w:t>
      </w:r>
      <w:r w:rsidR="006E7BB0">
        <w:t xml:space="preserve"> </w:t>
      </w:r>
      <w:r w:rsidR="0037510B">
        <w:t>dashes.</w:t>
      </w:r>
      <w:r w:rsidR="006309C3">
        <w:t xml:space="preserve"> “﻿There should be no spaces surrounding a hyphen.”</w:t>
      </w:r>
      <w:r w:rsidR="004D3B43" w:rsidRPr="00755452">
        <w:rPr>
          <w:rStyle w:val="FootnoteReference"/>
        </w:rPr>
        <w:footnoteReference w:id="24"/>
      </w:r>
      <w:r w:rsidR="0073749C">
        <w:t xml:space="preserve"> </w:t>
      </w:r>
    </w:p>
    <w:p w14:paraId="59BB623C" w14:textId="77777777" w:rsidR="0002504D" w:rsidRDefault="0002504D" w:rsidP="006309C3"/>
    <w:p w14:paraId="1E22F859" w14:textId="77777777" w:rsidR="0002504D" w:rsidRDefault="0002504D" w:rsidP="006309C3">
      <w:r>
        <w:rPr>
          <w:b/>
          <w:bCs/>
        </w:rPr>
        <w:t>hyphenation</w:t>
      </w:r>
      <w:r>
        <w:t xml:space="preserve">. </w:t>
      </w:r>
    </w:p>
    <w:p w14:paraId="735909A8" w14:textId="77777777" w:rsidR="007772C5" w:rsidRDefault="0002504D" w:rsidP="0002504D">
      <w:pPr>
        <w:pStyle w:val="ListParagraph"/>
        <w:numPr>
          <w:ilvl w:val="0"/>
          <w:numId w:val="4"/>
        </w:numPr>
      </w:pPr>
      <w:r>
        <w:t>Use hyphenation to avoid duplicated vowels (e.g., ant</w:t>
      </w:r>
      <w:r w:rsidRPr="0002504D">
        <w:rPr>
          <w:u w:val="single"/>
        </w:rPr>
        <w:t>i-i</w:t>
      </w:r>
      <w:r>
        <w:t>ntellectual) and tripled consonants (e.g., she</w:t>
      </w:r>
      <w:r w:rsidRPr="0002504D">
        <w:rPr>
          <w:u w:val="single"/>
        </w:rPr>
        <w:t>ll-l</w:t>
      </w:r>
      <w:r>
        <w:t xml:space="preserve">ike); </w:t>
      </w:r>
      <w:proofErr w:type="gramStart"/>
      <w:r>
        <w:t>however</w:t>
      </w:r>
      <w:proofErr w:type="gramEnd"/>
      <w:r>
        <w:t xml:space="preserve"> “double-e combinations usually don’t get a hyphen” (e.g., preempted, reelected).</w:t>
      </w:r>
      <w:r>
        <w:rPr>
          <w:rStyle w:val="FootnoteReference"/>
        </w:rPr>
        <w:footnoteReference w:id="25"/>
      </w:r>
      <w:r>
        <w:t xml:space="preserve"> </w:t>
      </w:r>
    </w:p>
    <w:p w14:paraId="17B4BF69" w14:textId="057BA441" w:rsidR="0002504D" w:rsidRDefault="0002504D" w:rsidP="0002504D">
      <w:pPr>
        <w:pStyle w:val="ListParagraph"/>
        <w:numPr>
          <w:ilvl w:val="0"/>
          <w:numId w:val="4"/>
        </w:numPr>
      </w:pPr>
      <w:r>
        <w:t>“</w:t>
      </w:r>
      <w:r w:rsidRPr="0002504D">
        <w:t xml:space="preserve">If the phrase </w:t>
      </w:r>
      <w:r>
        <w:t xml:space="preserve">[has multiple compound modifiers and] is </w:t>
      </w:r>
      <w:r w:rsidRPr="0002504D">
        <w:t>easily recognized without hyphens, use a hyphen only to link last element: </w:t>
      </w:r>
      <w:r w:rsidRPr="0002504D">
        <w:rPr>
          <w:i/>
          <w:iCs/>
        </w:rPr>
        <w:t>They hope to spark consumer interest in department store-based shopping. She said assistant vice president</w:t>
      </w:r>
      <w:r w:rsidRPr="0002504D">
        <w:rPr>
          <w:i/>
          <w:iCs/>
        </w:rPr>
        <w:noBreakHyphen/>
        <w:t>managed courses should include real estate licensing-related materials</w:t>
      </w:r>
      <w:r w:rsidRPr="0002504D">
        <w:t>.</w:t>
      </w:r>
      <w:r>
        <w:t>”</w:t>
      </w:r>
      <w:r>
        <w:rPr>
          <w:rStyle w:val="FootnoteReference"/>
        </w:rPr>
        <w:footnoteReference w:id="26"/>
      </w:r>
    </w:p>
    <w:p w14:paraId="1CA5C74A" w14:textId="75CCC303" w:rsidR="0002504D" w:rsidRPr="0002504D" w:rsidRDefault="0002504D" w:rsidP="0002504D">
      <w:pPr>
        <w:pStyle w:val="ListParagraph"/>
        <w:numPr>
          <w:ilvl w:val="0"/>
          <w:numId w:val="4"/>
        </w:numPr>
      </w:pPr>
      <w:r>
        <w:t xml:space="preserve">If suspensive hyphenation is used “to shorten a compound modifier or a noun phrase that shares a common word” and “the elements are joined by </w:t>
      </w:r>
      <w:r w:rsidRPr="0002504D">
        <w:rPr>
          <w:i/>
          <w:iCs/>
        </w:rPr>
        <w:t>and</w:t>
      </w:r>
      <w:r>
        <w:t xml:space="preserve"> or </w:t>
      </w:r>
      <w:r w:rsidRPr="0002504D">
        <w:rPr>
          <w:i/>
          <w:iCs/>
        </w:rPr>
        <w:t>or</w:t>
      </w:r>
      <w:r>
        <w:t xml:space="preserve">, expressing </w:t>
      </w:r>
      <w:r>
        <w:lastRenderedPageBreak/>
        <w:t>more than one element,” the phrase should be written with a hyphen after each noun (e.g., “</w:t>
      </w:r>
      <w:r w:rsidRPr="0002504D">
        <w:rPr>
          <w:i/>
          <w:iCs/>
        </w:rPr>
        <w:t>10-, 15- or 20-minute intervals</w:t>
      </w:r>
      <w:r>
        <w:t>” or “</w:t>
      </w:r>
      <w:r w:rsidRPr="0002504D">
        <w:rPr>
          <w:i/>
          <w:iCs/>
        </w:rPr>
        <w:t>5- and 6-year-olds</w:t>
      </w:r>
      <w:r>
        <w:t>”).</w:t>
      </w:r>
      <w:r>
        <w:rPr>
          <w:rStyle w:val="FootnoteReference"/>
        </w:rPr>
        <w:footnoteReference w:id="27"/>
      </w:r>
      <w:r>
        <w:t xml:space="preserve"> However, note that the 57</w:t>
      </w:r>
      <w:r w:rsidRPr="0002504D">
        <w:rPr>
          <w:vertAlign w:val="superscript"/>
        </w:rPr>
        <w:t>th</w:t>
      </w:r>
      <w:r>
        <w:t xml:space="preserve"> Edition of the AP Stylebook provides a counter-example: “</w:t>
      </w:r>
      <w:r>
        <w:rPr>
          <w:i/>
          <w:iCs/>
        </w:rPr>
        <w:t>The intervals are 10, 15 or 20 minutes</w:t>
      </w:r>
      <w:r>
        <w:t>,” and “</w:t>
      </w:r>
      <w:r>
        <w:rPr>
          <w:i/>
          <w:iCs/>
        </w:rPr>
        <w:t>the children are 5 to 6 years old</w:t>
      </w:r>
      <w:r>
        <w:t>.”</w:t>
      </w:r>
      <w:r>
        <w:rPr>
          <w:rStyle w:val="FootnoteReference"/>
        </w:rPr>
        <w:footnoteReference w:id="28"/>
      </w:r>
      <w:fldSimple w:instr=" ADDIN ZOTERO_TEMP ">
        <w:r>
          <w:rPr>
            <w:noProof/>
          </w:rPr>
          <w:t xml:space="preserve"> </w:t>
        </w:r>
      </w:fldSimple>
      <w:r w:rsidR="007772C5">
        <w:t>Another source explains that when discussing a “fellow personal trainer,” the correct (albeit somewhat awkward) way to describe that individual would be to refer to them as a “co-personal trainer,” and not “</w:t>
      </w:r>
      <w:proofErr w:type="spellStart"/>
      <w:r w:rsidR="007772C5">
        <w:t>copersonal</w:t>
      </w:r>
      <w:proofErr w:type="spellEnd"/>
      <w:r w:rsidR="007772C5">
        <w:t xml:space="preserve"> trainer.”</w:t>
      </w:r>
      <w:r w:rsidR="007772C5">
        <w:rPr>
          <w:rStyle w:val="FootnoteReference"/>
        </w:rPr>
        <w:footnoteReference w:id="29"/>
      </w:r>
      <w:r w:rsidR="007772C5">
        <w:t xml:space="preserve"> The explanation is that “</w:t>
      </w:r>
      <w:r w:rsidR="007772C5" w:rsidRPr="007772C5">
        <w:t xml:space="preserve">the hyphen is necessary because </w:t>
      </w:r>
      <w:r w:rsidR="007772C5" w:rsidRPr="007772C5">
        <w:rPr>
          <w:i/>
          <w:iCs/>
        </w:rPr>
        <w:t>co-</w:t>
      </w:r>
      <w:r w:rsidR="007772C5" w:rsidRPr="007772C5">
        <w:t xml:space="preserve"> modifies the two-word phrase </w:t>
      </w:r>
      <w:r w:rsidR="007772C5" w:rsidRPr="007772C5">
        <w:rPr>
          <w:i/>
          <w:iCs/>
        </w:rPr>
        <w:t>personal trainer</w:t>
      </w:r>
      <w:r w:rsidR="007772C5" w:rsidRPr="007772C5">
        <w:t xml:space="preserve">, not just </w:t>
      </w:r>
      <w:r w:rsidR="007772C5" w:rsidRPr="007772C5">
        <w:rPr>
          <w:i/>
          <w:iCs/>
        </w:rPr>
        <w:t>personal</w:t>
      </w:r>
      <w:r w:rsidR="007772C5" w:rsidRPr="007772C5">
        <w:t>.</w:t>
      </w:r>
      <w:r w:rsidR="007772C5">
        <w:t>”</w:t>
      </w:r>
      <w:r w:rsidR="007772C5">
        <w:rPr>
          <w:rStyle w:val="FootnoteReference"/>
        </w:rPr>
        <w:footnoteReference w:id="30"/>
      </w:r>
    </w:p>
    <w:p w14:paraId="6FA592DC" w14:textId="3DFFE521" w:rsidR="001311CA" w:rsidRDefault="001311CA" w:rsidP="004E0D84"/>
    <w:p w14:paraId="031A2946" w14:textId="076A6AFA" w:rsidR="00807076" w:rsidRDefault="001311CA" w:rsidP="00807076">
      <w:r>
        <w:rPr>
          <w:b/>
          <w:bCs/>
        </w:rPr>
        <w:t>en dash (</w:t>
      </w:r>
      <w:r w:rsidR="002734D8">
        <w:rPr>
          <w:b/>
          <w:bCs/>
        </w:rPr>
        <w:t>–</w:t>
      </w:r>
      <w:r>
        <w:rPr>
          <w:b/>
          <w:bCs/>
        </w:rPr>
        <w:t>)</w:t>
      </w:r>
      <w:r>
        <w:t>.</w:t>
      </w:r>
      <w:r w:rsidR="0055054E">
        <w:fldChar w:fldCharType="begin"/>
      </w:r>
      <w:r w:rsidR="0055054E">
        <w:instrText xml:space="preserve"> XE "</w:instrText>
      </w:r>
      <w:r w:rsidR="0055054E" w:rsidRPr="00C21CB2">
        <w:rPr>
          <w:b/>
          <w:bCs/>
        </w:rPr>
        <w:instrText>en dash (–)</w:instrText>
      </w:r>
      <w:r w:rsidR="0055054E" w:rsidRPr="00C21CB2">
        <w:instrText>.</w:instrText>
      </w:r>
      <w:r w:rsidR="0055054E">
        <w:instrText xml:space="preserve">" </w:instrText>
      </w:r>
      <w:r w:rsidR="0055054E">
        <w:fldChar w:fldCharType="end"/>
      </w:r>
      <w:r>
        <w:t xml:space="preserve"> </w:t>
      </w:r>
      <w:r w:rsidR="00714657">
        <w:t>I prefer to use this for indicating ranges, such as between dates or numbers.</w:t>
      </w:r>
      <w:r w:rsidR="00807076">
        <w:t xml:space="preserve"> “﻿An </w:t>
      </w:r>
      <w:r w:rsidR="00807076" w:rsidRPr="00807076">
        <w:rPr>
          <w:i/>
          <w:iCs/>
        </w:rPr>
        <w:t>en dash</w:t>
      </w:r>
      <w:r w:rsidR="00807076">
        <w:t xml:space="preserve"> is about half the width of an </w:t>
      </w:r>
      <w:r w:rsidR="00807076" w:rsidRPr="00807076">
        <w:rPr>
          <w:i/>
          <w:iCs/>
        </w:rPr>
        <w:t>em dash</w:t>
      </w:r>
      <w:r w:rsidR="00807076">
        <w:t xml:space="preserve">, approximating the width of a capital letter </w:t>
      </w:r>
      <w:r w:rsidR="00807076" w:rsidRPr="00807076">
        <w:rPr>
          <w:i/>
          <w:iCs/>
        </w:rPr>
        <w:t>N</w:t>
      </w:r>
      <w:r w:rsidR="00807076">
        <w:t>.”</w:t>
      </w:r>
      <w:r w:rsidR="00DD26E0" w:rsidRPr="00755452">
        <w:rPr>
          <w:rStyle w:val="FootnoteReference"/>
        </w:rPr>
        <w:footnoteReference w:id="31"/>
      </w:r>
    </w:p>
    <w:p w14:paraId="1C175740" w14:textId="227E51DE" w:rsidR="00F0114C" w:rsidRDefault="00F0114C" w:rsidP="004E0D84"/>
    <w:p w14:paraId="7092F7AD" w14:textId="171ECD99" w:rsidR="002734D8" w:rsidRDefault="002734D8" w:rsidP="002734D8">
      <w:r>
        <w:rPr>
          <w:b/>
          <w:bCs/>
        </w:rPr>
        <w:t>em dash (—)</w:t>
      </w:r>
      <w:r>
        <w:t>.</w:t>
      </w:r>
      <w:r w:rsidR="0055054E">
        <w:fldChar w:fldCharType="begin"/>
      </w:r>
      <w:r w:rsidR="0055054E">
        <w:instrText xml:space="preserve"> XE "</w:instrText>
      </w:r>
      <w:r w:rsidR="0055054E" w:rsidRPr="00BC3C77">
        <w:rPr>
          <w:b/>
          <w:bCs/>
        </w:rPr>
        <w:instrText>em dash (—)</w:instrText>
      </w:r>
      <w:r w:rsidR="0055054E" w:rsidRPr="00BC3C77">
        <w:instrText>.</w:instrText>
      </w:r>
      <w:r w:rsidR="0055054E">
        <w:instrText xml:space="preserve">" </w:instrText>
      </w:r>
      <w:r w:rsidR="0055054E">
        <w:fldChar w:fldCharType="end"/>
      </w:r>
      <w:r>
        <w:t xml:space="preserve"> The Associated Press “﻿refers to these simply as </w:t>
      </w:r>
      <w:r w:rsidRPr="00D82AE8">
        <w:rPr>
          <w:i/>
          <w:iCs/>
        </w:rPr>
        <w:t>dashes</w:t>
      </w:r>
      <w:r>
        <w:t xml:space="preserve"> and covers their use in the dash entry.</w:t>
      </w:r>
      <w:r w:rsidR="00C33F8F">
        <w:t xml:space="preserve"> ﻿They are used to signal abrupt change; as one option to set off a series within a phrase; before attribution to an author or composer in some formats; after datelines; and to start lists. AP style calls for a space on both sides of a </w:t>
      </w:r>
      <w:r w:rsidR="00C33F8F" w:rsidRPr="00CE6998">
        <w:rPr>
          <w:i/>
          <w:iCs/>
        </w:rPr>
        <w:t>dash</w:t>
      </w:r>
      <w:r w:rsidR="00C33F8F">
        <w:t xml:space="preserve"> in all uses except the start of sports agate summaries. An </w:t>
      </w:r>
      <w:r w:rsidR="00C33F8F" w:rsidRPr="00CE6998">
        <w:rPr>
          <w:i/>
          <w:iCs/>
        </w:rPr>
        <w:t>em dash</w:t>
      </w:r>
      <w:r w:rsidR="00C33F8F">
        <w:t xml:space="preserve"> is approximately the width of a capital letter </w:t>
      </w:r>
      <w:r w:rsidR="00C33F8F" w:rsidRPr="00CE6998">
        <w:rPr>
          <w:i/>
          <w:iCs/>
        </w:rPr>
        <w:t>M</w:t>
      </w:r>
      <w:r w:rsidR="00C33F8F">
        <w:t xml:space="preserve"> in the typeface being used.”</w:t>
      </w:r>
      <w:r w:rsidR="00C33F8F" w:rsidRPr="00755452">
        <w:rPr>
          <w:rStyle w:val="FootnoteReference"/>
        </w:rPr>
        <w:footnoteReference w:id="32"/>
      </w:r>
    </w:p>
    <w:p w14:paraId="236E3EB6" w14:textId="77777777" w:rsidR="00FF5A54" w:rsidRDefault="00FF5A54" w:rsidP="002734D8"/>
    <w:p w14:paraId="14393125" w14:textId="14233E0B" w:rsidR="00FF5A54" w:rsidRPr="00FF5A54" w:rsidRDefault="00FF5A54" w:rsidP="00FF5A54">
      <w:r>
        <w:rPr>
          <w:b/>
          <w:bCs/>
        </w:rPr>
        <w:t>prefixes</w:t>
      </w:r>
      <w:r>
        <w:t>. “</w:t>
      </w:r>
      <w:r w:rsidRPr="00FF5A54">
        <w:t xml:space="preserve">The </w:t>
      </w:r>
      <w:r>
        <w:t xml:space="preserve">[AP] </w:t>
      </w:r>
      <w:r w:rsidRPr="00FF5A54">
        <w:t xml:space="preserve">Stylebook’s preferences on whether to use a hyphen following a prefix are based largely on usage and </w:t>
      </w:r>
      <w:r w:rsidRPr="00FF5A54">
        <w:rPr>
          <w:i/>
          <w:iCs/>
        </w:rPr>
        <w:t>Webster’s New World College Dictionary</w:t>
      </w:r>
      <w:r w:rsidRPr="00FF5A54">
        <w:t xml:space="preserve">. </w:t>
      </w:r>
      <w:proofErr w:type="gramStart"/>
      <w:r w:rsidRPr="00FF5A54">
        <w:t>Generally</w:t>
      </w:r>
      <w:proofErr w:type="gramEnd"/>
      <w:r w:rsidRPr="00FF5A54">
        <w:t xml:space="preserve"> we do not hyphenate when using a prefix with a word starting with a consonant. But there are exceptions.</w:t>
      </w:r>
      <w:r>
        <w:t xml:space="preserve"> . . . . </w:t>
      </w:r>
      <w:r w:rsidRPr="00FF5A54">
        <w:t>Three rules are constant:</w:t>
      </w:r>
    </w:p>
    <w:p w14:paraId="711F1B20" w14:textId="77777777" w:rsidR="00FF5A54" w:rsidRPr="00FF5A54" w:rsidRDefault="00FF5A54" w:rsidP="00FF5A54">
      <w:pPr>
        <w:numPr>
          <w:ilvl w:val="0"/>
          <w:numId w:val="3"/>
        </w:numPr>
      </w:pPr>
      <w:r w:rsidRPr="00FF5A54">
        <w:t>— Use a hyphen if the prefix ends in a vowel and the word that follows begins with the same vowel. Exceptions: </w:t>
      </w:r>
      <w:r w:rsidRPr="00FF5A54">
        <w:rPr>
          <w:i/>
          <w:iCs/>
        </w:rPr>
        <w:t>cooperate, coordinate</w:t>
      </w:r>
      <w:r w:rsidRPr="00FF5A54">
        <w:t>, and double-e combinations such as </w:t>
      </w:r>
      <w:r w:rsidRPr="00FF5A54">
        <w:rPr>
          <w:i/>
          <w:iCs/>
        </w:rPr>
        <w:t>preestablish, preeminent, preeclampsia, preempt</w:t>
      </w:r>
      <w:r w:rsidRPr="00FF5A54">
        <w:t>.</w:t>
      </w:r>
    </w:p>
    <w:p w14:paraId="51608DCA" w14:textId="77777777" w:rsidR="00FF5A54" w:rsidRPr="00FF5A54" w:rsidRDefault="00FF5A54" w:rsidP="00FF5A54">
      <w:pPr>
        <w:numPr>
          <w:ilvl w:val="0"/>
          <w:numId w:val="3"/>
        </w:numPr>
      </w:pPr>
      <w:r w:rsidRPr="00FF5A54">
        <w:t>— Use a hyphen if the word that follows is capitalized.</w:t>
      </w:r>
    </w:p>
    <w:p w14:paraId="002C5F45" w14:textId="681DDDB0" w:rsidR="00FF5A54" w:rsidRPr="00FF5A54" w:rsidRDefault="00FF5A54" w:rsidP="00FF5A54">
      <w:pPr>
        <w:numPr>
          <w:ilvl w:val="0"/>
          <w:numId w:val="3"/>
        </w:numPr>
      </w:pPr>
      <w:r w:rsidRPr="00FF5A54">
        <w:t>— Use a hyphen to join doubled prefixes: </w:t>
      </w:r>
      <w:r w:rsidRPr="00FF5A54">
        <w:rPr>
          <w:i/>
          <w:iCs/>
        </w:rPr>
        <w:t>sub-subparagraph</w:t>
      </w:r>
      <w:r w:rsidRPr="00FF5A54">
        <w:t>.</w:t>
      </w:r>
      <w:r>
        <w:t>”</w:t>
      </w:r>
      <w:r w:rsidRPr="00755452">
        <w:rPr>
          <w:rStyle w:val="FootnoteReference"/>
        </w:rPr>
        <w:footnoteReference w:id="33"/>
      </w:r>
    </w:p>
    <w:p w14:paraId="60C28711" w14:textId="414F8839" w:rsidR="00FF5A54" w:rsidRPr="00FF5A54" w:rsidRDefault="00FF5A54" w:rsidP="002734D8"/>
    <w:p w14:paraId="63176B91" w14:textId="41F796BC" w:rsidR="00404C6C" w:rsidRDefault="00BC0B98" w:rsidP="00BC0B98">
      <w:pPr>
        <w:pStyle w:val="Heading2"/>
      </w:pPr>
      <w:r>
        <w:t>Business Letters</w:t>
      </w:r>
    </w:p>
    <w:p w14:paraId="0EE345AF" w14:textId="7464C537" w:rsidR="00BC0B98" w:rsidRPr="002734D8" w:rsidRDefault="00BC0B98" w:rsidP="002734D8">
      <w:r>
        <w:t xml:space="preserve">When drafting a business letter, I like to reference a letter written on September 9, 2009, from </w:t>
      </w:r>
      <w:r w:rsidRPr="00BC0B98">
        <w:t>Klaus M. Belohoubek of Dover Motorsports Inc. to Mario D. Cibelli</w:t>
      </w:r>
      <w:r>
        <w:t>, that can be viewed here: &lt;</w:t>
      </w:r>
      <w:r w:rsidRPr="00BC0B98">
        <w:t>https://web.archive.org/web/20250506055451/https://www.shareholderforum.com/DVD/Library/20090909_Dover-letter.pdf#</w:t>
      </w:r>
      <w:r>
        <w:t>&gt;. I find it both entertaining and useful, which is why I think it works well as a resource.</w:t>
      </w:r>
    </w:p>
    <w:p w14:paraId="4CA34EC8" w14:textId="7134A90B" w:rsidR="00042DE6" w:rsidRDefault="00042DE6" w:rsidP="00042DE6">
      <w:pPr>
        <w:pStyle w:val="Heading1"/>
      </w:pPr>
      <w:bookmarkStart w:id="64" w:name="_Toc80800027"/>
      <w:bookmarkStart w:id="65" w:name="_Toc187249920"/>
      <w:r>
        <w:lastRenderedPageBreak/>
        <w:t>Term</w:t>
      </w:r>
      <w:r w:rsidR="00A615DD">
        <w:t>inology</w:t>
      </w:r>
      <w:r w:rsidR="00D73DFB">
        <w:t>,</w:t>
      </w:r>
      <w:r w:rsidR="00854887">
        <w:t xml:space="preserve"> Acronyms</w:t>
      </w:r>
      <w:bookmarkEnd w:id="64"/>
      <w:r w:rsidR="00D73DFB">
        <w:t>, and Preferred Word Choices</w:t>
      </w:r>
      <w:bookmarkEnd w:id="65"/>
    </w:p>
    <w:p w14:paraId="2AEC7F06" w14:textId="34B2A712" w:rsidR="000C6BCF" w:rsidRDefault="000C6BCF" w:rsidP="000C6BCF">
      <w:r w:rsidRPr="00CB0488">
        <w:rPr>
          <w:i/>
          <w:iCs/>
        </w:rPr>
        <w:t xml:space="preserve">My preference for spelling and terminology prioritizes the Associated Press Stylebook, but if that </w:t>
      </w:r>
      <w:r w:rsidR="00CB0488" w:rsidRPr="00CB0488">
        <w:rPr>
          <w:i/>
          <w:iCs/>
        </w:rPr>
        <w:t>is silent on the question, I will then turn to</w:t>
      </w:r>
      <w:r w:rsidRPr="00CB0488">
        <w:rPr>
          <w:i/>
          <w:iCs/>
        </w:rPr>
        <w:t xml:space="preserve"> the Merriam</w:t>
      </w:r>
      <w:r w:rsidRPr="00CB0488">
        <w:rPr>
          <w:i/>
          <w:iCs/>
        </w:rPr>
        <w:noBreakHyphen/>
        <w:t>Webster Dictionary.</w:t>
      </w:r>
    </w:p>
    <w:p w14:paraId="44C03E6C" w14:textId="708A6214" w:rsidR="004300B2" w:rsidRDefault="004300B2" w:rsidP="000C6BCF"/>
    <w:p w14:paraId="4B6FE983" w14:textId="77777777" w:rsidR="00531EFE" w:rsidRDefault="00531EFE" w:rsidP="00531EFE">
      <w:r>
        <w:rPr>
          <w:b/>
          <w:bCs/>
        </w:rPr>
        <w:t>a</w:t>
      </w:r>
      <w:r w:rsidRPr="00D4688F">
        <w:rPr>
          <w:b/>
          <w:bCs/>
        </w:rPr>
        <w:t xml:space="preserve"> </w:t>
      </w:r>
      <w:r>
        <w:rPr>
          <w:b/>
          <w:bCs/>
        </w:rPr>
        <w:t>p</w:t>
      </w:r>
      <w:r w:rsidRPr="00D4688F">
        <w:rPr>
          <w:b/>
          <w:bCs/>
        </w:rPr>
        <w:t>riori</w:t>
      </w:r>
      <w:r>
        <w:t>.</w:t>
      </w:r>
      <w:r w:rsidRPr="00D4688F">
        <w:t> </w:t>
      </w:r>
      <w:r>
        <w:t>It “</w:t>
      </w:r>
      <w:r w:rsidRPr="00D4688F">
        <w:t>means </w:t>
      </w:r>
      <w:r w:rsidRPr="00D4688F">
        <w:rPr>
          <w:i/>
          <w:iCs/>
        </w:rPr>
        <w:t>from earlier</w:t>
      </w:r>
      <w:r w:rsidRPr="00D4688F">
        <w:t>, and refers to knowledge we have naturally, obviously, or before (and not requiring) testing or experience.</w:t>
      </w:r>
      <w:r>
        <w:t>”</w:t>
      </w:r>
      <w:r w:rsidRPr="00755452">
        <w:rPr>
          <w:rStyle w:val="FootnoteReference"/>
        </w:rPr>
        <w:footnoteReference w:id="34"/>
      </w:r>
    </w:p>
    <w:p w14:paraId="1F5E1378" w14:textId="77777777" w:rsidR="00531EFE" w:rsidRPr="00D4688F" w:rsidRDefault="00531EFE" w:rsidP="00531EFE"/>
    <w:p w14:paraId="771DA401" w14:textId="724281BD" w:rsidR="00531EFE" w:rsidRDefault="00531EFE" w:rsidP="00531EFE">
      <w:r>
        <w:rPr>
          <w:b/>
          <w:bCs/>
        </w:rPr>
        <w:t>a</w:t>
      </w:r>
      <w:r w:rsidRPr="00D4688F">
        <w:rPr>
          <w:b/>
          <w:bCs/>
        </w:rPr>
        <w:t xml:space="preserve"> </w:t>
      </w:r>
      <w:r>
        <w:rPr>
          <w:b/>
          <w:bCs/>
        </w:rPr>
        <w:t>p</w:t>
      </w:r>
      <w:r w:rsidRPr="00D4688F">
        <w:rPr>
          <w:b/>
          <w:bCs/>
        </w:rPr>
        <w:t>osteriori</w:t>
      </w:r>
      <w:r>
        <w:t>. It</w:t>
      </w:r>
      <w:r w:rsidRPr="00D4688F">
        <w:t> </w:t>
      </w:r>
      <w:r>
        <w:t>“</w:t>
      </w:r>
      <w:r w:rsidRPr="00D4688F">
        <w:t>means </w:t>
      </w:r>
      <w:r w:rsidRPr="00D4688F">
        <w:rPr>
          <w:i/>
          <w:iCs/>
        </w:rPr>
        <w:t>from the latter</w:t>
      </w:r>
      <w:r w:rsidRPr="00D4688F">
        <w:t>, and refers to knowledge we must acquire by testing or evidence.</w:t>
      </w:r>
      <w:r>
        <w:t>”</w:t>
      </w:r>
      <w:r w:rsidRPr="00755452">
        <w:rPr>
          <w:rStyle w:val="FootnoteReference"/>
        </w:rPr>
        <w:footnoteReference w:id="35"/>
      </w:r>
    </w:p>
    <w:p w14:paraId="7C782871" w14:textId="4684DEBB" w:rsidR="001C3546" w:rsidRDefault="001C3546" w:rsidP="00531EFE"/>
    <w:p w14:paraId="5D97A601" w14:textId="4E69725A" w:rsidR="00EA435C" w:rsidRPr="00EA435C" w:rsidRDefault="00EA435C" w:rsidP="00EA435C">
      <w:r w:rsidRPr="00EA435C">
        <w:rPr>
          <w:b/>
          <w:bCs/>
        </w:rPr>
        <w:t>a.m.</w:t>
      </w:r>
      <w:r w:rsidRPr="00EA435C">
        <w:t>,</w:t>
      </w:r>
      <w:r>
        <w:rPr>
          <w:b/>
          <w:bCs/>
        </w:rPr>
        <w:t xml:space="preserve"> p.m.</w:t>
      </w:r>
      <w:r>
        <w:t xml:space="preserve"> The Associated Press prefers lowercase with periods. It also discourages redundancies such as “</w:t>
      </w:r>
      <w:r w:rsidRPr="00EA435C">
        <w:t>10 a.m. this morning.</w:t>
      </w:r>
      <w:r>
        <w:t>”</w:t>
      </w:r>
      <w:r w:rsidRPr="00755452">
        <w:rPr>
          <w:rStyle w:val="FootnoteReference"/>
        </w:rPr>
        <w:footnoteReference w:id="36"/>
      </w:r>
    </w:p>
    <w:p w14:paraId="0DF0EF81" w14:textId="77777777" w:rsidR="00EA435C" w:rsidRDefault="00EA435C" w:rsidP="00531EFE">
      <w:pPr>
        <w:rPr>
          <w:b/>
          <w:bCs/>
        </w:rPr>
      </w:pPr>
    </w:p>
    <w:p w14:paraId="72618C83" w14:textId="63960955" w:rsidR="001C3546" w:rsidRPr="001C3546" w:rsidRDefault="001C3546" w:rsidP="00531EFE">
      <w:r>
        <w:rPr>
          <w:b/>
          <w:bCs/>
        </w:rPr>
        <w:t>acknowledgment</w:t>
      </w:r>
      <w:r>
        <w:t xml:space="preserve">. </w:t>
      </w:r>
      <w:r>
        <w:rPr>
          <w:i/>
          <w:iCs/>
        </w:rPr>
        <w:t>Merriam-Webster</w:t>
      </w:r>
      <w:r>
        <w:t xml:space="preserve"> provides the spelling with only two “e’s” as the preferred spelling, as it treats the version with three “e’s” as a “variant.”</w:t>
      </w:r>
      <w:r w:rsidRPr="00755452">
        <w:rPr>
          <w:rStyle w:val="FootnoteReference"/>
        </w:rPr>
        <w:footnoteReference w:id="37"/>
      </w:r>
    </w:p>
    <w:p w14:paraId="4729AA28" w14:textId="77777777" w:rsidR="00531EFE" w:rsidRPr="00D4688F" w:rsidRDefault="00531EFE" w:rsidP="00531EFE"/>
    <w:p w14:paraId="07E179ED" w14:textId="0130D936" w:rsidR="00531EFE" w:rsidRDefault="00531EFE" w:rsidP="00531EFE">
      <w:r>
        <w:rPr>
          <w:b/>
          <w:bCs/>
        </w:rPr>
        <w:t>a</w:t>
      </w:r>
      <w:r w:rsidRPr="00D4688F">
        <w:rPr>
          <w:b/>
          <w:bCs/>
        </w:rPr>
        <w:t xml:space="preserve">d </w:t>
      </w:r>
      <w:r>
        <w:rPr>
          <w:b/>
          <w:bCs/>
        </w:rPr>
        <w:t>h</w:t>
      </w:r>
      <w:r w:rsidRPr="00D4688F">
        <w:rPr>
          <w:b/>
          <w:bCs/>
        </w:rPr>
        <w:t>oc</w:t>
      </w:r>
      <w:r>
        <w:t>.</w:t>
      </w:r>
      <w:r w:rsidRPr="00D4688F">
        <w:t> </w:t>
      </w:r>
      <w:r>
        <w:t>It “</w:t>
      </w:r>
      <w:r w:rsidRPr="00D4688F">
        <w:t>means </w:t>
      </w:r>
      <w:r w:rsidRPr="00D4688F">
        <w:rPr>
          <w:i/>
          <w:iCs/>
        </w:rPr>
        <w:t>for this</w:t>
      </w:r>
      <w:r w:rsidRPr="00D4688F">
        <w:t>, and indicates something designed for a specific purpose rather than for general usage.</w:t>
      </w:r>
      <w:r>
        <w:t>”</w:t>
      </w:r>
      <w:r w:rsidRPr="00755452">
        <w:rPr>
          <w:rStyle w:val="FootnoteReference"/>
        </w:rPr>
        <w:footnoteReference w:id="38"/>
      </w:r>
    </w:p>
    <w:p w14:paraId="4A098B30" w14:textId="6B2D8E79" w:rsidR="003D65AA" w:rsidRDefault="003D65AA" w:rsidP="00531EFE"/>
    <w:p w14:paraId="33361DFD" w14:textId="5EEC28F9" w:rsidR="005D2879" w:rsidRPr="005D2879" w:rsidRDefault="005D2879" w:rsidP="005D2879">
      <w:pPr>
        <w:rPr>
          <w:rFonts w:ascii="Times New Roman" w:eastAsia="Times New Roman" w:hAnsi="Times New Roman" w:cs="Times New Roman"/>
        </w:rPr>
      </w:pPr>
      <w:bookmarkStart w:id="66" w:name="adhesion_contract"/>
      <w:r>
        <w:rPr>
          <w:b/>
          <w:bCs/>
        </w:rPr>
        <w:t>adhesion contract</w:t>
      </w:r>
      <w:bookmarkEnd w:id="66"/>
      <w:r>
        <w:t>. “</w:t>
      </w:r>
      <w:r w:rsidRPr="005D2879">
        <w:rPr>
          <w:rFonts w:ascii="Source Sans Pro" w:eastAsia="Times New Roman" w:hAnsi="Source Sans Pro" w:cs="Times New Roman"/>
          <w:color w:val="000000"/>
        </w:rPr>
        <w:t>A standard-form contract prepared by one party, to be signed by another party in a weaker position, usu. a consumer, who adheres to the contract with little choice about the terms. — Also termed </w:t>
      </w:r>
      <w:r w:rsidRPr="005D2879">
        <w:rPr>
          <w:rFonts w:ascii="Source Sans Pro" w:eastAsia="Times New Roman" w:hAnsi="Source Sans Pro" w:cs="Times New Roman"/>
          <w:i/>
          <w:iCs/>
          <w:color w:val="000000"/>
        </w:rPr>
        <w:t>contract of adhesion</w:t>
      </w:r>
      <w:r w:rsidRPr="005D2879">
        <w:rPr>
          <w:rFonts w:ascii="Source Sans Pro" w:eastAsia="Times New Roman" w:hAnsi="Source Sans Pro" w:cs="Times New Roman"/>
          <w:color w:val="000000"/>
        </w:rPr>
        <w:t>; </w:t>
      </w:r>
      <w:r w:rsidRPr="005D2879">
        <w:rPr>
          <w:rFonts w:ascii="Source Sans Pro" w:eastAsia="Times New Roman" w:hAnsi="Source Sans Pro" w:cs="Times New Roman"/>
          <w:i/>
          <w:iCs/>
          <w:color w:val="000000"/>
        </w:rPr>
        <w:t>adhesive contract</w:t>
      </w:r>
      <w:r w:rsidRPr="005D2879">
        <w:rPr>
          <w:rFonts w:ascii="Source Sans Pro" w:eastAsia="Times New Roman" w:hAnsi="Source Sans Pro" w:cs="Times New Roman"/>
          <w:color w:val="000000"/>
        </w:rPr>
        <w:t>; </w:t>
      </w:r>
      <w:r w:rsidRPr="005D2879">
        <w:rPr>
          <w:rFonts w:ascii="Source Sans Pro" w:eastAsia="Times New Roman" w:hAnsi="Source Sans Pro" w:cs="Times New Roman"/>
          <w:i/>
          <w:iCs/>
          <w:color w:val="000000"/>
        </w:rPr>
        <w:t>adhesory contract</w:t>
      </w:r>
      <w:r w:rsidRPr="005D2879">
        <w:rPr>
          <w:rFonts w:ascii="Source Sans Pro" w:eastAsia="Times New Roman" w:hAnsi="Source Sans Pro" w:cs="Times New Roman"/>
          <w:color w:val="000000"/>
        </w:rPr>
        <w:t>; </w:t>
      </w:r>
      <w:r w:rsidRPr="005D2879">
        <w:rPr>
          <w:rFonts w:ascii="Source Sans Pro" w:eastAsia="Times New Roman" w:hAnsi="Source Sans Pro" w:cs="Times New Roman"/>
          <w:i/>
          <w:iCs/>
          <w:color w:val="000000"/>
        </w:rPr>
        <w:t>adhesionary contract</w:t>
      </w:r>
      <w:r w:rsidRPr="005D2879">
        <w:rPr>
          <w:rFonts w:ascii="Source Sans Pro" w:eastAsia="Times New Roman" w:hAnsi="Source Sans Pro" w:cs="Times New Roman"/>
          <w:color w:val="000000"/>
        </w:rPr>
        <w:t>; </w:t>
      </w:r>
      <w:r w:rsidRPr="005D2879">
        <w:rPr>
          <w:rFonts w:ascii="Source Sans Pro" w:eastAsia="Times New Roman" w:hAnsi="Source Sans Pro" w:cs="Times New Roman"/>
          <w:i/>
          <w:iCs/>
          <w:color w:val="000000"/>
        </w:rPr>
        <w:t>take-it-or-leave-it contract</w:t>
      </w:r>
      <w:r w:rsidRPr="005D2879">
        <w:rPr>
          <w:rFonts w:ascii="Source Sans Pro" w:eastAsia="Times New Roman" w:hAnsi="Source Sans Pro" w:cs="Times New Roman"/>
          <w:color w:val="000000"/>
        </w:rPr>
        <w:t>; </w:t>
      </w:r>
      <w:r w:rsidRPr="005D2879">
        <w:rPr>
          <w:rFonts w:ascii="Source Sans Pro" w:eastAsia="Times New Roman" w:hAnsi="Source Sans Pro" w:cs="Times New Roman"/>
          <w:i/>
          <w:iCs/>
          <w:color w:val="000000"/>
        </w:rPr>
        <w:t>leonine contract.</w:t>
      </w:r>
    </w:p>
    <w:p w14:paraId="3E294F4C" w14:textId="6FD6BF6C" w:rsidR="005D2879" w:rsidRPr="005D2879" w:rsidRDefault="005D2879" w:rsidP="00097FE6">
      <w:pPr>
        <w:ind w:left="1440" w:right="1440"/>
        <w:jc w:val="both"/>
        <w:rPr>
          <w:rFonts w:ascii="Source Sans Pro" w:eastAsia="Times New Roman" w:hAnsi="Source Sans Pro" w:cs="Times New Roman"/>
          <w:color w:val="000000"/>
          <w:sz w:val="22"/>
          <w:szCs w:val="22"/>
        </w:rPr>
      </w:pPr>
      <w:r w:rsidRPr="005D2879">
        <w:rPr>
          <w:rFonts w:ascii="Source Sans Pro" w:eastAsia="Times New Roman" w:hAnsi="Source Sans Pro" w:cs="Times New Roman"/>
          <w:color w:val="000000"/>
          <w:sz w:val="22"/>
          <w:szCs w:val="22"/>
        </w:rPr>
        <w:t>“Some sets of trade and professional forms are extremely one-sided, grossly favoring one interest group against others, and are commonly referred to as contracts of adhesion. From weakness in bargaining position, ignorance, or indifference, unfavored parties are willing to enter transactions controlled by these lopsided legal documents.” Quintin Johnstone &amp; Dan Hopson Jr., </w:t>
      </w:r>
      <w:r w:rsidRPr="005D2879">
        <w:rPr>
          <w:rFonts w:ascii="Source Sans Pro" w:eastAsia="Times New Roman" w:hAnsi="Source Sans Pro" w:cs="Times New Roman"/>
          <w:i/>
          <w:iCs/>
          <w:color w:val="000000"/>
          <w:sz w:val="22"/>
          <w:szCs w:val="22"/>
        </w:rPr>
        <w:t>Lawyers and Their Work</w:t>
      </w:r>
      <w:r w:rsidRPr="005D2879">
        <w:rPr>
          <w:rFonts w:ascii="Source Sans Pro" w:eastAsia="Times New Roman" w:hAnsi="Source Sans Pro" w:cs="Times New Roman"/>
          <w:color w:val="000000"/>
          <w:sz w:val="22"/>
          <w:szCs w:val="22"/>
        </w:rPr>
        <w:t xml:space="preserve"> 329–30 (1967).“Dangers are inherent in standardization … for it affords a means by which one party may impose terms on another unwitting or even unwilling party. Several circumstances facilitate this imposition. First, the party that proffers the form has had the advantage of time and expert advice in preparing it, almost inevitably producing a form slanted in its favor. Second, the other party is usually completely or at least relatively unfamiliar with the form and has scant opportunity to read it — an opportunity often diminished </w:t>
      </w:r>
      <w:proofErr w:type="gramStart"/>
      <w:r w:rsidRPr="005D2879">
        <w:rPr>
          <w:rFonts w:ascii="Source Sans Pro" w:eastAsia="Times New Roman" w:hAnsi="Source Sans Pro" w:cs="Times New Roman"/>
          <w:color w:val="000000"/>
          <w:sz w:val="22"/>
          <w:szCs w:val="22"/>
        </w:rPr>
        <w:t>by the use of</w:t>
      </w:r>
      <w:proofErr w:type="gramEnd"/>
      <w:r w:rsidRPr="005D2879">
        <w:rPr>
          <w:rFonts w:ascii="Source Sans Pro" w:eastAsia="Times New Roman" w:hAnsi="Source Sans Pro" w:cs="Times New Roman"/>
          <w:color w:val="000000"/>
          <w:sz w:val="22"/>
          <w:szCs w:val="22"/>
        </w:rPr>
        <w:t xml:space="preserve"> fine print and convoluted clauses. Third, bargaining over terms of the form may not </w:t>
      </w:r>
      <w:r w:rsidRPr="005D2879">
        <w:rPr>
          <w:rFonts w:ascii="Source Sans Pro" w:eastAsia="Times New Roman" w:hAnsi="Source Sans Pro" w:cs="Times New Roman"/>
          <w:color w:val="000000"/>
          <w:sz w:val="22"/>
          <w:szCs w:val="22"/>
        </w:rPr>
        <w:lastRenderedPageBreak/>
        <w:t xml:space="preserve">be between equals </w:t>
      </w:r>
      <w:proofErr w:type="gramStart"/>
      <w:r w:rsidRPr="005D2879">
        <w:rPr>
          <w:rFonts w:ascii="Source Sans Pro" w:eastAsia="Times New Roman" w:hAnsi="Source Sans Pro" w:cs="Times New Roman"/>
          <w:color w:val="000000"/>
          <w:sz w:val="22"/>
          <w:szCs w:val="22"/>
        </w:rPr>
        <w:t>or,</w:t>
      </w:r>
      <w:proofErr w:type="gramEnd"/>
      <w:r w:rsidRPr="005D2879">
        <w:rPr>
          <w:rFonts w:ascii="Source Sans Pro" w:eastAsia="Times New Roman" w:hAnsi="Source Sans Pro" w:cs="Times New Roman"/>
          <w:color w:val="000000"/>
          <w:sz w:val="22"/>
          <w:szCs w:val="22"/>
        </w:rPr>
        <w:t xml:space="preserve"> as is more often the case, there may be no possibility of bargaining at all. The form may be used by an enterprise with such disproportionately strong economic power that it simply dictates the terms. Or the form may be a take-it-or-leave-it proposition, often called a contract of adhesion, under which the only alternative to complete adherence is outright rejection.” E. Allan Farnsworth, </w:t>
      </w:r>
      <w:r w:rsidRPr="005D2879">
        <w:rPr>
          <w:rFonts w:ascii="Source Sans Pro" w:eastAsia="Times New Roman" w:hAnsi="Source Sans Pro" w:cs="Times New Roman"/>
          <w:i/>
          <w:iCs/>
          <w:color w:val="000000"/>
          <w:sz w:val="22"/>
          <w:szCs w:val="22"/>
        </w:rPr>
        <w:t>Contracts</w:t>
      </w:r>
      <w:r w:rsidRPr="005D2879">
        <w:rPr>
          <w:rFonts w:ascii="Source Sans Pro" w:eastAsia="Times New Roman" w:hAnsi="Source Sans Pro" w:cs="Times New Roman"/>
          <w:color w:val="000000"/>
          <w:sz w:val="22"/>
          <w:szCs w:val="22"/>
        </w:rPr>
        <w:t> § 4.26, at 296–97 (3d ed. 1999).</w:t>
      </w:r>
      <w:r w:rsidR="00097FE6">
        <w:rPr>
          <w:rFonts w:ascii="Source Sans Pro" w:eastAsia="Times New Roman" w:hAnsi="Source Sans Pro" w:cs="Times New Roman"/>
          <w:color w:val="000000"/>
          <w:sz w:val="22"/>
          <w:szCs w:val="22"/>
        </w:rPr>
        <w:t>”</w:t>
      </w:r>
      <w:r w:rsidR="00AE1504" w:rsidRPr="00755452">
        <w:rPr>
          <w:rStyle w:val="FootnoteReference"/>
        </w:rPr>
        <w:footnoteReference w:id="39"/>
      </w:r>
    </w:p>
    <w:p w14:paraId="6E7BD0B6" w14:textId="77777777" w:rsidR="00097FE6" w:rsidRPr="005D2879" w:rsidRDefault="00097FE6" w:rsidP="00531EFE"/>
    <w:p w14:paraId="26B2DA3F" w14:textId="444BF222" w:rsidR="003D65AA" w:rsidRDefault="003D65AA" w:rsidP="003D65AA">
      <w:r>
        <w:rPr>
          <w:b/>
          <w:bCs/>
        </w:rPr>
        <w:t>adjective pronouns</w:t>
      </w:r>
      <w:r>
        <w:t>. “An adjective pronoun (also called a pronominal adjective) functions as a noun modifier. It must agree in number with the noun to which it belongs {all people} {these</w:t>
      </w:r>
    </w:p>
    <w:p w14:paraId="366B7A2E" w14:textId="17A65DB8" w:rsidR="003D65AA" w:rsidRDefault="003D65AA" w:rsidP="003D65AA">
      <w:r>
        <w:t>sorts of favors} {those kinds of indulgences}. All pronouns other than</w:t>
      </w:r>
      <w:r w:rsidR="000058CC">
        <w:t xml:space="preserve"> [sic]</w:t>
      </w:r>
      <w:r>
        <w:t xml:space="preserve"> </w:t>
      </w:r>
      <w:proofErr w:type="spellStart"/>
      <w:r>
        <w:t>nonpossessive</w:t>
      </w:r>
      <w:proofErr w:type="spellEnd"/>
      <w:r>
        <w:t xml:space="preserve"> personal pronouns, </w:t>
      </w:r>
      <w:r w:rsidRPr="003D65AA">
        <w:rPr>
          <w:i/>
          <w:iCs/>
        </w:rPr>
        <w:t>who</w:t>
      </w:r>
      <w:r>
        <w:t xml:space="preserve">, and </w:t>
      </w:r>
      <w:r w:rsidRPr="003D65AA">
        <w:rPr>
          <w:i/>
          <w:iCs/>
        </w:rPr>
        <w:t>none</w:t>
      </w:r>
      <w:r>
        <w:t xml:space="preserve"> may serve as adjectives {those windows} {some coyotes}.</w:t>
      </w:r>
    </w:p>
    <w:p w14:paraId="4DBF9BB0" w14:textId="4F3A44CA" w:rsidR="003D65AA" w:rsidRPr="003D65AA" w:rsidRDefault="003D65AA" w:rsidP="003D65AA">
      <w:r>
        <w:t xml:space="preserve">The adjective </w:t>
      </w:r>
      <w:r w:rsidRPr="003D65AA">
        <w:rPr>
          <w:i/>
          <w:iCs/>
        </w:rPr>
        <w:t>no</w:t>
      </w:r>
      <w:r>
        <w:t xml:space="preserve"> is used instead of none {no one astronaut} {no other paradise}.”</w:t>
      </w:r>
      <w:r w:rsidRPr="00755452">
        <w:rPr>
          <w:rStyle w:val="FootnoteReference"/>
        </w:rPr>
        <w:footnoteReference w:id="40"/>
      </w:r>
    </w:p>
    <w:p w14:paraId="74E15ED9" w14:textId="0878C86A" w:rsidR="00357A00" w:rsidRDefault="00357A00" w:rsidP="00531EFE"/>
    <w:p w14:paraId="3130F1BE" w14:textId="011F223F" w:rsidR="00357A00" w:rsidRDefault="00357A00" w:rsidP="00357A00">
      <w:r w:rsidRPr="00357A00">
        <w:rPr>
          <w:b/>
          <w:bCs/>
        </w:rPr>
        <w:t>affect</w:t>
      </w:r>
      <w:r w:rsidR="00A82016" w:rsidRPr="00A82016">
        <w:t>,</w:t>
      </w:r>
      <w:r w:rsidRPr="00357A00">
        <w:rPr>
          <w:b/>
          <w:bCs/>
        </w:rPr>
        <w:t xml:space="preserve"> effect</w:t>
      </w:r>
      <w:r>
        <w:t>.</w:t>
      </w:r>
      <w:r w:rsidRPr="00357A00">
        <w:t xml:space="preserve"> </w:t>
      </w:r>
      <w:r w:rsidRPr="00357A00">
        <w:rPr>
          <w:i/>
          <w:iCs/>
        </w:rPr>
        <w:t>Affect</w:t>
      </w:r>
      <w:r w:rsidRPr="00357A00">
        <w:t xml:space="preserve">, as a verb, means </w:t>
      </w:r>
      <w:r w:rsidRPr="00357A00">
        <w:rPr>
          <w:i/>
          <w:iCs/>
        </w:rPr>
        <w:t>to influence</w:t>
      </w:r>
      <w:r w:rsidRPr="00357A00">
        <w:t xml:space="preserve">: </w:t>
      </w:r>
      <w:r w:rsidRPr="00357A00">
        <w:rPr>
          <w:i/>
          <w:iCs/>
        </w:rPr>
        <w:t>The game will affect the standings.</w:t>
      </w:r>
      <w:r>
        <w:t xml:space="preserve"> </w:t>
      </w:r>
      <w:r w:rsidRPr="00357A00">
        <w:rPr>
          <w:i/>
          <w:iCs/>
        </w:rPr>
        <w:t>Affect</w:t>
      </w:r>
      <w:r w:rsidRPr="00357A00">
        <w:t>, as a noun, is best avoided. It occasionally is used in psychology to describe an emotion, but</w:t>
      </w:r>
      <w:r>
        <w:t xml:space="preserve"> </w:t>
      </w:r>
      <w:r w:rsidRPr="00357A00">
        <w:t>there is no need for it in everyday language.</w:t>
      </w:r>
      <w:r>
        <w:t xml:space="preserve"> </w:t>
      </w:r>
      <w:r w:rsidRPr="00357A00">
        <w:rPr>
          <w:i/>
          <w:iCs/>
        </w:rPr>
        <w:t>Effect</w:t>
      </w:r>
      <w:r w:rsidRPr="00357A00">
        <w:t xml:space="preserve">, as a verb, means </w:t>
      </w:r>
      <w:r w:rsidRPr="00357A00">
        <w:rPr>
          <w:i/>
          <w:iCs/>
        </w:rPr>
        <w:t>to cause</w:t>
      </w:r>
      <w:r w:rsidRPr="00357A00">
        <w:t xml:space="preserve">: </w:t>
      </w:r>
      <w:r w:rsidRPr="00357A00">
        <w:rPr>
          <w:i/>
          <w:iCs/>
        </w:rPr>
        <w:t>He will effect</w:t>
      </w:r>
      <w:r>
        <w:rPr>
          <w:i/>
          <w:iCs/>
        </w:rPr>
        <w:t xml:space="preserve"> </w:t>
      </w:r>
      <w:r w:rsidRPr="00357A00">
        <w:rPr>
          <w:i/>
          <w:iCs/>
        </w:rPr>
        <w:t>many changes in the company</w:t>
      </w:r>
      <w:r>
        <w:t xml:space="preserve">. </w:t>
      </w:r>
      <w:r w:rsidRPr="00357A00">
        <w:rPr>
          <w:i/>
          <w:iCs/>
        </w:rPr>
        <w:t>Effect</w:t>
      </w:r>
      <w:r w:rsidRPr="00357A00">
        <w:t xml:space="preserve">, as a noun, means </w:t>
      </w:r>
      <w:r w:rsidRPr="00357A00">
        <w:rPr>
          <w:i/>
          <w:iCs/>
        </w:rPr>
        <w:t>result</w:t>
      </w:r>
      <w:r w:rsidRPr="00357A00">
        <w:t xml:space="preserve">: </w:t>
      </w:r>
      <w:r w:rsidRPr="00357A00">
        <w:rPr>
          <w:i/>
          <w:iCs/>
        </w:rPr>
        <w:t>The effect was overwhelming.</w:t>
      </w:r>
      <w:r w:rsidRPr="00357A00">
        <w:t xml:space="preserve"> </w:t>
      </w:r>
      <w:r w:rsidRPr="00357A00">
        <w:rPr>
          <w:i/>
          <w:iCs/>
        </w:rPr>
        <w:t>He miscalculated the effect of his actions.</w:t>
      </w:r>
      <w:r w:rsidRPr="00357A00">
        <w:t xml:space="preserve"> </w:t>
      </w:r>
      <w:r w:rsidRPr="00357A00">
        <w:rPr>
          <w:i/>
          <w:iCs/>
        </w:rPr>
        <w:t>It was a law of little effect</w:t>
      </w:r>
      <w:r w:rsidRPr="00357A00">
        <w:t>.</w:t>
      </w:r>
      <w:r w:rsidR="003A37E4" w:rsidRPr="00755452">
        <w:rPr>
          <w:rStyle w:val="FootnoteReference"/>
        </w:rPr>
        <w:footnoteReference w:id="41"/>
      </w:r>
    </w:p>
    <w:p w14:paraId="49F2CCF3" w14:textId="02AD5255" w:rsidR="00F3231C" w:rsidRDefault="00F3231C" w:rsidP="00357A00"/>
    <w:p w14:paraId="720C2FAD" w14:textId="66E7BEB4" w:rsidR="00F43EC1" w:rsidRDefault="00F43EC1" w:rsidP="00357A00">
      <w:r w:rsidRPr="00F43EC1">
        <w:rPr>
          <w:b/>
          <w:bCs/>
        </w:rPr>
        <w:t>among</w:t>
      </w:r>
      <w:r>
        <w:t xml:space="preserve">, </w:t>
      </w:r>
      <w:r w:rsidRPr="00F43EC1">
        <w:rPr>
          <w:b/>
          <w:bCs/>
        </w:rPr>
        <w:t>amongst</w:t>
      </w:r>
      <w:r>
        <w:t>. “</w:t>
      </w:r>
      <w:r w:rsidRPr="00F43EC1">
        <w:t>Overall, </w:t>
      </w:r>
      <w:r w:rsidRPr="00F43EC1">
        <w:rPr>
          <w:i/>
          <w:iCs/>
        </w:rPr>
        <w:t>among</w:t>
      </w:r>
      <w:r w:rsidRPr="00F43EC1">
        <w:t> is more commonly used in both American and British English. In British English, while </w:t>
      </w:r>
      <w:r w:rsidRPr="00F43EC1">
        <w:rPr>
          <w:i/>
          <w:iCs/>
        </w:rPr>
        <w:t>amongst</w:t>
      </w:r>
      <w:r w:rsidRPr="00F43EC1">
        <w:t> is acceptable in most uses, </w:t>
      </w:r>
      <w:r w:rsidRPr="00F43EC1">
        <w:rPr>
          <w:i/>
          <w:iCs/>
        </w:rPr>
        <w:t>among</w:t>
      </w:r>
      <w:r w:rsidRPr="00F43EC1">
        <w:t> is generally preferred.</w:t>
      </w:r>
      <w:r>
        <w:t xml:space="preserve"> . . . </w:t>
      </w:r>
      <w:r w:rsidRPr="00F43EC1">
        <w:t>In both speech and writing, </w:t>
      </w:r>
      <w:r w:rsidRPr="00F43EC1">
        <w:rPr>
          <w:i/>
          <w:iCs/>
        </w:rPr>
        <w:t>among</w:t>
      </w:r>
      <w:r w:rsidRPr="00F43EC1">
        <w:t> and </w:t>
      </w:r>
      <w:r w:rsidRPr="00F43EC1">
        <w:rPr>
          <w:i/>
          <w:iCs/>
        </w:rPr>
        <w:t>amongst</w:t>
      </w:r>
      <w:r w:rsidRPr="00F43EC1">
        <w:t> are interchangeable. Both are grammatically correct and mean the same thing. However, </w:t>
      </w:r>
      <w:r w:rsidRPr="00F43EC1">
        <w:rPr>
          <w:i/>
          <w:iCs/>
        </w:rPr>
        <w:t>amongst</w:t>
      </w:r>
      <w:r w:rsidRPr="00F43EC1">
        <w:t> is often considered old-fashioned or pretentious in American English, so you may want to avoid it.</w:t>
      </w:r>
      <w:r>
        <w:t>”</w:t>
      </w:r>
      <w:r w:rsidRPr="00755452">
        <w:rPr>
          <w:rStyle w:val="FootnoteReference"/>
        </w:rPr>
        <w:footnoteReference w:id="42"/>
      </w:r>
    </w:p>
    <w:p w14:paraId="400A2EF4" w14:textId="77777777" w:rsidR="00F43EC1" w:rsidRDefault="00F43EC1" w:rsidP="00357A00"/>
    <w:p w14:paraId="4E3C485E" w14:textId="1EF4B6A3" w:rsidR="00F3231C" w:rsidRDefault="00F3231C" w:rsidP="007249E5">
      <w:pPr>
        <w:keepNext/>
        <w:keepLines/>
      </w:pPr>
      <w:r>
        <w:rPr>
          <w:b/>
          <w:bCs/>
        </w:rPr>
        <w:t>article</w:t>
      </w:r>
      <w:r w:rsidR="003D65AA">
        <w:rPr>
          <w:b/>
          <w:bCs/>
        </w:rPr>
        <w:t xml:space="preserve"> (in the grammatical sense)</w:t>
      </w:r>
      <w:r>
        <w:t>. “An article is a limiting adjective that precedes a noun or noun phrase and determines the noun or phrase’s use to indicate something definite (</w:t>
      </w:r>
      <w:r>
        <w:rPr>
          <w:i/>
          <w:iCs/>
        </w:rPr>
        <w:t>the</w:t>
      </w:r>
      <w:r>
        <w:t>) or indefinite (</w:t>
      </w:r>
      <w:r>
        <w:rPr>
          <w:i/>
          <w:iCs/>
        </w:rPr>
        <w:t>a</w:t>
      </w:r>
      <w:r>
        <w:t xml:space="preserve"> or </w:t>
      </w:r>
      <w:r>
        <w:rPr>
          <w:i/>
          <w:iCs/>
        </w:rPr>
        <w:t>an</w:t>
      </w:r>
      <w:r>
        <w:t>). An article might stand alone or be used with other adjectives {a road} {a brick road} {the yellow brick road}.”</w:t>
      </w:r>
      <w:r w:rsidRPr="00755452">
        <w:rPr>
          <w:rStyle w:val="FootnoteReference"/>
        </w:rPr>
        <w:footnoteReference w:id="43"/>
      </w:r>
    </w:p>
    <w:p w14:paraId="2D0F5146" w14:textId="421CD734" w:rsidR="00A82016" w:rsidRDefault="00A82016" w:rsidP="00357A00"/>
    <w:p w14:paraId="6778B23E" w14:textId="088934E4" w:rsidR="00A82016" w:rsidRPr="00A82016" w:rsidRDefault="00A82016" w:rsidP="00357A00">
      <w:bookmarkStart w:id="67" w:name="assume_or_presume"/>
      <w:r>
        <w:rPr>
          <w:b/>
          <w:bCs/>
        </w:rPr>
        <w:t>assume</w:t>
      </w:r>
      <w:r>
        <w:t xml:space="preserve">, </w:t>
      </w:r>
      <w:r>
        <w:rPr>
          <w:b/>
          <w:bCs/>
        </w:rPr>
        <w:t>presume</w:t>
      </w:r>
      <w:bookmarkEnd w:id="67"/>
      <w:r>
        <w:t>. “</w:t>
      </w:r>
      <w:r w:rsidRPr="00A82016">
        <w:t>Although </w:t>
      </w:r>
      <w:r w:rsidRPr="00A82016">
        <w:rPr>
          <w:i/>
          <w:iCs/>
        </w:rPr>
        <w:t>presume</w:t>
      </w:r>
      <w:r w:rsidRPr="00A82016">
        <w:t> and </w:t>
      </w:r>
      <w:r w:rsidRPr="00A82016">
        <w:rPr>
          <w:i/>
          <w:iCs/>
        </w:rPr>
        <w:t>assume</w:t>
      </w:r>
      <w:r w:rsidRPr="00A82016">
        <w:t xml:space="preserve"> both mean </w:t>
      </w:r>
      <w:r w:rsidR="00F70EA0">
        <w:t>‘</w:t>
      </w:r>
      <w:r w:rsidRPr="00A82016">
        <w:t>to take something as true,</w:t>
      </w:r>
      <w:r w:rsidR="00F70EA0">
        <w:t>’</w:t>
      </w:r>
      <w:r w:rsidRPr="00A82016">
        <w:t xml:space="preserve"> </w:t>
      </w:r>
      <w:r w:rsidR="00F70EA0">
        <w:t>‘</w:t>
      </w:r>
      <w:r w:rsidRPr="00A82016">
        <w:t>presume</w:t>
      </w:r>
      <w:r w:rsidR="00F70EA0">
        <w:t>’</w:t>
      </w:r>
      <w:r w:rsidRPr="00A82016">
        <w:t xml:space="preserve"> implies more confidence or evidence backed reasoning. An </w:t>
      </w:r>
      <w:r w:rsidR="00F70EA0">
        <w:t>‘</w:t>
      </w:r>
      <w:r w:rsidRPr="00A82016">
        <w:t>assumption</w:t>
      </w:r>
      <w:r w:rsidR="00F70EA0">
        <w:t>’</w:t>
      </w:r>
      <w:r w:rsidRPr="00A82016">
        <w:t xml:space="preserve"> suggests there is little evidence supporting your guess. Think carefully before using them interchangeably or you may lose some meaning.</w:t>
      </w:r>
      <w:r>
        <w:t>”</w:t>
      </w:r>
      <w:r w:rsidRPr="00755452">
        <w:rPr>
          <w:rStyle w:val="FootnoteReference"/>
        </w:rPr>
        <w:footnoteReference w:id="44"/>
      </w:r>
    </w:p>
    <w:p w14:paraId="13053FDE" w14:textId="15E10EF9" w:rsidR="00531EFE" w:rsidRDefault="00531EFE" w:rsidP="000C6BCF"/>
    <w:p w14:paraId="760827F1" w14:textId="7F22F570" w:rsidR="009D06B9" w:rsidRDefault="009D06B9" w:rsidP="000C6BCF">
      <w:r>
        <w:rPr>
          <w:b/>
          <w:bCs/>
        </w:rPr>
        <w:t>at bar</w:t>
      </w:r>
      <w:r>
        <w:t xml:space="preserve">. </w:t>
      </w:r>
      <w:r>
        <w:rPr>
          <w:i/>
          <w:iCs/>
        </w:rPr>
        <w:t>See</w:t>
      </w:r>
      <w:r w:rsidR="00D5049D" w:rsidRPr="00D5049D">
        <w:t xml:space="preserve"> </w:t>
      </w:r>
      <w:r w:rsidR="00D5049D" w:rsidRPr="00712A78">
        <w:rPr>
          <w:i/>
          <w:iCs/>
        </w:rPr>
        <w:fldChar w:fldCharType="begin"/>
      </w:r>
      <w:r w:rsidR="00D5049D" w:rsidRPr="00712A78">
        <w:rPr>
          <w:i/>
          <w:iCs/>
        </w:rPr>
        <w:instrText xml:space="preserve"> REF sub_judice \h  \* MERGEFORMAT </w:instrText>
      </w:r>
      <w:r w:rsidR="00D5049D" w:rsidRPr="00712A78">
        <w:rPr>
          <w:i/>
          <w:iCs/>
        </w:rPr>
      </w:r>
      <w:r w:rsidR="00D5049D" w:rsidRPr="00712A78">
        <w:rPr>
          <w:i/>
          <w:iCs/>
        </w:rPr>
        <w:fldChar w:fldCharType="separate"/>
      </w:r>
      <w:r w:rsidR="00650FA7" w:rsidRPr="00650FA7">
        <w:rPr>
          <w:i/>
          <w:iCs/>
        </w:rPr>
        <w:t>sub judice</w:t>
      </w:r>
      <w:r w:rsidR="00D5049D" w:rsidRPr="00712A78">
        <w:rPr>
          <w:i/>
          <w:iCs/>
        </w:rPr>
        <w:fldChar w:fldCharType="end"/>
      </w:r>
      <w:r w:rsidR="00D5049D" w:rsidRPr="00712A78">
        <w:t>.</w:t>
      </w:r>
    </w:p>
    <w:p w14:paraId="7B2EB847" w14:textId="4A607FE4" w:rsidR="00A20970" w:rsidRDefault="00A20970" w:rsidP="000C6BCF"/>
    <w:p w14:paraId="34B34CDF" w14:textId="68774127" w:rsidR="00A20970" w:rsidRDefault="00A20970" w:rsidP="00A20970">
      <w:r w:rsidRPr="00A20970">
        <w:rPr>
          <w:b/>
          <w:bCs/>
        </w:rPr>
        <w:lastRenderedPageBreak/>
        <w:t>attorney's fees</w:t>
      </w:r>
      <w:r>
        <w:t xml:space="preserve">. (See use under the </w:t>
      </w:r>
      <w:r w:rsidR="00982F4D">
        <w:t>entry for “Chronology” in Garner’s Modern Usage.</w:t>
      </w:r>
      <w:r w:rsidR="00982F4D" w:rsidRPr="00755452">
        <w:rPr>
          <w:rStyle w:val="FootnoteReference"/>
        </w:rPr>
        <w:footnoteReference w:id="45"/>
      </w:r>
      <w:r w:rsidR="00230221">
        <w:t>)</w:t>
      </w:r>
    </w:p>
    <w:p w14:paraId="230FD71B" w14:textId="77777777" w:rsidR="00324E2A" w:rsidRDefault="00324E2A" w:rsidP="00A20970"/>
    <w:p w14:paraId="13CAF97B" w14:textId="23BD4EDD" w:rsidR="00324E2A" w:rsidRPr="00324E2A" w:rsidRDefault="00324E2A" w:rsidP="00A20970">
      <w:r>
        <w:rPr>
          <w:b/>
          <w:bCs/>
        </w:rPr>
        <w:t>bad(-)faith</w:t>
      </w:r>
      <w:r w:rsidRPr="00324E2A">
        <w:t>. </w:t>
      </w:r>
      <w:r>
        <w:t>“</w:t>
      </w:r>
      <w:r w:rsidRPr="00324E2A">
        <w:rPr>
          <w:i/>
          <w:iCs/>
        </w:rPr>
        <w:t>Bad faith</w:t>
      </w:r>
      <w:r w:rsidRPr="00324E2A">
        <w:t> is the noun phrase &lt;in bad faith&gt;, </w:t>
      </w:r>
      <w:r w:rsidRPr="00324E2A">
        <w:rPr>
          <w:i/>
          <w:iCs/>
        </w:rPr>
        <w:t>bad-faith</w:t>
      </w:r>
      <w:r w:rsidRPr="00324E2A">
        <w:t> the adjectival phrase &lt;bad-faith promises&gt;.</w:t>
      </w:r>
      <w:r>
        <w:t>”</w:t>
      </w:r>
      <w:r w:rsidR="007C4259" w:rsidRPr="00755452">
        <w:rPr>
          <w:rStyle w:val="FootnoteReference"/>
        </w:rPr>
        <w:footnoteReference w:id="46"/>
      </w:r>
    </w:p>
    <w:p w14:paraId="4C73E9E7" w14:textId="77777777" w:rsidR="009D06B9" w:rsidRDefault="009D06B9" w:rsidP="000C6BCF"/>
    <w:p w14:paraId="6DDC86C1" w14:textId="48C4EF43" w:rsidR="004300B2" w:rsidRDefault="004300B2" w:rsidP="000C6BCF">
      <w:r>
        <w:rPr>
          <w:b/>
          <w:bCs/>
        </w:rPr>
        <w:t>Berger Law, LLC</w:t>
      </w:r>
      <w:r>
        <w:t xml:space="preserve">. The name, as registered with the Georgia Secretary of State, includes a comma after “Berger Law” and </w:t>
      </w:r>
      <w:r w:rsidR="007A2990">
        <w:t>before “ LLC”.</w:t>
      </w:r>
    </w:p>
    <w:p w14:paraId="3045E982" w14:textId="77777777" w:rsidR="00B47779" w:rsidRDefault="00B47779" w:rsidP="000C6BCF"/>
    <w:p w14:paraId="1F79E982" w14:textId="66F7A290" w:rsidR="00B47779" w:rsidRPr="00B47779" w:rsidRDefault="00B47779" w:rsidP="00B47779">
      <w:r>
        <w:rPr>
          <w:b/>
          <w:bCs/>
        </w:rPr>
        <w:t>canvas, canvass</w:t>
      </w:r>
      <w:r>
        <w:t>. “</w:t>
      </w:r>
      <w:r w:rsidRPr="00B47779">
        <w:rPr>
          <w:i/>
          <w:iCs/>
        </w:rPr>
        <w:t>Canvas</w:t>
      </w:r>
      <w:r w:rsidRPr="00B47779">
        <w:t> is heavy cloth.</w:t>
      </w:r>
      <w:r>
        <w:t xml:space="preserve"> </w:t>
      </w:r>
      <w:r w:rsidRPr="00B47779">
        <w:rPr>
          <w:i/>
          <w:iCs/>
        </w:rPr>
        <w:t>Canvass</w:t>
      </w:r>
      <w:r w:rsidRPr="00B47779">
        <w:t> is a noun and a verb denoting a survey.</w:t>
      </w:r>
      <w:r>
        <w:t>”</w:t>
      </w:r>
      <w:r w:rsidRPr="00755452">
        <w:rPr>
          <w:rStyle w:val="FootnoteReference"/>
        </w:rPr>
        <w:footnoteReference w:id="47"/>
      </w:r>
    </w:p>
    <w:p w14:paraId="461BB2E8" w14:textId="2FAB58C1" w:rsidR="004C33CB" w:rsidRDefault="004C33CB" w:rsidP="000C6BCF"/>
    <w:p w14:paraId="3CB6B3D2" w14:textId="77777777" w:rsidR="000058CC" w:rsidRDefault="006B1666" w:rsidP="000C6BCF">
      <w:r>
        <w:rPr>
          <w:b/>
          <w:bCs/>
        </w:rPr>
        <w:t>contract of adhesion</w:t>
      </w:r>
      <w:r>
        <w:t xml:space="preserve">. </w:t>
      </w:r>
      <w:r w:rsidRPr="007E7AF5">
        <w:t>See</w:t>
      </w:r>
      <w:r>
        <w:t xml:space="preserve"> </w:t>
      </w:r>
      <w:r w:rsidR="00297AA2" w:rsidRPr="007E7AF5">
        <w:rPr>
          <w:i/>
          <w:iCs/>
        </w:rPr>
        <w:fldChar w:fldCharType="begin"/>
      </w:r>
      <w:r w:rsidR="00297AA2" w:rsidRPr="007E7AF5">
        <w:rPr>
          <w:i/>
          <w:iCs/>
        </w:rPr>
        <w:instrText xml:space="preserve"> REF adhesion_contract \h </w:instrText>
      </w:r>
      <w:r w:rsidR="007E7AF5" w:rsidRPr="007E7AF5">
        <w:rPr>
          <w:i/>
          <w:iCs/>
        </w:rPr>
        <w:instrText xml:space="preserve"> \* MERGEFORMAT </w:instrText>
      </w:r>
      <w:r w:rsidR="00297AA2" w:rsidRPr="007E7AF5">
        <w:rPr>
          <w:i/>
          <w:iCs/>
        </w:rPr>
      </w:r>
      <w:r w:rsidR="00297AA2" w:rsidRPr="007E7AF5">
        <w:rPr>
          <w:i/>
          <w:iCs/>
        </w:rPr>
        <w:fldChar w:fldCharType="separate"/>
      </w:r>
      <w:r w:rsidR="00297AA2" w:rsidRPr="007E7AF5">
        <w:rPr>
          <w:i/>
          <w:iCs/>
        </w:rPr>
        <w:t>adhesion contract</w:t>
      </w:r>
      <w:r w:rsidR="00297AA2" w:rsidRPr="007E7AF5">
        <w:rPr>
          <w:i/>
          <w:iCs/>
        </w:rPr>
        <w:fldChar w:fldCharType="end"/>
      </w:r>
      <w:r w:rsidR="007E7AF5">
        <w:t>.</w:t>
      </w:r>
    </w:p>
    <w:p w14:paraId="5FA67F95" w14:textId="64661EC1" w:rsidR="006B1666" w:rsidRPr="006B1666" w:rsidRDefault="002D6736" w:rsidP="000C6BCF">
      <w:r>
        <w:fldChar w:fldCharType="begin"/>
      </w:r>
      <w:r>
        <w:instrText xml:space="preserve"> REF adhesion_contract \h </w:instrText>
      </w:r>
      <w:r>
        <w:fldChar w:fldCharType="end"/>
      </w:r>
    </w:p>
    <w:p w14:paraId="5B78C239" w14:textId="0D3AB6CC" w:rsidR="004C33CB" w:rsidRDefault="004C33CB" w:rsidP="000C6BCF">
      <w:r>
        <w:rPr>
          <w:b/>
          <w:bCs/>
        </w:rPr>
        <w:t xml:space="preserve">chock-full / </w:t>
      </w:r>
      <w:r w:rsidRPr="004C33CB">
        <w:rPr>
          <w:b/>
          <w:bCs/>
        </w:rPr>
        <w:t>chockful</w:t>
      </w:r>
      <w:r>
        <w:t xml:space="preserve">. </w:t>
      </w:r>
      <w:r>
        <w:rPr>
          <w:i/>
          <w:iCs/>
        </w:rPr>
        <w:t>Merriam-Webster</w:t>
      </w:r>
      <w:r>
        <w:t xml:space="preserve"> defines it as “</w:t>
      </w:r>
      <w:r w:rsidRPr="004C33CB">
        <w:t>full to the limit</w:t>
      </w:r>
      <w:r>
        <w:t>,” and prefers</w:t>
      </w:r>
      <w:r w:rsidR="00D62A87">
        <w:t xml:space="preserve"> to spell it as</w:t>
      </w:r>
      <w:r>
        <w:t xml:space="preserve"> “chock</w:t>
      </w:r>
      <w:r w:rsidR="00D62A87">
        <w:noBreakHyphen/>
      </w:r>
      <w:r>
        <w:t xml:space="preserve">full” </w:t>
      </w:r>
      <w:r w:rsidR="00D62A87">
        <w:t>rather than</w:t>
      </w:r>
      <w:r>
        <w:t xml:space="preserve"> “chockful.”</w:t>
      </w:r>
      <w:r w:rsidRPr="00755452">
        <w:rPr>
          <w:rStyle w:val="FootnoteReference"/>
        </w:rPr>
        <w:footnoteReference w:id="48"/>
      </w:r>
    </w:p>
    <w:p w14:paraId="5212B11E" w14:textId="77777777" w:rsidR="00BA5EC2" w:rsidRDefault="00BA5EC2" w:rsidP="000C6BCF"/>
    <w:p w14:paraId="4FF72229" w14:textId="5F1A4F67" w:rsidR="00BA5EC2" w:rsidRPr="00BA5EC2" w:rsidRDefault="00BA5EC2" w:rsidP="000C6BCF">
      <w:r>
        <w:rPr>
          <w:b/>
          <w:bCs/>
        </w:rPr>
        <w:t>compose</w:t>
      </w:r>
      <w:r>
        <w:t xml:space="preserve"> / </w:t>
      </w:r>
      <w:r>
        <w:rPr>
          <w:b/>
          <w:bCs/>
        </w:rPr>
        <w:t>comprise</w:t>
      </w:r>
      <w:r>
        <w:t>. “</w:t>
      </w:r>
      <w:r w:rsidRPr="00BA5EC2">
        <w:t xml:space="preserve">The parts </w:t>
      </w:r>
      <w:r w:rsidRPr="00BA5EC2">
        <w:rPr>
          <w:i/>
          <w:iCs/>
        </w:rPr>
        <w:t>compose</w:t>
      </w:r>
      <w:r w:rsidRPr="00BA5EC2">
        <w:t xml:space="preserve"> the whole; the whole </w:t>
      </w:r>
      <w:r w:rsidRPr="00BA5EC2">
        <w:rPr>
          <w:i/>
          <w:iCs/>
        </w:rPr>
        <w:t>comprises</w:t>
      </w:r>
      <w:r w:rsidRPr="00BA5EC2">
        <w:t xml:space="preserve"> the parts. The whole is </w:t>
      </w:r>
      <w:r w:rsidRPr="00BA5EC2">
        <w:rPr>
          <w:i/>
          <w:iCs/>
        </w:rPr>
        <w:t>composed</w:t>
      </w:r>
      <w:r w:rsidRPr="00BA5EC2">
        <w:t xml:space="preserve"> of the parts; the parts are </w:t>
      </w:r>
      <w:r w:rsidRPr="00BA5EC2">
        <w:rPr>
          <w:i/>
          <w:iCs/>
        </w:rPr>
        <w:t>comprised</w:t>
      </w:r>
      <w:r w:rsidRPr="00BA5EC2">
        <w:t xml:space="preserve"> in the whole. </w:t>
      </w:r>
      <w:r w:rsidRPr="00BA5EC2">
        <w:rPr>
          <w:i/>
          <w:iCs/>
        </w:rPr>
        <w:t>Comprise</w:t>
      </w:r>
      <w:r w:rsidRPr="00BA5EC2">
        <w:t>, the more troublesome word in this pair, means “to contain; to consist of</w:t>
      </w:r>
      <w:r>
        <w:t> . . . .</w:t>
      </w:r>
      <w:r w:rsidRPr="00BA5EC2">
        <w:t>”</w:t>
      </w:r>
      <w:r w:rsidRPr="00755452">
        <w:rPr>
          <w:rStyle w:val="FootnoteReference"/>
        </w:rPr>
        <w:footnoteReference w:id="49"/>
      </w:r>
      <w:r>
        <w:t xml:space="preserve"> “</w:t>
      </w:r>
      <w:r w:rsidRPr="00BA5EC2">
        <w:t>The phrase </w:t>
      </w:r>
      <w:r w:rsidRPr="00BA5EC2">
        <w:rPr>
          <w:i/>
          <w:iCs/>
        </w:rPr>
        <w:t>is comprised of</w:t>
      </w:r>
      <w:r w:rsidRPr="00BA5EC2">
        <w:t> is increasingly common but has long been considered poor usage.</w:t>
      </w:r>
      <w:r>
        <w:t>”</w:t>
      </w:r>
      <w:r w:rsidRPr="00755452">
        <w:rPr>
          <w:rStyle w:val="FootnoteReference"/>
        </w:rPr>
        <w:footnoteReference w:id="50"/>
      </w:r>
      <w:r w:rsidR="001411C4">
        <w:t xml:space="preserve"> </w:t>
      </w:r>
      <w:r w:rsidR="001411C4">
        <w:rPr>
          <w:i/>
          <w:iCs/>
        </w:rPr>
        <w:t>Merriam-</w:t>
      </w:r>
      <w:r w:rsidR="001411C4" w:rsidRPr="001411C4">
        <w:rPr>
          <w:i/>
          <w:iCs/>
        </w:rPr>
        <w:t>Webster</w:t>
      </w:r>
      <w:r w:rsidR="001411C4">
        <w:t xml:space="preserve"> quotes its </w:t>
      </w:r>
      <w:r w:rsidR="001411C4">
        <w:rPr>
          <w:i/>
          <w:iCs/>
        </w:rPr>
        <w:t xml:space="preserve">Dictionary of English </w:t>
      </w:r>
      <w:r w:rsidR="001411C4" w:rsidRPr="001411C4">
        <w:rPr>
          <w:i/>
          <w:iCs/>
        </w:rPr>
        <w:t>Usage</w:t>
      </w:r>
      <w:r w:rsidR="001411C4">
        <w:t xml:space="preserve"> to provide a parting piece of advice: “</w:t>
      </w:r>
      <w:r w:rsidR="001411C4" w:rsidRPr="001411C4">
        <w:t>Our advice to you is to realize that the disputed sense is established and standard, but nevertheless liable to criticism. If such criticism concerns you, you can probably avoid </w:t>
      </w:r>
      <w:r w:rsidR="001411C4" w:rsidRPr="001411C4">
        <w:rPr>
          <w:i/>
          <w:iCs/>
        </w:rPr>
        <w:t>comprise</w:t>
      </w:r>
      <w:r w:rsidR="001411C4" w:rsidRPr="001411C4">
        <w:t> by using </w:t>
      </w:r>
      <w:r w:rsidR="001411C4" w:rsidRPr="001411C4">
        <w:rPr>
          <w:i/>
          <w:iCs/>
        </w:rPr>
        <w:t>compose</w:t>
      </w:r>
      <w:r w:rsidR="001411C4" w:rsidRPr="001411C4">
        <w:t>, </w:t>
      </w:r>
      <w:r w:rsidR="001411C4" w:rsidRPr="001411C4">
        <w:rPr>
          <w:i/>
          <w:iCs/>
        </w:rPr>
        <w:t>constitute</w:t>
      </w:r>
      <w:r w:rsidR="001411C4" w:rsidRPr="001411C4">
        <w:t>, or </w:t>
      </w:r>
      <w:r w:rsidR="001411C4" w:rsidRPr="001411C4">
        <w:rPr>
          <w:i/>
          <w:iCs/>
        </w:rPr>
        <w:t>make up</w:t>
      </w:r>
      <w:r w:rsidR="001411C4" w:rsidRPr="001411C4">
        <w:t>, whichever fits your sentence best.</w:t>
      </w:r>
      <w:r w:rsidR="001411C4">
        <w:t>”</w:t>
      </w:r>
      <w:r w:rsidR="001411C4" w:rsidRPr="00755452">
        <w:rPr>
          <w:rStyle w:val="FootnoteReference"/>
        </w:rPr>
        <w:footnoteReference w:id="51"/>
      </w:r>
    </w:p>
    <w:p w14:paraId="021E2B31" w14:textId="546A3C93" w:rsidR="00042DE6" w:rsidRDefault="00042DE6" w:rsidP="00042DE6"/>
    <w:p w14:paraId="0AA2B111" w14:textId="481D53BC" w:rsidR="00604148" w:rsidRDefault="004C11A1" w:rsidP="00042DE6">
      <w:r>
        <w:rPr>
          <w:b/>
          <w:bCs/>
        </w:rPr>
        <w:t>d</w:t>
      </w:r>
      <w:r w:rsidR="00604148">
        <w:rPr>
          <w:b/>
          <w:bCs/>
        </w:rPr>
        <w:t>ecision-making</w:t>
      </w:r>
      <w:r w:rsidR="00604148">
        <w:t xml:space="preserve">. </w:t>
      </w:r>
      <w:r w:rsidR="00604148" w:rsidRPr="00A74440">
        <w:rPr>
          <w:i/>
          <w:iCs/>
        </w:rPr>
        <w:t>M</w:t>
      </w:r>
      <w:r w:rsidR="00A74440" w:rsidRPr="00A74440">
        <w:rPr>
          <w:i/>
          <w:iCs/>
        </w:rPr>
        <w:t>erriam-Webster</w:t>
      </w:r>
      <w:r w:rsidR="00A74440">
        <w:t xml:space="preserve"> recognizes this as a word, but it does not treat “decision</w:t>
      </w:r>
      <w:r w:rsidR="00A74440">
        <w:noBreakHyphen/>
        <w:t>maker” as a word. For guidance, see</w:t>
      </w:r>
      <w:r w:rsidR="00F818EE">
        <w:rPr>
          <w:i/>
          <w:iCs/>
        </w:rPr>
        <w:t xml:space="preserve"> </w:t>
      </w:r>
      <w:hyperlink w:anchor="Decision_maker_not_a_word" w:history="1">
        <w:r w:rsidR="00F818EE" w:rsidRPr="00F818EE">
          <w:rPr>
            <w:rStyle w:val="Hyperlink"/>
            <w:rFonts w:cstheme="minorBidi"/>
            <w:i/>
            <w:iCs/>
          </w:rPr>
          <w:t>decision-maker</w:t>
        </w:r>
      </w:hyperlink>
      <w:r w:rsidR="00412BC9">
        <w:rPr>
          <w:i/>
          <w:iCs/>
        </w:rPr>
        <w:fldChar w:fldCharType="begin"/>
      </w:r>
      <w:r w:rsidR="00412BC9">
        <w:instrText xml:space="preserve"> REF Decision_maker_not_a_word \h </w:instrText>
      </w:r>
      <w:r w:rsidR="00412BC9">
        <w:rPr>
          <w:i/>
          <w:iCs/>
        </w:rPr>
      </w:r>
      <w:r w:rsidR="00412BC9">
        <w:rPr>
          <w:i/>
          <w:iCs/>
        </w:rPr>
        <w:fldChar w:fldCharType="end"/>
      </w:r>
      <w:r w:rsidR="00412BC9">
        <w:t>.</w:t>
      </w:r>
    </w:p>
    <w:p w14:paraId="5FDFF78B" w14:textId="2E2881C3" w:rsidR="00F3231C" w:rsidRDefault="00F3231C" w:rsidP="00042DE6"/>
    <w:p w14:paraId="6306EFC1" w14:textId="6668218F" w:rsidR="00F3231C" w:rsidRDefault="00F3231C" w:rsidP="00042DE6">
      <w:r>
        <w:rPr>
          <w:b/>
          <w:bCs/>
        </w:rPr>
        <w:t>definite article</w:t>
      </w:r>
      <w:r>
        <w:t>. “</w:t>
      </w:r>
      <w:r w:rsidRPr="00F3231C">
        <w:t xml:space="preserve">A definite article points to a definite object that (1) is so well understood that it does not need description (e.g., </w:t>
      </w:r>
      <w:r w:rsidRPr="00F3231C">
        <w:rPr>
          <w:i/>
          <w:iCs/>
        </w:rPr>
        <w:t>the package is here</w:t>
      </w:r>
      <w:r w:rsidRPr="00F3231C">
        <w:t xml:space="preserve"> is a shortened form of </w:t>
      </w:r>
      <w:r w:rsidRPr="00F3231C">
        <w:rPr>
          <w:i/>
          <w:iCs/>
        </w:rPr>
        <w:t>the package that you expected is here</w:t>
      </w:r>
      <w:r w:rsidRPr="00F3231C">
        <w:t>); (2) is a thing that is about to be described {the sights of Chicago}; or (3) is important</w:t>
      </w:r>
      <w:r>
        <w:t xml:space="preserve"> {the grand prize}. The definite article belongs to nouns in the singular {the star} or the plural number {the stars}.”</w:t>
      </w:r>
      <w:r w:rsidRPr="00755452">
        <w:rPr>
          <w:rStyle w:val="FootnoteReference"/>
        </w:rPr>
        <w:footnoteReference w:id="52"/>
      </w:r>
    </w:p>
    <w:p w14:paraId="43DC6B3A" w14:textId="7A0A68B5" w:rsidR="00C6252D" w:rsidRDefault="00C6252D" w:rsidP="00042DE6"/>
    <w:p w14:paraId="7C5FE362" w14:textId="4DF5613C" w:rsidR="00C6252D" w:rsidRDefault="00C6252D" w:rsidP="00042DE6">
      <w:r w:rsidRPr="00C6252D">
        <w:rPr>
          <w:b/>
          <w:bCs/>
        </w:rPr>
        <w:t>democrat, Democrat, democratic, Democratic, Democratic Party</w:t>
      </w:r>
      <w:r>
        <w:t>.</w:t>
      </w:r>
      <w:r w:rsidRPr="00C6252D">
        <w:t xml:space="preserve"> For the U.S. political party, capitalize </w:t>
      </w:r>
      <w:r w:rsidRPr="00C6252D">
        <w:rPr>
          <w:i/>
          <w:iCs/>
        </w:rPr>
        <w:t>Democrat</w:t>
      </w:r>
      <w:r w:rsidRPr="00C6252D">
        <w:t xml:space="preserve"> and </w:t>
      </w:r>
      <w:r w:rsidRPr="00C6252D">
        <w:rPr>
          <w:i/>
          <w:iCs/>
        </w:rPr>
        <w:t>Democratic</w:t>
      </w:r>
      <w:r w:rsidRPr="00C6252D">
        <w:t xml:space="preserve"> in references to the </w:t>
      </w:r>
      <w:r w:rsidRPr="00C6252D">
        <w:rPr>
          <w:i/>
          <w:iCs/>
        </w:rPr>
        <w:t>Democratic Party</w:t>
      </w:r>
      <w:r w:rsidRPr="00C6252D">
        <w:t xml:space="preserve"> or its members. </w:t>
      </w:r>
      <w:r w:rsidRPr="00C6252D">
        <w:lastRenderedPageBreak/>
        <w:t xml:space="preserve">Lowercase in generic uses: </w:t>
      </w:r>
      <w:r w:rsidRPr="00C6252D">
        <w:rPr>
          <w:i/>
          <w:iCs/>
        </w:rPr>
        <w:t>He champions the values of a democratic society</w:t>
      </w:r>
      <w:r w:rsidRPr="00C6252D">
        <w:t xml:space="preserve">. Use </w:t>
      </w:r>
      <w:r w:rsidRPr="00C6252D">
        <w:rPr>
          <w:i/>
          <w:iCs/>
        </w:rPr>
        <w:t>Democratic</w:t>
      </w:r>
      <w:r w:rsidRPr="00C6252D">
        <w:t xml:space="preserve">, not </w:t>
      </w:r>
      <w:r w:rsidRPr="00C6252D">
        <w:rPr>
          <w:i/>
          <w:iCs/>
        </w:rPr>
        <w:t>Democrat</w:t>
      </w:r>
      <w:r w:rsidRPr="00C6252D">
        <w:t xml:space="preserve">, in usages such as </w:t>
      </w:r>
      <w:r w:rsidRPr="00C6252D">
        <w:rPr>
          <w:i/>
          <w:iCs/>
        </w:rPr>
        <w:t>the Democratic-controlled Legislature</w:t>
      </w:r>
      <w:r w:rsidRPr="00C6252D">
        <w:t xml:space="preserve"> and </w:t>
      </w:r>
      <w:r w:rsidRPr="00C6252D">
        <w:rPr>
          <w:i/>
          <w:iCs/>
        </w:rPr>
        <w:t>the Democratic senator</w:t>
      </w:r>
      <w:r w:rsidRPr="00C6252D">
        <w:t xml:space="preserve"> (except in direct quotations that use </w:t>
      </w:r>
      <w:r w:rsidRPr="00C6252D">
        <w:rPr>
          <w:i/>
          <w:iCs/>
        </w:rPr>
        <w:t>Democrat</w:t>
      </w:r>
      <w:r w:rsidRPr="00C6252D">
        <w:t>).</w:t>
      </w:r>
      <w:r w:rsidRPr="00755452">
        <w:rPr>
          <w:rStyle w:val="FootnoteReference"/>
        </w:rPr>
        <w:footnoteReference w:id="53"/>
      </w:r>
    </w:p>
    <w:p w14:paraId="594ED82F" w14:textId="40C87830" w:rsidR="00ED6313" w:rsidRDefault="00ED6313" w:rsidP="00042DE6"/>
    <w:p w14:paraId="65B79F9A" w14:textId="35F74C76" w:rsidR="00ED6313" w:rsidRPr="00ED6313" w:rsidRDefault="00ED6313" w:rsidP="00042DE6">
      <w:r>
        <w:rPr>
          <w:b/>
          <w:bCs/>
        </w:rPr>
        <w:t>demonstrative pronouns</w:t>
      </w:r>
      <w:r>
        <w:t>. “</w:t>
      </w:r>
      <w:r w:rsidRPr="00ED6313">
        <w:t xml:space="preserve">A demonstrative pronoun (or, as it is sometimes called, a deictic pronoun) is one that points directly to its antecedent: </w:t>
      </w:r>
      <w:r w:rsidRPr="00ED6313">
        <w:rPr>
          <w:i/>
          <w:iCs/>
        </w:rPr>
        <w:t>this</w:t>
      </w:r>
      <w:r w:rsidRPr="00ED6313">
        <w:t xml:space="preserve"> and </w:t>
      </w:r>
      <w:r w:rsidRPr="00ED6313">
        <w:rPr>
          <w:i/>
          <w:iCs/>
        </w:rPr>
        <w:t>that</w:t>
      </w:r>
      <w:r w:rsidRPr="00ED6313">
        <w:t xml:space="preserve"> for singular antecedents {this is your desk} {that is my office}, and </w:t>
      </w:r>
      <w:r w:rsidRPr="00ED6313">
        <w:rPr>
          <w:i/>
          <w:iCs/>
        </w:rPr>
        <w:t>these</w:t>
      </w:r>
      <w:r w:rsidRPr="00ED6313">
        <w:t xml:space="preserve"> and </w:t>
      </w:r>
      <w:r w:rsidRPr="00ED6313">
        <w:rPr>
          <w:i/>
          <w:iCs/>
        </w:rPr>
        <w:t>those</w:t>
      </w:r>
      <w:r w:rsidRPr="00ED6313">
        <w:t xml:space="preserve"> for plural antecedents</w:t>
      </w:r>
      <w:r>
        <w:t xml:space="preserve"> {these have just arrived} {those need to be answered}.</w:t>
      </w:r>
      <w:r w:rsidRPr="00ED6313">
        <w:t xml:space="preserve"> </w:t>
      </w:r>
      <w:r w:rsidRPr="00ED6313">
        <w:rPr>
          <w:i/>
          <w:iCs/>
        </w:rPr>
        <w:t>This</w:t>
      </w:r>
      <w:r w:rsidRPr="00ED6313">
        <w:t xml:space="preserve"> and </w:t>
      </w:r>
      <w:r w:rsidRPr="00ED6313">
        <w:rPr>
          <w:i/>
          <w:iCs/>
        </w:rPr>
        <w:t>these</w:t>
      </w:r>
      <w:r w:rsidRPr="00ED6313">
        <w:t xml:space="preserve"> point to objects that are close by in space, time, or thought, while </w:t>
      </w:r>
      <w:r w:rsidRPr="00ED6313">
        <w:rPr>
          <w:i/>
          <w:iCs/>
        </w:rPr>
        <w:t>that</w:t>
      </w:r>
      <w:r w:rsidRPr="00ED6313">
        <w:t xml:space="preserve"> and </w:t>
      </w:r>
      <w:r w:rsidRPr="00ED6313">
        <w:rPr>
          <w:i/>
          <w:iCs/>
        </w:rPr>
        <w:t>those</w:t>
      </w:r>
      <w:r w:rsidRPr="00ED6313">
        <w:t xml:space="preserve"> point to objects that are comparatively remote in space, time, or thought. The antecedent of a demonstrative pronoun can be a noun, phrase, clause, sentence, or implied thought, </w:t>
      </w:r>
      <w:proofErr w:type="gramStart"/>
      <w:r w:rsidRPr="00ED6313">
        <w:t>as long as</w:t>
      </w:r>
      <w:proofErr w:type="gramEnd"/>
      <w:r w:rsidRPr="00ED6313">
        <w:t xml:space="preserve"> the antecedent is clear. </w:t>
      </w:r>
      <w:r w:rsidRPr="00ED6313">
        <w:rPr>
          <w:i/>
          <w:iCs/>
        </w:rPr>
        <w:t>Kind</w:t>
      </w:r>
      <w:r w:rsidRPr="00ED6313">
        <w:t xml:space="preserve"> and </w:t>
      </w:r>
      <w:r w:rsidRPr="00ED6313">
        <w:rPr>
          <w:i/>
          <w:iCs/>
        </w:rPr>
        <w:t>sort</w:t>
      </w:r>
      <w:r w:rsidRPr="00ED6313">
        <w:t xml:space="preserve">, each referring to "one class," are often used with an adjectival this or that {this kind of magazine} {that sort of school}. The plural forms </w:t>
      </w:r>
      <w:r w:rsidRPr="00ED6313">
        <w:rPr>
          <w:i/>
          <w:iCs/>
        </w:rPr>
        <w:t>kinds</w:t>
      </w:r>
      <w:r w:rsidRPr="00ED6313">
        <w:t xml:space="preserve"> and </w:t>
      </w:r>
      <w:r w:rsidRPr="00ED6313">
        <w:rPr>
          <w:i/>
          <w:iCs/>
        </w:rPr>
        <w:t>sorts</w:t>
      </w:r>
      <w:r w:rsidRPr="00ED6313">
        <w:t xml:space="preserve"> should be used with the plural demonstratives </w:t>
      </w:r>
      <w:r>
        <w:t>{</w:t>
      </w:r>
      <w:r w:rsidRPr="00ED6313">
        <w:t>these kinds of magazines} {those sorts of schools}.</w:t>
      </w:r>
      <w:r>
        <w:t>”</w:t>
      </w:r>
      <w:r w:rsidRPr="00755452">
        <w:rPr>
          <w:rStyle w:val="FootnoteReference"/>
        </w:rPr>
        <w:footnoteReference w:id="54"/>
      </w:r>
    </w:p>
    <w:p w14:paraId="73FD0F4F" w14:textId="4E4137EB" w:rsidR="00304FB6" w:rsidRDefault="00304FB6" w:rsidP="00042DE6"/>
    <w:p w14:paraId="370B13B4" w14:textId="62444CBB" w:rsidR="00304FB6" w:rsidRDefault="00304FB6" w:rsidP="00042DE6">
      <w:r>
        <w:rPr>
          <w:b/>
          <w:bCs/>
        </w:rPr>
        <w:t>despite</w:t>
      </w:r>
      <w:r>
        <w:t xml:space="preserve">. Preferred to </w:t>
      </w:r>
      <w:proofErr w:type="gramStart"/>
      <w:r>
        <w:rPr>
          <w:i/>
          <w:iCs/>
        </w:rPr>
        <w:t>in spite of</w:t>
      </w:r>
      <w:proofErr w:type="gramEnd"/>
      <w:r>
        <w:t xml:space="preserve"> because it </w:t>
      </w:r>
      <w:r w:rsidR="00DC015F">
        <w:t>“</w:t>
      </w:r>
      <w:r>
        <w:t>is shorter</w:t>
      </w:r>
      <w:r w:rsidR="00DC015F">
        <w:t>”</w:t>
      </w:r>
      <w:r>
        <w:t xml:space="preserve"> and </w:t>
      </w:r>
      <w:r w:rsidR="00DC015F">
        <w:t>“</w:t>
      </w:r>
      <w:r>
        <w:t xml:space="preserve">means the </w:t>
      </w:r>
      <w:r w:rsidR="00DC015F">
        <w:t>same thing.”</w:t>
      </w:r>
      <w:r w:rsidR="00DC015F" w:rsidRPr="00755452">
        <w:rPr>
          <w:rStyle w:val="FootnoteReference"/>
        </w:rPr>
        <w:footnoteReference w:id="55"/>
      </w:r>
    </w:p>
    <w:p w14:paraId="71409B8A" w14:textId="569BF5C4" w:rsidR="00911628" w:rsidRDefault="00911628" w:rsidP="00042DE6"/>
    <w:p w14:paraId="38304B20" w14:textId="5954DBD5" w:rsidR="00911628" w:rsidRPr="00911628" w:rsidRDefault="00911628" w:rsidP="00042DE6">
      <w:r>
        <w:rPr>
          <w:b/>
          <w:bCs/>
        </w:rPr>
        <w:t>diabetes</w:t>
      </w:r>
      <w:r>
        <w:t xml:space="preserve">. When referring to the various types of diabetes, the AP Stylebook prefers capitalizing “type” and excluding a hyphen between that word and the number, and making “diabetes” lowercase (i.e., </w:t>
      </w:r>
      <w:r w:rsidRPr="00911628">
        <w:t>Type 1 diabetes</w:t>
      </w:r>
      <w:r>
        <w:t xml:space="preserve"> and </w:t>
      </w:r>
      <w:r w:rsidRPr="00911628">
        <w:t xml:space="preserve">Type </w:t>
      </w:r>
      <w:r>
        <w:t>2</w:t>
      </w:r>
      <w:r w:rsidRPr="00911628">
        <w:t xml:space="preserve"> diabetes</w:t>
      </w:r>
      <w:r>
        <w:t>).</w:t>
      </w:r>
      <w:r w:rsidRPr="00755452">
        <w:rPr>
          <w:rStyle w:val="FootnoteReference"/>
        </w:rPr>
        <w:footnoteReference w:id="56"/>
      </w:r>
    </w:p>
    <w:p w14:paraId="2B7069D7" w14:textId="40F21F4A" w:rsidR="004D3B7F" w:rsidRDefault="004D3B7F" w:rsidP="00042DE6"/>
    <w:p w14:paraId="3661CC4A" w14:textId="6A57A680" w:rsidR="00516D37" w:rsidRDefault="00516D37" w:rsidP="00516D37">
      <w:r>
        <w:t>﻿</w:t>
      </w:r>
      <w:r w:rsidRPr="00516D37">
        <w:rPr>
          <w:b/>
          <w:bCs/>
        </w:rPr>
        <w:t>disk, disc</w:t>
      </w:r>
      <w:r>
        <w:t xml:space="preserve">. Use </w:t>
      </w:r>
      <w:r w:rsidRPr="006C76D4">
        <w:rPr>
          <w:i/>
          <w:iCs/>
        </w:rPr>
        <w:t>disk</w:t>
      </w:r>
      <w:r>
        <w:t xml:space="preserve"> for computer-related references (</w:t>
      </w:r>
      <w:r w:rsidRPr="00FE2C2A">
        <w:rPr>
          <w:i/>
          <w:iCs/>
        </w:rPr>
        <w:t>diskette</w:t>
      </w:r>
      <w:r>
        <w:t xml:space="preserve">) and medical references, such as a </w:t>
      </w:r>
      <w:r w:rsidRPr="00FE2C2A">
        <w:rPr>
          <w:i/>
          <w:iCs/>
        </w:rPr>
        <w:t>slipped disk</w:t>
      </w:r>
      <w:r>
        <w:t xml:space="preserve">. Use the </w:t>
      </w:r>
      <w:r w:rsidRPr="00FE2C2A">
        <w:rPr>
          <w:i/>
          <w:iCs/>
        </w:rPr>
        <w:t>disc</w:t>
      </w:r>
      <w:r>
        <w:t xml:space="preserve"> spelling for optical and laser-based devices (a </w:t>
      </w:r>
      <w:r w:rsidRPr="00FE2C2A">
        <w:rPr>
          <w:i/>
          <w:iCs/>
        </w:rPr>
        <w:t>Blu-ray Disc</w:t>
      </w:r>
      <w:r>
        <w:t xml:space="preserve">, </w:t>
      </w:r>
      <w:r w:rsidRPr="008707BD">
        <w:rPr>
          <w:i/>
          <w:iCs/>
        </w:rPr>
        <w:t>CD</w:t>
      </w:r>
      <w:r>
        <w:t xml:space="preserve">, </w:t>
      </w:r>
      <w:r w:rsidRPr="008707BD">
        <w:rPr>
          <w:i/>
          <w:iCs/>
        </w:rPr>
        <w:t>DVD</w:t>
      </w:r>
      <w:r>
        <w:t xml:space="preserve">) and for </w:t>
      </w:r>
      <w:r w:rsidRPr="008707BD">
        <w:rPr>
          <w:i/>
          <w:iCs/>
        </w:rPr>
        <w:t>disc brake</w:t>
      </w:r>
      <w:r>
        <w:t>.</w:t>
      </w:r>
      <w:r w:rsidR="008707BD" w:rsidRPr="00755452">
        <w:rPr>
          <w:rStyle w:val="FootnoteReference"/>
        </w:rPr>
        <w:footnoteReference w:id="57"/>
      </w:r>
    </w:p>
    <w:p w14:paraId="3F9B7236" w14:textId="61F5A693" w:rsidR="006C651C" w:rsidRDefault="006C651C" w:rsidP="00516D37"/>
    <w:p w14:paraId="33FDC31C" w14:textId="56BD0020" w:rsidR="006C651C" w:rsidRPr="00297E9C" w:rsidRDefault="006C651C" w:rsidP="006C651C">
      <w:pPr>
        <w:rPr>
          <w:rFonts w:ascii="Times New Roman" w:eastAsia="Times New Roman" w:hAnsi="Times New Roman" w:cs="Times New Roman"/>
        </w:rPr>
      </w:pPr>
      <w:bookmarkStart w:id="68" w:name="domicile"/>
      <w:r>
        <w:rPr>
          <w:b/>
          <w:bCs/>
        </w:rPr>
        <w:t>domicile</w:t>
      </w:r>
      <w:bookmarkEnd w:id="68"/>
      <w:r>
        <w:t xml:space="preserve">. “The place at which a person has been physically present and that the person </w:t>
      </w:r>
      <w:r w:rsidRPr="006C651C">
        <w:rPr>
          <w:rFonts w:ascii="Source Sans Pro" w:eastAsia="Times New Roman" w:hAnsi="Source Sans Pro" w:cs="Times New Roman"/>
          <w:color w:val="000000"/>
        </w:rPr>
        <w:t>regards as home; a person's true, fixed, principal, and permanent home, to which that person intends to return and remain even though currently residing elsewhere.</w:t>
      </w:r>
      <w:r>
        <w:rPr>
          <w:rFonts w:ascii="Source Sans Pro" w:eastAsia="Times New Roman" w:hAnsi="Source Sans Pro" w:cs="Times New Roman"/>
          <w:color w:val="000000"/>
        </w:rPr>
        <w:t>” A domicile may also be described as “[t]he residence of a person or corporation for legal purposes.”</w:t>
      </w:r>
      <w:r w:rsidRPr="00755452">
        <w:rPr>
          <w:rStyle w:val="FootnoteReference"/>
        </w:rPr>
        <w:footnoteReference w:id="58"/>
      </w:r>
      <w:r w:rsidR="00297E9C">
        <w:rPr>
          <w:rFonts w:ascii="Source Sans Pro" w:eastAsia="Times New Roman" w:hAnsi="Source Sans Pro" w:cs="Times New Roman"/>
          <w:color w:val="000000"/>
        </w:rPr>
        <w:t xml:space="preserve"> </w:t>
      </w:r>
      <w:r w:rsidR="00297E9C">
        <w:rPr>
          <w:rFonts w:ascii="Source Sans Pro" w:eastAsia="Times New Roman" w:hAnsi="Source Sans Pro" w:cs="Times New Roman"/>
          <w:i/>
          <w:iCs/>
          <w:color w:val="000000"/>
        </w:rPr>
        <w:t>Cf</w:t>
      </w:r>
      <w:r w:rsidR="00297E9C">
        <w:rPr>
          <w:rFonts w:ascii="Source Sans Pro" w:eastAsia="Times New Roman" w:hAnsi="Source Sans Pro" w:cs="Times New Roman"/>
          <w:color w:val="000000"/>
        </w:rPr>
        <w:t xml:space="preserve">. </w:t>
      </w:r>
      <w:r w:rsidR="00297E9C" w:rsidRPr="00E028E4">
        <w:rPr>
          <w:rFonts w:ascii="Source Sans Pro" w:eastAsia="Times New Roman" w:hAnsi="Source Sans Pro" w:cs="Times New Roman"/>
          <w:color w:val="000000"/>
        </w:rPr>
        <w:fldChar w:fldCharType="begin"/>
      </w:r>
      <w:r w:rsidR="00297E9C" w:rsidRPr="00E028E4">
        <w:rPr>
          <w:rFonts w:ascii="Source Sans Pro" w:eastAsia="Times New Roman" w:hAnsi="Source Sans Pro" w:cs="Times New Roman"/>
          <w:color w:val="000000"/>
        </w:rPr>
        <w:instrText xml:space="preserve"> REF residence \h </w:instrText>
      </w:r>
      <w:r w:rsidR="00E028E4" w:rsidRPr="00E028E4">
        <w:rPr>
          <w:rFonts w:ascii="Source Sans Pro" w:eastAsia="Times New Roman" w:hAnsi="Source Sans Pro" w:cs="Times New Roman"/>
          <w:color w:val="000000"/>
        </w:rPr>
        <w:instrText xml:space="preserve"> \* MERGEFORMAT </w:instrText>
      </w:r>
      <w:r w:rsidR="00297E9C" w:rsidRPr="00E028E4">
        <w:rPr>
          <w:rFonts w:ascii="Source Sans Pro" w:eastAsia="Times New Roman" w:hAnsi="Source Sans Pro" w:cs="Times New Roman"/>
          <w:color w:val="000000"/>
        </w:rPr>
      </w:r>
      <w:r w:rsidR="00297E9C" w:rsidRPr="00E028E4">
        <w:rPr>
          <w:rFonts w:ascii="Source Sans Pro" w:eastAsia="Times New Roman" w:hAnsi="Source Sans Pro" w:cs="Times New Roman"/>
          <w:color w:val="000000"/>
        </w:rPr>
        <w:fldChar w:fldCharType="end"/>
      </w:r>
      <w:r w:rsidR="00E028E4" w:rsidRPr="00E028E4">
        <w:rPr>
          <w:rFonts w:ascii="Source Sans Pro" w:eastAsia="Times New Roman" w:hAnsi="Source Sans Pro" w:cs="Times New Roman"/>
          <w:color w:val="000000"/>
        </w:rPr>
        <w:fldChar w:fldCharType="begin"/>
      </w:r>
      <w:r w:rsidR="00E028E4" w:rsidRPr="00E028E4">
        <w:rPr>
          <w:rFonts w:ascii="Source Sans Pro" w:eastAsia="Times New Roman" w:hAnsi="Source Sans Pro" w:cs="Times New Roman"/>
          <w:color w:val="000000"/>
        </w:rPr>
        <w:instrText xml:space="preserve"> REF residence \h  \* MERGEFORMAT </w:instrText>
      </w:r>
      <w:r w:rsidR="00E028E4" w:rsidRPr="00E028E4">
        <w:rPr>
          <w:rFonts w:ascii="Source Sans Pro" w:eastAsia="Times New Roman" w:hAnsi="Source Sans Pro" w:cs="Times New Roman"/>
          <w:color w:val="000000"/>
        </w:rPr>
      </w:r>
      <w:r w:rsidR="00E028E4" w:rsidRPr="00E028E4">
        <w:rPr>
          <w:rFonts w:ascii="Source Sans Pro" w:eastAsia="Times New Roman" w:hAnsi="Source Sans Pro" w:cs="Times New Roman"/>
          <w:color w:val="000000"/>
        </w:rPr>
        <w:fldChar w:fldCharType="separate"/>
      </w:r>
      <w:r w:rsidR="00E028E4" w:rsidRPr="00E028E4">
        <w:t>residence</w:t>
      </w:r>
      <w:r w:rsidR="00E028E4" w:rsidRPr="00E028E4">
        <w:rPr>
          <w:rFonts w:ascii="Source Sans Pro" w:eastAsia="Times New Roman" w:hAnsi="Source Sans Pro" w:cs="Times New Roman"/>
          <w:color w:val="000000"/>
        </w:rPr>
        <w:fldChar w:fldCharType="end"/>
      </w:r>
      <w:r w:rsidR="00297E9C">
        <w:rPr>
          <w:rFonts w:ascii="Source Sans Pro" w:eastAsia="Times New Roman" w:hAnsi="Source Sans Pro" w:cs="Times New Roman"/>
          <w:color w:val="000000"/>
        </w:rPr>
        <w:t>.</w:t>
      </w:r>
    </w:p>
    <w:p w14:paraId="58F0F3B9" w14:textId="2EC2F146" w:rsidR="00531EFE" w:rsidRDefault="00531EFE" w:rsidP="00516D37"/>
    <w:p w14:paraId="6916B6A6" w14:textId="2DE3642C" w:rsidR="00AB18CF" w:rsidRPr="00AB18CF" w:rsidRDefault="00AB18CF" w:rsidP="00516D37">
      <w:r>
        <w:rPr>
          <w:b/>
          <w:bCs/>
        </w:rPr>
        <w:t>draw lots</w:t>
      </w:r>
      <w:r>
        <w:t>. The phrase means “</w:t>
      </w:r>
      <w:r w:rsidRPr="00AB18CF">
        <w:t>to make a decision by choosing from a set of objects such as pieces of paper or sticks that are all the same except for one</w:t>
      </w:r>
      <w:r>
        <w:t>.”</w:t>
      </w:r>
      <w:r w:rsidRPr="00755452">
        <w:rPr>
          <w:rStyle w:val="FootnoteReference"/>
        </w:rPr>
        <w:footnoteReference w:id="59"/>
      </w:r>
    </w:p>
    <w:p w14:paraId="22EEF11B" w14:textId="77777777" w:rsidR="00AB18CF" w:rsidRDefault="00AB18CF" w:rsidP="00516D37">
      <w:pPr>
        <w:rPr>
          <w:b/>
          <w:bCs/>
        </w:rPr>
      </w:pPr>
    </w:p>
    <w:p w14:paraId="07AEE7F2" w14:textId="2769DA78" w:rsidR="00531EFE" w:rsidRPr="00A20970" w:rsidRDefault="00531EFE" w:rsidP="00516D37">
      <w:r w:rsidRPr="00D4688F">
        <w:rPr>
          <w:b/>
          <w:bCs/>
        </w:rPr>
        <w:t>e.g.</w:t>
      </w:r>
      <w:r w:rsidRPr="00D4688F">
        <w:t> </w:t>
      </w:r>
      <w:r>
        <w:t>It “</w:t>
      </w:r>
      <w:r w:rsidRPr="00D4688F">
        <w:t>comes from </w:t>
      </w:r>
      <w:r w:rsidRPr="00D4688F">
        <w:rPr>
          <w:i/>
          <w:iCs/>
        </w:rPr>
        <w:t>exempli gratia</w:t>
      </w:r>
      <w:r w:rsidRPr="00D4688F">
        <w:t xml:space="preserve"> in Latin, which means </w:t>
      </w:r>
      <w:r w:rsidR="00A20970">
        <w:t>‘</w:t>
      </w:r>
      <w:r w:rsidRPr="00D4688F">
        <w:t>for example</w:t>
      </w:r>
      <w:r w:rsidR="00A20970">
        <w:t>’</w:t>
      </w:r>
      <w:r w:rsidRPr="00D4688F">
        <w:t xml:space="preserve">. </w:t>
      </w:r>
      <w:proofErr w:type="gramStart"/>
      <w:r w:rsidRPr="00D4688F">
        <w:t>So</w:t>
      </w:r>
      <w:proofErr w:type="gramEnd"/>
      <w:r w:rsidRPr="00D4688F">
        <w:t xml:space="preserve"> if you make a point and then say, </w:t>
      </w:r>
      <w:r w:rsidR="00A20970">
        <w:t>“</w:t>
      </w:r>
      <w:r w:rsidRPr="00D4688F">
        <w:t>e.g., you don’t want to restate your point, you want to provide an instance of that being true.</w:t>
      </w:r>
      <w:r>
        <w:t>”</w:t>
      </w:r>
      <w:r w:rsidRPr="00755452">
        <w:rPr>
          <w:rStyle w:val="FootnoteReference"/>
        </w:rPr>
        <w:footnoteReference w:id="60"/>
      </w:r>
      <w:r w:rsidR="00A20970">
        <w:t xml:space="preserve"> The </w:t>
      </w:r>
      <w:r w:rsidR="00A20970">
        <w:rPr>
          <w:i/>
          <w:iCs/>
        </w:rPr>
        <w:t>period</w:t>
      </w:r>
      <w:r w:rsidR="00A20970">
        <w:t xml:space="preserve"> following “g” should be followed by a comma.</w:t>
      </w:r>
    </w:p>
    <w:p w14:paraId="4909E595" w14:textId="16128231" w:rsidR="00150C98" w:rsidRDefault="00150C98" w:rsidP="00516D37"/>
    <w:p w14:paraId="5F194846" w14:textId="2296B0AF" w:rsidR="00150C98" w:rsidRPr="00150C98" w:rsidRDefault="00150C98" w:rsidP="00516D37">
      <w:r>
        <w:rPr>
          <w:b/>
          <w:bCs/>
        </w:rPr>
        <w:t>esports</w:t>
      </w:r>
      <w:r>
        <w:t xml:space="preserve">. </w:t>
      </w:r>
      <w:r w:rsidR="009F6A0B">
        <w:t>“</w:t>
      </w:r>
      <w:r w:rsidR="009F6A0B" w:rsidRPr="009F6A0B">
        <w:t xml:space="preserve">Acceptable in all references to competitive multiplayer video gaming. Use alternate forms like </w:t>
      </w:r>
      <w:r w:rsidR="009F6A0B" w:rsidRPr="009F6A0B">
        <w:rPr>
          <w:i/>
          <w:iCs/>
        </w:rPr>
        <w:t>eSports</w:t>
      </w:r>
      <w:r w:rsidR="009F6A0B" w:rsidRPr="009F6A0B">
        <w:t xml:space="preserve"> or </w:t>
      </w:r>
      <w:r w:rsidR="009F6A0B" w:rsidRPr="009F6A0B">
        <w:rPr>
          <w:i/>
          <w:iCs/>
        </w:rPr>
        <w:t>e-sports</w:t>
      </w:r>
      <w:r w:rsidR="009F6A0B" w:rsidRPr="009F6A0B">
        <w:t xml:space="preserve"> only if part of a formal name, like an organization or arena. Capitalize at the start of sentences. Like other collective nouns that are plural in form, </w:t>
      </w:r>
      <w:r w:rsidR="009F6A0B" w:rsidRPr="009F6A0B">
        <w:rPr>
          <w:i/>
          <w:iCs/>
        </w:rPr>
        <w:t>esports</w:t>
      </w:r>
      <w:r w:rsidR="009F6A0B" w:rsidRPr="009F6A0B">
        <w:t xml:space="preserve"> takes singular form when the group or quantity is regarded as a unit. </w:t>
      </w:r>
      <w:r w:rsidR="009F6A0B" w:rsidRPr="009F6A0B">
        <w:rPr>
          <w:i/>
          <w:iCs/>
        </w:rPr>
        <w:t>Some gamers are finding esports is a viable profession; nine esports were added to the competition.</w:t>
      </w:r>
      <w:r w:rsidR="009F6A0B" w:rsidRPr="009F6A0B">
        <w:t xml:space="preserve"> It is also acceptable to refer to individual esports events as </w:t>
      </w:r>
      <w:r w:rsidR="009F6A0B" w:rsidRPr="009F6A0B">
        <w:rPr>
          <w:i/>
          <w:iCs/>
        </w:rPr>
        <w:t>games</w:t>
      </w:r>
      <w:r w:rsidR="009F6A0B" w:rsidRPr="009F6A0B">
        <w:t xml:space="preserve"> or </w:t>
      </w:r>
      <w:r w:rsidR="009F6A0B" w:rsidRPr="009F6A0B">
        <w:rPr>
          <w:i/>
          <w:iCs/>
        </w:rPr>
        <w:t>events</w:t>
      </w:r>
      <w:r w:rsidR="009F6A0B" w:rsidRPr="009F6A0B">
        <w:t>.</w:t>
      </w:r>
      <w:r w:rsidR="009F6A0B">
        <w:t>”</w:t>
      </w:r>
      <w:commentRangeStart w:id="69"/>
      <w:r w:rsidR="009F6A0B" w:rsidRPr="00755452">
        <w:rPr>
          <w:rStyle w:val="FootnoteReference"/>
        </w:rPr>
        <w:footnoteReference w:id="61"/>
      </w:r>
      <w:commentRangeEnd w:id="69"/>
      <w:r w:rsidR="009F6A0B">
        <w:rPr>
          <w:rStyle w:val="CommentReference"/>
        </w:rPr>
        <w:commentReference w:id="69"/>
      </w:r>
      <w:r w:rsidR="009F6A0B">
        <w:t xml:space="preserve"> </w:t>
      </w:r>
    </w:p>
    <w:p w14:paraId="4ABA4E66" w14:textId="685E7931" w:rsidR="00531EFE" w:rsidRDefault="00531EFE" w:rsidP="00516D37"/>
    <w:p w14:paraId="6C37313C" w14:textId="77777777" w:rsidR="00531EFE" w:rsidRDefault="00531EFE" w:rsidP="00531EFE">
      <w:r>
        <w:rPr>
          <w:b/>
          <w:bCs/>
        </w:rPr>
        <w:t>e</w:t>
      </w:r>
      <w:r w:rsidRPr="00D4688F">
        <w:rPr>
          <w:b/>
          <w:bCs/>
        </w:rPr>
        <w:t xml:space="preserve">x </w:t>
      </w:r>
      <w:r>
        <w:rPr>
          <w:b/>
          <w:bCs/>
        </w:rPr>
        <w:t>a</w:t>
      </w:r>
      <w:r w:rsidRPr="00D4688F">
        <w:rPr>
          <w:b/>
          <w:bCs/>
        </w:rPr>
        <w:t>nte</w:t>
      </w:r>
      <w:r>
        <w:t>.</w:t>
      </w:r>
      <w:r w:rsidRPr="00D4688F">
        <w:t> </w:t>
      </w:r>
      <w:r>
        <w:t>It “</w:t>
      </w:r>
      <w:r w:rsidRPr="00D4688F">
        <w:t>means </w:t>
      </w:r>
      <w:r w:rsidRPr="00D4688F">
        <w:rPr>
          <w:i/>
          <w:iCs/>
        </w:rPr>
        <w:t>before the event</w:t>
      </w:r>
      <w:r w:rsidRPr="00D4688F">
        <w:t>, and is basically a prediction of something. In the financial world it’s often a prediction of a return on an investment.</w:t>
      </w:r>
      <w:r>
        <w:t>”</w:t>
      </w:r>
      <w:r w:rsidRPr="00755452">
        <w:rPr>
          <w:rStyle w:val="FootnoteReference"/>
        </w:rPr>
        <w:footnoteReference w:id="62"/>
      </w:r>
    </w:p>
    <w:p w14:paraId="1C68C0E3" w14:textId="77777777" w:rsidR="00531EFE" w:rsidRPr="00D4688F" w:rsidRDefault="00531EFE" w:rsidP="00531EFE"/>
    <w:p w14:paraId="0B5C3A59" w14:textId="545F7C2C" w:rsidR="00531EFE" w:rsidRDefault="00531EFE" w:rsidP="00516D37">
      <w:r>
        <w:rPr>
          <w:b/>
          <w:bCs/>
        </w:rPr>
        <w:t>e</w:t>
      </w:r>
      <w:r w:rsidRPr="00D4688F">
        <w:rPr>
          <w:b/>
          <w:bCs/>
        </w:rPr>
        <w:t xml:space="preserve">x </w:t>
      </w:r>
      <w:r>
        <w:rPr>
          <w:b/>
          <w:bCs/>
        </w:rPr>
        <w:t>p</w:t>
      </w:r>
      <w:r w:rsidRPr="00D4688F">
        <w:rPr>
          <w:b/>
          <w:bCs/>
        </w:rPr>
        <w:t>ost</w:t>
      </w:r>
      <w:r>
        <w:t>. It</w:t>
      </w:r>
      <w:r w:rsidRPr="00D4688F">
        <w:t> </w:t>
      </w:r>
      <w:r>
        <w:t>“</w:t>
      </w:r>
      <w:r w:rsidRPr="00D4688F">
        <w:t>means </w:t>
      </w:r>
      <w:r w:rsidRPr="00D4688F">
        <w:rPr>
          <w:i/>
          <w:iCs/>
        </w:rPr>
        <w:t>after the event</w:t>
      </w:r>
      <w:r w:rsidRPr="00D4688F">
        <w:t xml:space="preserve">, and means something that is settled after the event </w:t>
      </w:r>
      <w:proofErr w:type="gramStart"/>
      <w:r w:rsidRPr="00D4688F">
        <w:t>actually happens</w:t>
      </w:r>
      <w:proofErr w:type="gramEnd"/>
      <w:r w:rsidRPr="00D4688F">
        <w:t xml:space="preserve">. For investment companies it’s a look back at how they company </w:t>
      </w:r>
      <w:proofErr w:type="gramStart"/>
      <w:r w:rsidRPr="00D4688F">
        <w:t>actually did</w:t>
      </w:r>
      <w:proofErr w:type="gramEnd"/>
      <w:r w:rsidRPr="00D4688F">
        <w:t xml:space="preserve"> as opposed to how well they planned on doing.</w:t>
      </w:r>
      <w:r>
        <w:t>”</w:t>
      </w:r>
      <w:r w:rsidRPr="00755452">
        <w:rPr>
          <w:rStyle w:val="FootnoteReference"/>
        </w:rPr>
        <w:footnoteReference w:id="63"/>
      </w:r>
      <w:r w:rsidR="007934AF">
        <w:t xml:space="preserve"> </w:t>
      </w:r>
      <w:r w:rsidR="007934AF">
        <w:rPr>
          <w:i/>
          <w:iCs/>
        </w:rPr>
        <w:t>Cf</w:t>
      </w:r>
      <w:r w:rsidR="007934AF">
        <w:t xml:space="preserve">. </w:t>
      </w:r>
      <w:r w:rsidR="00486007">
        <w:t>post hoc.</w:t>
      </w:r>
    </w:p>
    <w:p w14:paraId="6653F651" w14:textId="77777777" w:rsidR="00C02248" w:rsidRDefault="00C02248" w:rsidP="00516D37"/>
    <w:p w14:paraId="085417C2" w14:textId="145BD6BD" w:rsidR="006223EF" w:rsidRPr="006223EF" w:rsidRDefault="006223EF" w:rsidP="006223EF">
      <w:r>
        <w:rPr>
          <w:b/>
          <w:bCs/>
        </w:rPr>
        <w:t>f</w:t>
      </w:r>
      <w:r w:rsidR="00C02248">
        <w:rPr>
          <w:b/>
          <w:bCs/>
        </w:rPr>
        <w:t>arther, further</w:t>
      </w:r>
      <w:r w:rsidR="00C02248">
        <w:t xml:space="preserve">. </w:t>
      </w:r>
      <w:r>
        <w:t>“</w:t>
      </w:r>
      <w:r w:rsidRPr="006223EF">
        <w:t>Farther refers to physical distance: </w:t>
      </w:r>
      <w:r w:rsidRPr="006223EF">
        <w:rPr>
          <w:i/>
          <w:iCs/>
        </w:rPr>
        <w:t>He walked farther into the woods.</w:t>
      </w:r>
    </w:p>
    <w:p w14:paraId="09DB1381" w14:textId="06C693BD" w:rsidR="00C02248" w:rsidRPr="006223EF" w:rsidRDefault="006223EF" w:rsidP="00516D37">
      <w:r w:rsidRPr="006223EF">
        <w:rPr>
          <w:i/>
          <w:iCs/>
        </w:rPr>
        <w:t>Further</w:t>
      </w:r>
      <w:r w:rsidRPr="006223EF">
        <w:t> refers to an extension of time or degree: </w:t>
      </w:r>
      <w:r w:rsidRPr="006223EF">
        <w:rPr>
          <w:i/>
          <w:iCs/>
        </w:rPr>
        <w:t>She will look further into the mystery</w:t>
      </w:r>
      <w:r>
        <w:t>.”</w:t>
      </w:r>
      <w:r>
        <w:rPr>
          <w:rStyle w:val="FootnoteReference"/>
        </w:rPr>
        <w:footnoteReference w:id="64"/>
      </w:r>
    </w:p>
    <w:p w14:paraId="172E61BA" w14:textId="77777777" w:rsidR="006C54CE" w:rsidRDefault="006C54CE" w:rsidP="00516D37"/>
    <w:p w14:paraId="2371DBEB" w14:textId="53EC631B" w:rsidR="006C54CE" w:rsidRPr="006C54CE" w:rsidRDefault="006C54CE" w:rsidP="006C54CE">
      <w:r w:rsidRPr="006C54CE">
        <w:rPr>
          <w:b/>
          <w:bCs/>
        </w:rPr>
        <w:t>fewer, less</w:t>
      </w:r>
      <w:r>
        <w:t>.</w:t>
      </w:r>
      <w:r w:rsidRPr="006C54CE">
        <w:t> </w:t>
      </w:r>
      <w:r>
        <w:t>“</w:t>
      </w:r>
      <w:r w:rsidRPr="006C54CE">
        <w:t>In general, use </w:t>
      </w:r>
      <w:r w:rsidRPr="006C54CE">
        <w:rPr>
          <w:i/>
          <w:iCs/>
        </w:rPr>
        <w:t>fewer</w:t>
      </w:r>
      <w:r w:rsidRPr="006C54CE">
        <w:t> for individual items, </w:t>
      </w:r>
      <w:r w:rsidRPr="006C54CE">
        <w:rPr>
          <w:i/>
          <w:iCs/>
        </w:rPr>
        <w:t>less</w:t>
      </w:r>
      <w:r w:rsidRPr="006C54CE">
        <w:t> for bulk or quantity.</w:t>
      </w:r>
    </w:p>
    <w:p w14:paraId="4C62D1F7" w14:textId="3B36841D" w:rsidR="006C54CE" w:rsidRDefault="006C54CE" w:rsidP="006C54CE">
      <w:r>
        <w:t xml:space="preserve">[Examples:] </w:t>
      </w:r>
    </w:p>
    <w:p w14:paraId="620E9378" w14:textId="36F0BBD6" w:rsidR="006C54CE" w:rsidRPr="006C54CE" w:rsidRDefault="006C54CE" w:rsidP="006C54CE">
      <w:pPr>
        <w:ind w:left="540"/>
      </w:pPr>
      <w:r w:rsidRPr="006C54CE">
        <w:t>Wrong: </w:t>
      </w:r>
      <w:r w:rsidRPr="006C54CE">
        <w:rPr>
          <w:i/>
          <w:iCs/>
        </w:rPr>
        <w:t>The trend is toward more machines and less people.</w:t>
      </w:r>
      <w:r w:rsidRPr="006C54CE">
        <w:t> (People in this sense refers to individuals.)</w:t>
      </w:r>
    </w:p>
    <w:p w14:paraId="643C5F46" w14:textId="77777777" w:rsidR="006C54CE" w:rsidRPr="006C54CE" w:rsidRDefault="006C54CE" w:rsidP="006C54CE">
      <w:pPr>
        <w:ind w:left="540"/>
      </w:pPr>
      <w:r w:rsidRPr="006C54CE">
        <w:t>Wrong: </w:t>
      </w:r>
      <w:r w:rsidRPr="006C54CE">
        <w:rPr>
          <w:i/>
          <w:iCs/>
        </w:rPr>
        <w:t>She was fewer than 60 years old.</w:t>
      </w:r>
      <w:r w:rsidRPr="006C54CE">
        <w:t xml:space="preserve"> (Years in this sense refers to </w:t>
      </w:r>
      <w:proofErr w:type="gramStart"/>
      <w:r w:rsidRPr="006C54CE">
        <w:t>a period of time</w:t>
      </w:r>
      <w:proofErr w:type="gramEnd"/>
      <w:r w:rsidRPr="006C54CE">
        <w:t>, not individual years.)</w:t>
      </w:r>
    </w:p>
    <w:p w14:paraId="7B1FE3DB" w14:textId="77777777" w:rsidR="006C54CE" w:rsidRPr="006C54CE" w:rsidRDefault="006C54CE" w:rsidP="006C54CE">
      <w:pPr>
        <w:ind w:left="540"/>
      </w:pPr>
      <w:r w:rsidRPr="006C54CE">
        <w:t>Right: </w:t>
      </w:r>
      <w:r w:rsidRPr="006C54CE">
        <w:rPr>
          <w:i/>
          <w:iCs/>
        </w:rPr>
        <w:t>Fewer than 10 applicants called.</w:t>
      </w:r>
      <w:r w:rsidRPr="006C54CE">
        <w:t> (Individuals.)</w:t>
      </w:r>
    </w:p>
    <w:p w14:paraId="11754A30" w14:textId="04065DDB" w:rsidR="006C54CE" w:rsidRDefault="006C54CE" w:rsidP="006C54CE">
      <w:pPr>
        <w:ind w:left="540"/>
      </w:pPr>
      <w:r w:rsidRPr="006C54CE">
        <w:t>Right: </w:t>
      </w:r>
      <w:r w:rsidRPr="006C54CE">
        <w:rPr>
          <w:i/>
          <w:iCs/>
        </w:rPr>
        <w:t>I had less than $50 in my pocket.</w:t>
      </w:r>
      <w:r w:rsidRPr="006C54CE">
        <w:t> (An amount.) But: </w:t>
      </w:r>
      <w:r w:rsidRPr="006C54CE">
        <w:rPr>
          <w:i/>
          <w:iCs/>
        </w:rPr>
        <w:t>I had fewer than 50 $1 bills in my pocket.</w:t>
      </w:r>
      <w:r w:rsidRPr="006C54CE">
        <w:t> (Individual items.)</w:t>
      </w:r>
      <w:r>
        <w:t>”</w:t>
      </w:r>
      <w:r w:rsidRPr="00755452">
        <w:rPr>
          <w:rStyle w:val="FootnoteReference"/>
        </w:rPr>
        <w:footnoteReference w:id="65"/>
      </w:r>
    </w:p>
    <w:p w14:paraId="51936C47" w14:textId="77777777" w:rsidR="006C54CE" w:rsidRDefault="006C54CE" w:rsidP="00516D37"/>
    <w:p w14:paraId="55B2BCF1" w14:textId="2D3DDABA" w:rsidR="0018763D" w:rsidRPr="0018763D" w:rsidRDefault="0018763D" w:rsidP="00516D37">
      <w:r>
        <w:rPr>
          <w:b/>
          <w:bCs/>
        </w:rPr>
        <w:t>grammar</w:t>
      </w:r>
      <w:r>
        <w:t xml:space="preserve">. “Grammar consists of the rules governing how words are put together into sentences. These rules, which native speakers of a language learn largely by osmosis, govern most constructions </w:t>
      </w:r>
      <w:proofErr w:type="gramStart"/>
      <w:r>
        <w:t>in a given</w:t>
      </w:r>
      <w:proofErr w:type="gramEnd"/>
      <w:r>
        <w:t xml:space="preserve"> language. The small minority of constructions that like outside these rules fall mostly into the category of idiom and usage.”</w:t>
      </w:r>
      <w:r w:rsidRPr="00755452">
        <w:rPr>
          <w:rStyle w:val="FootnoteReference"/>
        </w:rPr>
        <w:footnoteReference w:id="66"/>
      </w:r>
    </w:p>
    <w:p w14:paraId="5888525D" w14:textId="439E22B1" w:rsidR="00FA1E9E" w:rsidRDefault="00FA1E9E" w:rsidP="00516D37"/>
    <w:p w14:paraId="24A5CADA" w14:textId="4FCAEFD8" w:rsidR="00FA1E9E" w:rsidRPr="00FA1E9E" w:rsidRDefault="00FA1E9E" w:rsidP="00516D37">
      <w:r>
        <w:rPr>
          <w:b/>
          <w:bCs/>
        </w:rPr>
        <w:t>halfway</w:t>
      </w:r>
      <w:r>
        <w:t>. One word; not “half-way.”</w:t>
      </w:r>
      <w:r w:rsidR="008A0433" w:rsidRPr="00755452">
        <w:rPr>
          <w:rStyle w:val="FootnoteReference"/>
        </w:rPr>
        <w:footnoteReference w:id="67"/>
      </w:r>
    </w:p>
    <w:p w14:paraId="7CF06B65" w14:textId="2E550903" w:rsidR="003302C1" w:rsidRDefault="003302C1" w:rsidP="00042DE6"/>
    <w:p w14:paraId="0F4793BB" w14:textId="7EBD49CE" w:rsidR="003302C1" w:rsidRPr="002A36CB" w:rsidRDefault="002A36CB" w:rsidP="00E6618A">
      <w:pPr>
        <w:keepNext/>
        <w:keepLines/>
      </w:pPr>
      <w:r>
        <w:rPr>
          <w:b/>
          <w:bCs/>
        </w:rPr>
        <w:lastRenderedPageBreak/>
        <w:t>HCSM</w:t>
      </w:r>
      <w:r w:rsidRPr="00FA1E9E">
        <w:t>.</w:t>
      </w:r>
      <w:r>
        <w:t xml:space="preserve"> A “health care sharing ministry. It is “</w:t>
      </w:r>
      <w:r w:rsidRPr="002A36CB">
        <w:t>a faith-based organization that shares resources for medical needs among its members. In general, HCSM members are expected to follow a set of religious or ethical beliefs and contribute a payment regularly (e.g., monthly) to cover the medical expenses of other members. The contributions are distributed, either through the HCSM or via a member</w:t>
      </w:r>
      <w:r>
        <w:noBreakHyphen/>
      </w:r>
      <w:r w:rsidRPr="002A36CB">
        <w:t>t</w:t>
      </w:r>
      <w:r>
        <w:t>o</w:t>
      </w:r>
      <w:r>
        <w:softHyphen/>
      </w:r>
      <w:r>
        <w:noBreakHyphen/>
      </w:r>
      <w:r w:rsidRPr="002A36CB">
        <w:t>member match, to members who need funds for health care costs.</w:t>
      </w:r>
      <w:r>
        <w:t>”</w:t>
      </w:r>
      <w:r w:rsidRPr="00755452">
        <w:rPr>
          <w:rStyle w:val="FootnoteReference"/>
        </w:rPr>
        <w:footnoteReference w:id="68"/>
      </w:r>
    </w:p>
    <w:p w14:paraId="2715C297" w14:textId="08D6F2E6" w:rsidR="003A081D" w:rsidRDefault="003A081D" w:rsidP="00042DE6"/>
    <w:p w14:paraId="285D29C3" w14:textId="56CD4FB8" w:rsidR="00CC3340" w:rsidRDefault="003A081D" w:rsidP="00042DE6">
      <w:r>
        <w:rPr>
          <w:b/>
          <w:bCs/>
        </w:rPr>
        <w:t>health care / healthcare</w:t>
      </w:r>
      <w:r>
        <w:t>. Use two words when making a more general reference, or generally as a noun. When the term is used to describe (i.e., an adjective) or characterize (i.e., an adverb), use the one-worded spelling.</w:t>
      </w:r>
      <w:r w:rsidRPr="00755452">
        <w:rPr>
          <w:rStyle w:val="FootnoteReference"/>
        </w:rPr>
        <w:footnoteReference w:id="69"/>
      </w:r>
      <w:r w:rsidR="00F223DE">
        <w:t xml:space="preserve"> </w:t>
      </w:r>
      <w:r w:rsidR="00F223DE" w:rsidRPr="00F223DE">
        <w:rPr>
          <w:u w:val="single"/>
        </w:rPr>
        <w:t>Note</w:t>
      </w:r>
      <w:r w:rsidR="00F223DE">
        <w:t>: the 55</w:t>
      </w:r>
      <w:r w:rsidR="00F223DE" w:rsidRPr="00120449">
        <w:rPr>
          <w:vertAlign w:val="superscript"/>
        </w:rPr>
        <w:t>th</w:t>
      </w:r>
      <w:r w:rsidR="00F223DE">
        <w:t xml:space="preserve"> </w:t>
      </w:r>
      <w:r w:rsidR="00F47754">
        <w:t>(and the 57</w:t>
      </w:r>
      <w:r w:rsidR="00F47754" w:rsidRPr="00F47754">
        <w:rPr>
          <w:vertAlign w:val="superscript"/>
        </w:rPr>
        <w:t>th</w:t>
      </w:r>
      <w:r w:rsidR="00F47754">
        <w:t xml:space="preserve">) </w:t>
      </w:r>
      <w:r w:rsidR="00F223DE">
        <w:t xml:space="preserve">Edition of the Associated Press Stylebook prefers the two-worded spelling, </w:t>
      </w:r>
      <w:r w:rsidR="00F223DE">
        <w:rPr>
          <w:i/>
          <w:iCs/>
        </w:rPr>
        <w:t>health care</w:t>
      </w:r>
      <w:r w:rsidR="00F223DE">
        <w:t>.</w:t>
      </w:r>
      <w:r w:rsidR="00725EBE" w:rsidRPr="00755452">
        <w:rPr>
          <w:rStyle w:val="FootnoteReference"/>
        </w:rPr>
        <w:footnoteReference w:id="70"/>
      </w:r>
    </w:p>
    <w:p w14:paraId="39312571" w14:textId="6789B121" w:rsidR="003A081D" w:rsidRDefault="00FA6C18" w:rsidP="00042DE6">
      <w:r>
        <w:t xml:space="preserve"> </w:t>
      </w:r>
    </w:p>
    <w:p w14:paraId="6A0E85A1" w14:textId="2343B789" w:rsidR="00531EFE" w:rsidRDefault="00531EFE" w:rsidP="003E3087">
      <w:r w:rsidRPr="00D4688F">
        <w:rPr>
          <w:b/>
          <w:bCs/>
        </w:rPr>
        <w:t>i.e.</w:t>
      </w:r>
      <w:r w:rsidRPr="00D4688F">
        <w:t> </w:t>
      </w:r>
      <w:r>
        <w:t>It “</w:t>
      </w:r>
      <w:r w:rsidRPr="00D4688F">
        <w:t>comes from </w:t>
      </w:r>
      <w:r w:rsidRPr="00D4688F">
        <w:rPr>
          <w:i/>
          <w:iCs/>
        </w:rPr>
        <w:t xml:space="preserve">id </w:t>
      </w:r>
      <w:proofErr w:type="spellStart"/>
      <w:r w:rsidRPr="00D4688F">
        <w:rPr>
          <w:i/>
          <w:iCs/>
        </w:rPr>
        <w:t>est</w:t>
      </w:r>
      <w:proofErr w:type="spellEnd"/>
      <w:r w:rsidRPr="00D4688F">
        <w:t> in Latin, basically meaning </w:t>
      </w:r>
      <w:r w:rsidRPr="00D4688F">
        <w:rPr>
          <w:i/>
          <w:iCs/>
        </w:rPr>
        <w:t>it is</w:t>
      </w:r>
      <w:r w:rsidRPr="00D4688F">
        <w:t>, and signifies a restatement of what was just said. It’s a reiteration, not an example or case in point.</w:t>
      </w:r>
      <w:r>
        <w:t>”</w:t>
      </w:r>
      <w:r w:rsidRPr="00755452">
        <w:rPr>
          <w:rStyle w:val="FootnoteReference"/>
        </w:rPr>
        <w:footnoteReference w:id="71"/>
      </w:r>
      <w:r w:rsidR="00B92A6A">
        <w:t xml:space="preserve"> The second period should be followed by a comma.</w:t>
      </w:r>
    </w:p>
    <w:p w14:paraId="49FDD6B1" w14:textId="77777777" w:rsidR="00F47754" w:rsidRDefault="00F47754" w:rsidP="003E3087"/>
    <w:p w14:paraId="75359355" w14:textId="2DF82D40" w:rsidR="00A22712" w:rsidRPr="00A22712" w:rsidRDefault="00F47754" w:rsidP="00A22712">
      <w:r>
        <w:rPr>
          <w:b/>
          <w:bCs/>
        </w:rPr>
        <w:t>in person</w:t>
      </w:r>
      <w:r>
        <w:t>. “</w:t>
      </w:r>
      <w:r w:rsidRPr="00F47754">
        <w:rPr>
          <w:i/>
          <w:iCs/>
        </w:rPr>
        <w:t>In person</w:t>
      </w:r>
      <w:r w:rsidRPr="00F47754">
        <w:t> </w:t>
      </w:r>
      <w:r>
        <w:t xml:space="preserve">[is an adverb that] </w:t>
      </w:r>
      <w:r w:rsidRPr="00F47754">
        <w:t xml:space="preserve">means </w:t>
      </w:r>
      <w:r>
        <w:t>‘i</w:t>
      </w:r>
      <w:r w:rsidRPr="00F47754">
        <w:t>n one’s bodily presence</w:t>
      </w:r>
      <w:r>
        <w:t>’</w:t>
      </w:r>
      <w:r w:rsidRPr="00F47754">
        <w:t xml:space="preserve"> as in ‘He met his boss in person a few weeks after the phone interview.’</w:t>
      </w:r>
      <w:r>
        <w:t>” “</w:t>
      </w:r>
      <w:r w:rsidRPr="00F47754">
        <w:t>Remember that adverbs usually modify verbs, so if you are describing how something was or will be done you want </w:t>
      </w:r>
      <w:r w:rsidRPr="00F47754">
        <w:rPr>
          <w:i/>
          <w:iCs/>
        </w:rPr>
        <w:t>in person</w:t>
      </w:r>
      <w:r w:rsidRPr="00F47754">
        <w:t>.</w:t>
      </w:r>
      <w:r>
        <w:t>”</w:t>
      </w:r>
      <w:r w:rsidRPr="00755452">
        <w:rPr>
          <w:rStyle w:val="FootnoteReference"/>
        </w:rPr>
        <w:footnoteReference w:id="72"/>
      </w:r>
      <w:r w:rsidR="00A22712">
        <w:t xml:space="preserve"> </w:t>
      </w:r>
      <w:bookmarkStart w:id="70" w:name="_Hlk180007518"/>
      <w:r w:rsidR="00A22712">
        <w:t>A helpful tip from Merriam-Webster: “</w:t>
      </w:r>
      <w:r w:rsidR="00A22712" w:rsidRPr="00A22712">
        <w:t>What to remember:</w:t>
      </w:r>
      <w:r w:rsidR="00A22712">
        <w:t xml:space="preserve"> </w:t>
      </w:r>
      <w:r w:rsidR="00A22712" w:rsidRPr="00A22712">
        <w:t>Use </w:t>
      </w:r>
      <w:r w:rsidR="00A22712" w:rsidRPr="00A22712">
        <w:rPr>
          <w:i/>
          <w:iCs/>
        </w:rPr>
        <w:t>in person</w:t>
      </w:r>
      <w:r w:rsidR="00A22712" w:rsidRPr="00A22712">
        <w:t> as an adverb (modifying a verb, adjective, or adverb) and </w:t>
      </w:r>
      <w:r w:rsidR="00A22712" w:rsidRPr="00A22712">
        <w:rPr>
          <w:i/>
          <w:iCs/>
        </w:rPr>
        <w:t>in-person</w:t>
      </w:r>
      <w:r w:rsidR="00A22712" w:rsidRPr="00A22712">
        <w:t> as an adjective (modifying a noun). You can use both in the same sentence, if it will help you to remember how to keep them separate (although it will probably not be a very elegant sentence):</w:t>
      </w:r>
      <w:r w:rsidR="00A22712">
        <w:t xml:space="preserve"> </w:t>
      </w:r>
      <w:r w:rsidR="00A22712" w:rsidRPr="00A22712">
        <w:t>'You'll need to come </w:t>
      </w:r>
      <w:r w:rsidR="00A22712" w:rsidRPr="00A22712">
        <w:rPr>
          <w:i/>
          <w:iCs/>
        </w:rPr>
        <w:t>in person</w:t>
      </w:r>
      <w:r w:rsidR="00A22712" w:rsidRPr="00A22712">
        <w:t> to collect your hyphen at the </w:t>
      </w:r>
      <w:r w:rsidR="00A22712" w:rsidRPr="00A22712">
        <w:rPr>
          <w:i/>
          <w:iCs/>
        </w:rPr>
        <w:t>in-person</w:t>
      </w:r>
      <w:r w:rsidR="00A22712" w:rsidRPr="00A22712">
        <w:t> workshop on "How to properly use hyphens."'</w:t>
      </w:r>
      <w:r w:rsidR="00A22712">
        <w:t>”</w:t>
      </w:r>
      <w:bookmarkEnd w:id="70"/>
      <w:r w:rsidR="00A22712" w:rsidRPr="00755452">
        <w:rPr>
          <w:rStyle w:val="FootnoteReference"/>
        </w:rPr>
        <w:footnoteReference w:id="73"/>
      </w:r>
    </w:p>
    <w:p w14:paraId="7C49A175" w14:textId="2362268E" w:rsidR="00F47754" w:rsidRDefault="00F47754" w:rsidP="003E3087"/>
    <w:p w14:paraId="73D8DAAD" w14:textId="77777777" w:rsidR="00A22712" w:rsidRDefault="00A22712" w:rsidP="003E3087">
      <w:pPr>
        <w:rPr>
          <w:b/>
          <w:bCs/>
        </w:rPr>
      </w:pPr>
    </w:p>
    <w:p w14:paraId="0427F7C3" w14:textId="01026001" w:rsidR="00F47754" w:rsidRPr="00F47754" w:rsidRDefault="00F47754" w:rsidP="003E3087">
      <w:r>
        <w:rPr>
          <w:b/>
          <w:bCs/>
        </w:rPr>
        <w:t>in-person</w:t>
      </w:r>
      <w:r>
        <w:t>. “</w:t>
      </w:r>
      <w:r w:rsidRPr="00F47754">
        <w:rPr>
          <w:i/>
          <w:iCs/>
        </w:rPr>
        <w:t>In-person</w:t>
      </w:r>
      <w:r w:rsidRPr="00F47754">
        <w:t> is an adjective that describes something done by or with a person who is physically present. Remember that adjectives modify nouns, so if you are describing the quality of a noun (such as a class, interview, or visit) you want </w:t>
      </w:r>
      <w:r w:rsidRPr="00F47754">
        <w:rPr>
          <w:i/>
          <w:iCs/>
        </w:rPr>
        <w:t>in-person</w:t>
      </w:r>
      <w:r w:rsidRPr="00F47754">
        <w:t>.”</w:t>
      </w:r>
      <w:r w:rsidR="00A22712">
        <w:t xml:space="preserve"> A helpful tip from Merriam-Webster: “</w:t>
      </w:r>
      <w:r w:rsidR="00A22712" w:rsidRPr="00A22712">
        <w:t>What to remember:</w:t>
      </w:r>
      <w:r w:rsidR="00A22712">
        <w:t xml:space="preserve"> </w:t>
      </w:r>
      <w:r w:rsidR="00A22712" w:rsidRPr="00A22712">
        <w:t>Use </w:t>
      </w:r>
      <w:r w:rsidR="00A22712" w:rsidRPr="00A22712">
        <w:rPr>
          <w:i/>
          <w:iCs/>
        </w:rPr>
        <w:t>in person</w:t>
      </w:r>
      <w:r w:rsidR="00A22712" w:rsidRPr="00A22712">
        <w:t> as an adverb (modifying a verb, adjective, or adverb) and </w:t>
      </w:r>
      <w:r w:rsidR="00A22712" w:rsidRPr="00A22712">
        <w:rPr>
          <w:i/>
          <w:iCs/>
        </w:rPr>
        <w:t>in-person</w:t>
      </w:r>
      <w:r w:rsidR="00A22712" w:rsidRPr="00A22712">
        <w:t xml:space="preserve"> as an adjective (modifying a noun). You can use both in the same </w:t>
      </w:r>
      <w:r w:rsidR="00A22712" w:rsidRPr="00A22712">
        <w:lastRenderedPageBreak/>
        <w:t>sentence, if it will help you to remember how to keep them separate (although it will probably not be a very elegant sentence):</w:t>
      </w:r>
      <w:r w:rsidR="00A22712">
        <w:t xml:space="preserve"> </w:t>
      </w:r>
      <w:r w:rsidR="00A22712" w:rsidRPr="00A22712">
        <w:t>'You'll need to come </w:t>
      </w:r>
      <w:r w:rsidR="00A22712" w:rsidRPr="00A22712">
        <w:rPr>
          <w:i/>
          <w:iCs/>
        </w:rPr>
        <w:t>in person</w:t>
      </w:r>
      <w:r w:rsidR="00A22712" w:rsidRPr="00A22712">
        <w:t> to collect your hyphen at the </w:t>
      </w:r>
      <w:r w:rsidR="00A22712" w:rsidRPr="00A22712">
        <w:rPr>
          <w:i/>
          <w:iCs/>
        </w:rPr>
        <w:t>in-person</w:t>
      </w:r>
      <w:r w:rsidR="00A22712" w:rsidRPr="00A22712">
        <w:t> workshop on "How to properly use hyphens."'</w:t>
      </w:r>
      <w:r w:rsidR="00A22712">
        <w:t>”</w:t>
      </w:r>
      <w:r w:rsidR="00A22712" w:rsidRPr="00755452">
        <w:rPr>
          <w:rStyle w:val="FootnoteReference"/>
        </w:rPr>
        <w:footnoteReference w:id="74"/>
      </w:r>
    </w:p>
    <w:p w14:paraId="7EBC7244" w14:textId="77777777" w:rsidR="00531EFE" w:rsidRDefault="00531EFE" w:rsidP="003E3087">
      <w:pPr>
        <w:rPr>
          <w:b/>
          <w:bCs/>
        </w:rPr>
      </w:pPr>
    </w:p>
    <w:p w14:paraId="25720E16" w14:textId="2F7D03FB" w:rsidR="003E3087" w:rsidRDefault="00542041" w:rsidP="003E3087">
      <w:proofErr w:type="gramStart"/>
      <w:r w:rsidRPr="00542041">
        <w:rPr>
          <w:b/>
          <w:bCs/>
        </w:rPr>
        <w:t>in spite of</w:t>
      </w:r>
      <w:proofErr w:type="gramEnd"/>
      <w:r>
        <w:t>.</w:t>
      </w:r>
      <w:r w:rsidRPr="00542041">
        <w:t xml:space="preserve"> </w:t>
      </w:r>
      <w:r w:rsidRPr="00542041">
        <w:rPr>
          <w:i/>
          <w:iCs/>
        </w:rPr>
        <w:t>Despite</w:t>
      </w:r>
      <w:r w:rsidRPr="00542041">
        <w:t xml:space="preserve"> means the same thing and is shorter.</w:t>
      </w:r>
      <w:r w:rsidR="006D3EDF" w:rsidRPr="00755452">
        <w:rPr>
          <w:rStyle w:val="FootnoteReference"/>
        </w:rPr>
        <w:footnoteReference w:id="75"/>
      </w:r>
    </w:p>
    <w:p w14:paraId="36333A1C" w14:textId="66490429" w:rsidR="00DC0111" w:rsidRDefault="00DC0111" w:rsidP="003E3087"/>
    <w:p w14:paraId="1A317762" w14:textId="0F1C56DC" w:rsidR="00DC0111" w:rsidRDefault="0011565A" w:rsidP="003E3087">
      <w:r>
        <w:rPr>
          <w:b/>
          <w:bCs/>
        </w:rPr>
        <w:t>i</w:t>
      </w:r>
      <w:r w:rsidR="00DC0111">
        <w:rPr>
          <w:b/>
          <w:bCs/>
        </w:rPr>
        <w:t>ndemnitee</w:t>
      </w:r>
      <w:r w:rsidR="00DC0111">
        <w:t xml:space="preserve">. </w:t>
      </w:r>
      <w:r w:rsidR="00BE6C2B">
        <w:t>“</w:t>
      </w:r>
      <w:r w:rsidR="00BE6C2B" w:rsidRPr="00BE6C2B">
        <w:t>Someone who receives indemnity from another.</w:t>
      </w:r>
      <w:r w:rsidR="00BE6C2B">
        <w:t>”</w:t>
      </w:r>
      <w:r w:rsidR="00774BEE" w:rsidRPr="00755452">
        <w:rPr>
          <w:rStyle w:val="FootnoteReference"/>
        </w:rPr>
        <w:footnoteReference w:id="76"/>
      </w:r>
    </w:p>
    <w:p w14:paraId="4D3CFB88" w14:textId="5E2E396C" w:rsidR="003471F7" w:rsidRDefault="003471F7" w:rsidP="003E3087"/>
    <w:p w14:paraId="2E5DDE72" w14:textId="77E4C65A" w:rsidR="003471F7" w:rsidRDefault="00C17732" w:rsidP="003E3087">
      <w:pPr>
        <w:rPr>
          <w:rFonts w:ascii="Times New Roman" w:eastAsia="Times New Roman" w:hAnsi="Times New Roman" w:cs="Times New Roman"/>
        </w:rPr>
      </w:pPr>
      <w:r>
        <w:rPr>
          <w:b/>
          <w:bCs/>
        </w:rPr>
        <w:t>indemnitor</w:t>
      </w:r>
      <w:r>
        <w:t>. “</w:t>
      </w:r>
      <w:r w:rsidRPr="00C17732">
        <w:rPr>
          <w:rFonts w:ascii="Source Sans Pro" w:eastAsia="Times New Roman" w:hAnsi="Source Sans Pro" w:cs="Times New Roman"/>
          <w:color w:val="000000"/>
        </w:rPr>
        <w:t>Someone who indemnifies another. — Also termed </w:t>
      </w:r>
      <w:r w:rsidRPr="00C17732">
        <w:rPr>
          <w:rFonts w:ascii="Source Sans Pro" w:eastAsia="Times New Roman" w:hAnsi="Source Sans Pro" w:cs="Times New Roman"/>
          <w:i/>
          <w:iCs/>
          <w:color w:val="000000"/>
        </w:rPr>
        <w:t>indemnifier.</w:t>
      </w:r>
      <w:r>
        <w:rPr>
          <w:rFonts w:ascii="Times New Roman" w:eastAsia="Times New Roman" w:hAnsi="Times New Roman" w:cs="Times New Roman"/>
        </w:rPr>
        <w:t>”</w:t>
      </w:r>
      <w:r w:rsidR="00AF2175" w:rsidRPr="00755452">
        <w:rPr>
          <w:rStyle w:val="FootnoteReference"/>
        </w:rPr>
        <w:footnoteReference w:id="77"/>
      </w:r>
    </w:p>
    <w:p w14:paraId="1E9A64C2" w14:textId="19F85343" w:rsidR="00B92A6A" w:rsidRDefault="00B92A6A" w:rsidP="003E3087">
      <w:pPr>
        <w:rPr>
          <w:rFonts w:ascii="Times New Roman" w:eastAsia="Times New Roman" w:hAnsi="Times New Roman" w:cs="Times New Roman"/>
        </w:rPr>
      </w:pPr>
    </w:p>
    <w:p w14:paraId="669EE9D5" w14:textId="32ED2734" w:rsidR="00B92A6A" w:rsidRPr="00B92A6A" w:rsidRDefault="00B92A6A" w:rsidP="003E3087">
      <w:pPr>
        <w:rPr>
          <w:rFonts w:eastAsia="Times New Roman" w:cstheme="minorHAnsi"/>
        </w:rPr>
      </w:pPr>
      <w:r w:rsidRPr="00B92A6A">
        <w:rPr>
          <w:rFonts w:eastAsia="Times New Roman" w:cstheme="minorHAnsi"/>
          <w:b/>
          <w:bCs/>
        </w:rPr>
        <w:t>lady</w:t>
      </w:r>
      <w:r w:rsidRPr="00B92A6A">
        <w:rPr>
          <w:rFonts w:eastAsia="Times New Roman" w:cstheme="minorHAnsi"/>
        </w:rPr>
        <w:t>. This word should</w:t>
      </w:r>
      <w:r>
        <w:rPr>
          <w:rFonts w:eastAsia="Times New Roman" w:cstheme="minorHAnsi"/>
        </w:rPr>
        <w:t xml:space="preserve"> not be used as synonymous with “woman.” </w:t>
      </w:r>
      <w:r w:rsidRPr="00B92A6A">
        <w:rPr>
          <w:rFonts w:eastAsia="Times New Roman" w:cstheme="minorHAnsi"/>
        </w:rPr>
        <w:t>“</w:t>
      </w:r>
      <w:r w:rsidRPr="00B92A6A">
        <w:rPr>
          <w:rFonts w:eastAsia="Times New Roman" w:cstheme="minorHAnsi"/>
          <w:i/>
          <w:iCs/>
        </w:rPr>
        <w:t>Lady</w:t>
      </w:r>
      <w:r w:rsidRPr="00B92A6A">
        <w:rPr>
          <w:rFonts w:eastAsia="Times New Roman" w:cstheme="minorHAnsi"/>
        </w:rPr>
        <w:t xml:space="preserve"> may be used when it is a title for members of the nobility.</w:t>
      </w:r>
      <w:r>
        <w:rPr>
          <w:rFonts w:eastAsia="Times New Roman" w:cstheme="minorHAnsi"/>
        </w:rPr>
        <w:t>”</w:t>
      </w:r>
      <w:r w:rsidRPr="00755452">
        <w:rPr>
          <w:rStyle w:val="FootnoteReference"/>
        </w:rPr>
        <w:footnoteReference w:id="78"/>
      </w:r>
    </w:p>
    <w:p w14:paraId="38BE70FA" w14:textId="077C9629" w:rsidR="00604148" w:rsidRDefault="00604148" w:rsidP="00042DE6"/>
    <w:p w14:paraId="6519A860" w14:textId="64EDDCAF" w:rsidR="00B92A6A" w:rsidRPr="00B92A6A" w:rsidRDefault="00B92A6A" w:rsidP="00B92A6A">
      <w:pPr>
        <w:keepNext/>
        <w:keepLines/>
      </w:pPr>
      <w:r w:rsidRPr="00B92A6A">
        <w:rPr>
          <w:b/>
          <w:bCs/>
        </w:rPr>
        <w:t>lay, lie</w:t>
      </w:r>
      <w:r>
        <w:t>.</w:t>
      </w:r>
      <w:r w:rsidRPr="00B92A6A">
        <w:t xml:space="preserve"> </w:t>
      </w:r>
      <w:commentRangeStart w:id="71"/>
      <w:r w:rsidR="001C39C8">
        <w:t>“</w:t>
      </w:r>
      <w:r w:rsidRPr="00B92A6A">
        <w:t xml:space="preserve">The action word is </w:t>
      </w:r>
      <w:r w:rsidRPr="00B92A6A">
        <w:rPr>
          <w:i/>
          <w:iCs/>
        </w:rPr>
        <w:t>lay</w:t>
      </w:r>
      <w:r w:rsidRPr="00B92A6A">
        <w:t xml:space="preserve">. It takes a direct object. </w:t>
      </w:r>
      <w:r w:rsidRPr="00B92A6A">
        <w:rPr>
          <w:i/>
          <w:iCs/>
        </w:rPr>
        <w:t>Laid</w:t>
      </w:r>
      <w:r w:rsidRPr="00B92A6A">
        <w:t xml:space="preserve"> is the form for its past tense and its past participle. Its present participle is </w:t>
      </w:r>
      <w:r w:rsidRPr="00B92A6A">
        <w:rPr>
          <w:i/>
          <w:iCs/>
        </w:rPr>
        <w:t>laying</w:t>
      </w:r>
      <w:r w:rsidRPr="00B92A6A">
        <w:t>.</w:t>
      </w:r>
    </w:p>
    <w:p w14:paraId="245D6981" w14:textId="77777777" w:rsidR="00B92A6A" w:rsidRPr="00B92A6A" w:rsidRDefault="00B92A6A" w:rsidP="00B92A6A">
      <w:pPr>
        <w:keepNext/>
        <w:keepLines/>
        <w:ind w:firstLine="720"/>
      </w:pPr>
      <w:r w:rsidRPr="00B92A6A">
        <w:t xml:space="preserve">When </w:t>
      </w:r>
      <w:r w:rsidRPr="00B92A6A">
        <w:rPr>
          <w:i/>
          <w:iCs/>
        </w:rPr>
        <w:t>lie</w:t>
      </w:r>
      <w:r w:rsidRPr="00B92A6A">
        <w:t xml:space="preserve"> means </w:t>
      </w:r>
      <w:r w:rsidRPr="00B92A6A">
        <w:rPr>
          <w:i/>
          <w:iCs/>
        </w:rPr>
        <w:t>to make an untrue statement</w:t>
      </w:r>
      <w:r w:rsidRPr="00B92A6A">
        <w:t xml:space="preserve">, the verb forms are </w:t>
      </w:r>
      <w:r w:rsidRPr="00B92A6A">
        <w:rPr>
          <w:i/>
          <w:iCs/>
        </w:rPr>
        <w:t>lie</w:t>
      </w:r>
      <w:r w:rsidRPr="00B92A6A">
        <w:t xml:space="preserve">, </w:t>
      </w:r>
      <w:r w:rsidRPr="00B92A6A">
        <w:rPr>
          <w:i/>
          <w:iCs/>
        </w:rPr>
        <w:t>lied</w:t>
      </w:r>
      <w:r w:rsidRPr="00B92A6A">
        <w:t xml:space="preserve">, </w:t>
      </w:r>
      <w:r w:rsidRPr="00B92A6A">
        <w:rPr>
          <w:i/>
          <w:iCs/>
        </w:rPr>
        <w:t>lying</w:t>
      </w:r>
      <w:r w:rsidRPr="00B92A6A">
        <w:t>.</w:t>
      </w:r>
    </w:p>
    <w:p w14:paraId="2EA552A8" w14:textId="77777777" w:rsidR="00B92A6A" w:rsidRPr="00B92A6A" w:rsidRDefault="00B92A6A" w:rsidP="00B92A6A">
      <w:pPr>
        <w:keepNext/>
        <w:keepLines/>
        <w:ind w:firstLine="720"/>
      </w:pPr>
      <w:r w:rsidRPr="00B92A6A">
        <w:rPr>
          <w:i/>
          <w:iCs/>
        </w:rPr>
        <w:t>Lie</w:t>
      </w:r>
      <w:r w:rsidRPr="00B92A6A">
        <w:t xml:space="preserve"> also has various other meanings, including </w:t>
      </w:r>
      <w:r w:rsidRPr="00B92A6A">
        <w:rPr>
          <w:i/>
          <w:iCs/>
        </w:rPr>
        <w:t>to recline, to be situated</w:t>
      </w:r>
      <w:r w:rsidRPr="00B92A6A">
        <w:t xml:space="preserve"> or </w:t>
      </w:r>
      <w:r w:rsidRPr="00B92A6A">
        <w:rPr>
          <w:i/>
          <w:iCs/>
        </w:rPr>
        <w:t>to exist</w:t>
      </w:r>
      <w:r w:rsidRPr="00B92A6A">
        <w:t xml:space="preserve">. It does not take a direct object. Its past tense is </w:t>
      </w:r>
      <w:r w:rsidRPr="00B92A6A">
        <w:rPr>
          <w:i/>
          <w:iCs/>
        </w:rPr>
        <w:t>lay</w:t>
      </w:r>
      <w:r w:rsidRPr="00B92A6A">
        <w:t xml:space="preserve">. Its past participle is </w:t>
      </w:r>
      <w:r w:rsidRPr="00B92A6A">
        <w:rPr>
          <w:i/>
          <w:iCs/>
        </w:rPr>
        <w:t>lain</w:t>
      </w:r>
      <w:r w:rsidRPr="00B92A6A">
        <w:t xml:space="preserve">. Its present participle is </w:t>
      </w:r>
      <w:r w:rsidRPr="00B92A6A">
        <w:rPr>
          <w:i/>
          <w:iCs/>
        </w:rPr>
        <w:t>lying</w:t>
      </w:r>
      <w:r w:rsidRPr="00B92A6A">
        <w:t>.</w:t>
      </w:r>
    </w:p>
    <w:p w14:paraId="1760B3E0" w14:textId="77777777" w:rsidR="00B92A6A" w:rsidRPr="00B92A6A" w:rsidRDefault="00B92A6A" w:rsidP="00B92A6A">
      <w:pPr>
        <w:keepNext/>
        <w:keepLines/>
        <w:ind w:firstLine="720"/>
      </w:pPr>
      <w:r w:rsidRPr="00B92A6A">
        <w:t>Some examples:</w:t>
      </w:r>
    </w:p>
    <w:p w14:paraId="73E15EBB" w14:textId="0A51502E" w:rsidR="00B92A6A" w:rsidRPr="00B92A6A" w:rsidRDefault="00010D9D" w:rsidP="00B92A6A">
      <w:pPr>
        <w:keepNext/>
        <w:keepLines/>
        <w:ind w:firstLine="720"/>
      </w:pPr>
      <w:r w:rsidRPr="00B92A6A">
        <w:rPr>
          <w:rFonts w:ascii="Carlito" w:hAnsi="Carlito" w:cs="Carlito"/>
          <w:b/>
          <w:bCs/>
          <w:smallCaps/>
        </w:rPr>
        <w:t xml:space="preserve">Present </w:t>
      </w:r>
      <w:r>
        <w:rPr>
          <w:rFonts w:ascii="Carlito" w:hAnsi="Carlito" w:cs="Carlito"/>
          <w:b/>
          <w:bCs/>
          <w:smallCaps/>
        </w:rPr>
        <w:t>o</w:t>
      </w:r>
      <w:r w:rsidRPr="00B92A6A">
        <w:rPr>
          <w:rFonts w:ascii="Carlito" w:hAnsi="Carlito" w:cs="Carlito"/>
          <w:b/>
          <w:bCs/>
          <w:smallCaps/>
        </w:rPr>
        <w:t>r Future Tenses</w:t>
      </w:r>
      <w:r w:rsidR="00B92A6A" w:rsidRPr="00B92A6A">
        <w:t>:</w:t>
      </w:r>
    </w:p>
    <w:p w14:paraId="27FC1B47" w14:textId="77777777" w:rsidR="00B92A6A" w:rsidRPr="00B92A6A" w:rsidRDefault="00B92A6A" w:rsidP="00B92A6A">
      <w:pPr>
        <w:keepNext/>
        <w:keepLines/>
        <w:ind w:firstLine="720"/>
      </w:pPr>
      <w:r w:rsidRPr="00B92A6A">
        <w:t xml:space="preserve">Right: </w:t>
      </w:r>
      <w:r w:rsidRPr="00B92A6A">
        <w:rPr>
          <w:i/>
          <w:iCs/>
        </w:rPr>
        <w:t>I will lay the book on the table.</w:t>
      </w:r>
      <w:r w:rsidRPr="00B92A6A">
        <w:t xml:space="preserve"> </w:t>
      </w:r>
      <w:r w:rsidRPr="00B92A6A">
        <w:rPr>
          <w:i/>
          <w:iCs/>
        </w:rPr>
        <w:t>The prosecutor tried to lay the blame on him.</w:t>
      </w:r>
    </w:p>
    <w:p w14:paraId="0DAF49A3" w14:textId="77777777" w:rsidR="00B92A6A" w:rsidRPr="00B92A6A" w:rsidRDefault="00B92A6A" w:rsidP="00B92A6A">
      <w:pPr>
        <w:keepNext/>
        <w:keepLines/>
        <w:ind w:firstLine="720"/>
      </w:pPr>
      <w:r w:rsidRPr="00B92A6A">
        <w:t xml:space="preserve">Wrong: </w:t>
      </w:r>
      <w:r w:rsidRPr="00B92A6A">
        <w:rPr>
          <w:i/>
          <w:iCs/>
        </w:rPr>
        <w:t>He lays on the beach all day.</w:t>
      </w:r>
      <w:r w:rsidRPr="00B92A6A">
        <w:t xml:space="preserve"> </w:t>
      </w:r>
      <w:r w:rsidRPr="00B92A6A">
        <w:rPr>
          <w:i/>
          <w:iCs/>
        </w:rPr>
        <w:t>I will lay down.</w:t>
      </w:r>
    </w:p>
    <w:p w14:paraId="18A8B9B3" w14:textId="77777777" w:rsidR="00B92A6A" w:rsidRPr="00B92A6A" w:rsidRDefault="00B92A6A" w:rsidP="00B92A6A">
      <w:pPr>
        <w:keepNext/>
        <w:keepLines/>
        <w:ind w:firstLine="720"/>
      </w:pPr>
      <w:r w:rsidRPr="00B92A6A">
        <w:t xml:space="preserve">Right: </w:t>
      </w:r>
      <w:r w:rsidRPr="00B92A6A">
        <w:rPr>
          <w:i/>
          <w:iCs/>
        </w:rPr>
        <w:t>He lies on the beach all day.</w:t>
      </w:r>
      <w:r w:rsidRPr="00B92A6A">
        <w:t xml:space="preserve"> </w:t>
      </w:r>
      <w:r w:rsidRPr="00B92A6A">
        <w:rPr>
          <w:i/>
          <w:iCs/>
        </w:rPr>
        <w:t>I will lie down. The village lies beyond the hills. The answer lies in the stars.</w:t>
      </w:r>
    </w:p>
    <w:p w14:paraId="1BE8C672" w14:textId="6D51943F" w:rsidR="00B92A6A" w:rsidRPr="00B92A6A" w:rsidRDefault="00010D9D" w:rsidP="00B92A6A">
      <w:pPr>
        <w:keepNext/>
        <w:keepLines/>
        <w:ind w:firstLine="720"/>
      </w:pPr>
      <w:r w:rsidRPr="00010D9D">
        <w:rPr>
          <w:rFonts w:ascii="Alegreya Sans SC" w:hAnsi="Alegreya Sans SC"/>
          <w:b/>
          <w:bCs/>
        </w:rPr>
        <w:t>In the Past Tense</w:t>
      </w:r>
      <w:r w:rsidR="00B92A6A" w:rsidRPr="00B92A6A">
        <w:t>:</w:t>
      </w:r>
    </w:p>
    <w:p w14:paraId="4C11C2A7" w14:textId="77777777" w:rsidR="00B92A6A" w:rsidRPr="00B92A6A" w:rsidRDefault="00B92A6A" w:rsidP="00B92A6A">
      <w:pPr>
        <w:keepNext/>
        <w:keepLines/>
        <w:ind w:firstLine="720"/>
      </w:pPr>
      <w:r w:rsidRPr="00B92A6A">
        <w:t xml:space="preserve">Right: </w:t>
      </w:r>
      <w:r w:rsidRPr="00B92A6A">
        <w:rPr>
          <w:i/>
          <w:iCs/>
        </w:rPr>
        <w:t>I laid the book on the table.</w:t>
      </w:r>
      <w:r w:rsidRPr="00B92A6A">
        <w:t xml:space="preserve"> </w:t>
      </w:r>
      <w:r w:rsidRPr="00B92A6A">
        <w:rPr>
          <w:i/>
          <w:iCs/>
        </w:rPr>
        <w:t>The prosecutor has laid the blame on him.</w:t>
      </w:r>
    </w:p>
    <w:p w14:paraId="60656632" w14:textId="77777777" w:rsidR="00B92A6A" w:rsidRPr="00B92A6A" w:rsidRDefault="00B92A6A" w:rsidP="00B92A6A">
      <w:pPr>
        <w:keepNext/>
        <w:keepLines/>
        <w:ind w:firstLine="720"/>
      </w:pPr>
      <w:r w:rsidRPr="00B92A6A">
        <w:t xml:space="preserve">Right: </w:t>
      </w:r>
      <w:r w:rsidRPr="00B92A6A">
        <w:rPr>
          <w:i/>
          <w:iCs/>
        </w:rPr>
        <w:t>He lay on the beach all day.</w:t>
      </w:r>
      <w:r w:rsidRPr="00B92A6A">
        <w:t xml:space="preserve"> </w:t>
      </w:r>
      <w:r w:rsidRPr="00B92A6A">
        <w:rPr>
          <w:i/>
          <w:iCs/>
        </w:rPr>
        <w:t>He has lain on the beach all day.</w:t>
      </w:r>
      <w:r w:rsidRPr="00B92A6A">
        <w:t xml:space="preserve"> </w:t>
      </w:r>
      <w:r w:rsidRPr="00B92A6A">
        <w:rPr>
          <w:i/>
          <w:iCs/>
        </w:rPr>
        <w:t>I lay down. I have lain down. The secret lay in the fermentation process.</w:t>
      </w:r>
    </w:p>
    <w:p w14:paraId="2D0E6ABA" w14:textId="55C945A9" w:rsidR="00B92A6A" w:rsidRPr="00B92A6A" w:rsidRDefault="00010D9D" w:rsidP="00B92A6A">
      <w:pPr>
        <w:keepNext/>
        <w:keepLines/>
        <w:ind w:firstLine="720"/>
      </w:pPr>
      <w:r w:rsidRPr="00010D9D">
        <w:rPr>
          <w:rFonts w:ascii="Alegreya Sans SC" w:hAnsi="Alegreya Sans SC"/>
          <w:b/>
          <w:bCs/>
        </w:rPr>
        <w:t xml:space="preserve">With </w:t>
      </w:r>
      <w:r>
        <w:rPr>
          <w:rFonts w:ascii="Alegreya Sans SC" w:hAnsi="Alegreya Sans SC"/>
          <w:b/>
          <w:bCs/>
        </w:rPr>
        <w:t>t</w:t>
      </w:r>
      <w:r w:rsidRPr="00010D9D">
        <w:rPr>
          <w:rFonts w:ascii="Alegreya Sans SC" w:hAnsi="Alegreya Sans SC"/>
          <w:b/>
          <w:bCs/>
        </w:rPr>
        <w:t>he Present Participle</w:t>
      </w:r>
      <w:r w:rsidR="00B92A6A" w:rsidRPr="00B92A6A">
        <w:t>:</w:t>
      </w:r>
    </w:p>
    <w:p w14:paraId="1D211DE4" w14:textId="77777777" w:rsidR="00B92A6A" w:rsidRPr="00B92A6A" w:rsidRDefault="00B92A6A" w:rsidP="00B92A6A">
      <w:pPr>
        <w:keepNext/>
        <w:keepLines/>
        <w:ind w:firstLine="720"/>
      </w:pPr>
      <w:r w:rsidRPr="00B92A6A">
        <w:t xml:space="preserve">Right: </w:t>
      </w:r>
      <w:r w:rsidRPr="00B92A6A">
        <w:rPr>
          <w:i/>
          <w:iCs/>
        </w:rPr>
        <w:t>I am laying the book on the table.</w:t>
      </w:r>
      <w:r w:rsidRPr="00B92A6A">
        <w:t xml:space="preserve"> </w:t>
      </w:r>
      <w:r w:rsidRPr="00B92A6A">
        <w:rPr>
          <w:i/>
          <w:iCs/>
        </w:rPr>
        <w:t>The prosecutor is laying the blame on him.</w:t>
      </w:r>
    </w:p>
    <w:p w14:paraId="1A846FC6" w14:textId="5607ADFA" w:rsidR="00B92A6A" w:rsidRPr="001C39C8" w:rsidRDefault="00B92A6A" w:rsidP="00B92A6A">
      <w:pPr>
        <w:ind w:firstLine="720"/>
      </w:pPr>
      <w:r w:rsidRPr="00B92A6A">
        <w:t xml:space="preserve">Right: </w:t>
      </w:r>
      <w:r w:rsidRPr="00B92A6A">
        <w:rPr>
          <w:i/>
          <w:iCs/>
        </w:rPr>
        <w:t>He is lying on the beach.</w:t>
      </w:r>
      <w:r w:rsidRPr="00B92A6A">
        <w:t xml:space="preserve"> </w:t>
      </w:r>
      <w:r w:rsidRPr="00B92A6A">
        <w:rPr>
          <w:i/>
          <w:iCs/>
        </w:rPr>
        <w:t>I am lying down.</w:t>
      </w:r>
      <w:r w:rsidR="001C39C8">
        <w:t>”</w:t>
      </w:r>
      <w:commentRangeEnd w:id="71"/>
      <w:r w:rsidR="001C39C8">
        <w:rPr>
          <w:rStyle w:val="CommentReference"/>
        </w:rPr>
        <w:commentReference w:id="71"/>
      </w:r>
      <w:r w:rsidR="001C39C8" w:rsidRPr="00755452">
        <w:rPr>
          <w:rStyle w:val="FootnoteReference"/>
        </w:rPr>
        <w:footnoteReference w:id="79"/>
      </w:r>
    </w:p>
    <w:p w14:paraId="51995C5D" w14:textId="77777777" w:rsidR="00B92A6A" w:rsidRDefault="00B92A6A" w:rsidP="00042DE6"/>
    <w:p w14:paraId="78A906F3" w14:textId="77777777" w:rsidR="00B92A6A" w:rsidRPr="003E3087" w:rsidRDefault="00B92A6A" w:rsidP="00042DE6"/>
    <w:p w14:paraId="63A066A9" w14:textId="1784F431" w:rsidR="00F11C9A" w:rsidRPr="00F11C9A" w:rsidRDefault="00F11C9A" w:rsidP="00042DE6">
      <w:r>
        <w:rPr>
          <w:b/>
          <w:bCs/>
        </w:rPr>
        <w:t>LEO</w:t>
      </w:r>
      <w:r>
        <w:t xml:space="preserve">. An acronym that </w:t>
      </w:r>
      <w:r w:rsidR="00366461">
        <w:t xml:space="preserve">can refer to a </w:t>
      </w:r>
      <w:r>
        <w:t xml:space="preserve">“law enforcement officer” or </w:t>
      </w:r>
      <w:r w:rsidR="00366461">
        <w:t xml:space="preserve">a </w:t>
      </w:r>
      <w:r>
        <w:t>“local election official.”</w:t>
      </w:r>
    </w:p>
    <w:p w14:paraId="620E10E3" w14:textId="77777777" w:rsidR="00F11C9A" w:rsidRDefault="00F11C9A" w:rsidP="00042DE6">
      <w:pPr>
        <w:rPr>
          <w:b/>
          <w:bCs/>
        </w:rPr>
      </w:pPr>
    </w:p>
    <w:p w14:paraId="41B92D11" w14:textId="1B8F431B" w:rsidR="00FA50D2" w:rsidRDefault="0011565A" w:rsidP="00042DE6">
      <w:r>
        <w:rPr>
          <w:b/>
          <w:bCs/>
        </w:rPr>
        <w:t>l</w:t>
      </w:r>
      <w:r w:rsidR="00FA50D2">
        <w:rPr>
          <w:b/>
          <w:bCs/>
        </w:rPr>
        <w:t>evelheaded</w:t>
      </w:r>
      <w:r w:rsidR="00451DB4">
        <w:t xml:space="preserve"> </w:t>
      </w:r>
      <w:r w:rsidR="00451DB4" w:rsidRPr="00B94ED1">
        <w:t>/</w:t>
      </w:r>
      <w:r w:rsidR="00451DB4">
        <w:t xml:space="preserve"> </w:t>
      </w:r>
      <w:r w:rsidR="00451DB4">
        <w:rPr>
          <w:b/>
          <w:bCs/>
        </w:rPr>
        <w:t>level head</w:t>
      </w:r>
      <w:r w:rsidR="00FA50D2">
        <w:t xml:space="preserve">. </w:t>
      </w:r>
      <w:r w:rsidR="00FA50D2" w:rsidRPr="00A74440">
        <w:rPr>
          <w:i/>
          <w:iCs/>
        </w:rPr>
        <w:t>Merriam-Webster</w:t>
      </w:r>
      <w:r w:rsidR="00E33EC3">
        <w:t xml:space="preserve"> instructs that this word/phrase </w:t>
      </w:r>
      <w:r w:rsidR="006D461E">
        <w:t xml:space="preserve">should </w:t>
      </w:r>
      <w:r w:rsidR="005B04B0">
        <w:t xml:space="preserve">be a single word, rather than hyphenated (i.e., level-headed) or </w:t>
      </w:r>
      <w:r w:rsidR="006D461E">
        <w:t xml:space="preserve">split into </w:t>
      </w:r>
      <w:r w:rsidR="005B04B0">
        <w:t xml:space="preserve">separate words (i.e., </w:t>
      </w:r>
      <w:proofErr w:type="gramStart"/>
      <w:r w:rsidR="005B04B0">
        <w:t xml:space="preserve">level </w:t>
      </w:r>
      <w:r w:rsidR="005B04B0">
        <w:lastRenderedPageBreak/>
        <w:t>headed</w:t>
      </w:r>
      <w:proofErr w:type="gramEnd"/>
      <w:r w:rsidR="005B04B0">
        <w:t>).</w:t>
      </w:r>
      <w:r w:rsidR="004F113A" w:rsidRPr="00755452">
        <w:rPr>
          <w:rStyle w:val="FootnoteReference"/>
        </w:rPr>
        <w:footnoteReference w:id="80"/>
      </w:r>
      <w:r w:rsidR="00375CAD">
        <w:t xml:space="preserve"> However, when used in the idiom (i.e., </w:t>
      </w:r>
      <w:r w:rsidR="00451DB4">
        <w:t xml:space="preserve">“keep a level head”), </w:t>
      </w:r>
      <w:r w:rsidR="00B9480C">
        <w:t xml:space="preserve">the word is split into separate words (i.e., </w:t>
      </w:r>
      <w:r w:rsidR="00B9480C" w:rsidRPr="00B9480C">
        <w:rPr>
          <w:i/>
          <w:iCs/>
        </w:rPr>
        <w:t>level head</w:t>
      </w:r>
      <w:r w:rsidR="00B9480C">
        <w:t>).</w:t>
      </w:r>
      <w:r w:rsidR="00F601F3" w:rsidRPr="00755452">
        <w:rPr>
          <w:rStyle w:val="FootnoteReference"/>
        </w:rPr>
        <w:footnoteReference w:id="81"/>
      </w:r>
    </w:p>
    <w:p w14:paraId="05421943" w14:textId="209A380F" w:rsidR="00014C63" w:rsidRDefault="00014C63" w:rsidP="00042DE6"/>
    <w:p w14:paraId="6CC32375" w14:textId="4188A3B1" w:rsidR="00014C63" w:rsidRDefault="00014C63" w:rsidP="00014C63">
      <w:bookmarkStart w:id="72" w:name="may_or_might"/>
      <w:r>
        <w:rPr>
          <w:b/>
          <w:bCs/>
        </w:rPr>
        <w:t>may / might</w:t>
      </w:r>
      <w:bookmarkEnd w:id="72"/>
      <w:r>
        <w:t>. “</w:t>
      </w:r>
      <w:r w:rsidRPr="00014C63">
        <w:t>Might</w:t>
      </w:r>
      <w:r>
        <w:t>”</w:t>
      </w:r>
      <w:r w:rsidRPr="00014C63">
        <w:t xml:space="preserve"> </w:t>
      </w:r>
      <w:r>
        <w:t>is the past tense of “may.”</w:t>
      </w:r>
      <w:r w:rsidRPr="00755452">
        <w:rPr>
          <w:rStyle w:val="FootnoteReference"/>
        </w:rPr>
        <w:footnoteReference w:id="82"/>
      </w:r>
      <w:r>
        <w:t xml:space="preserve"> When discussing potential outcomes, “[</w:t>
      </w:r>
      <w:r w:rsidRPr="00014C63">
        <w:rPr>
          <w:i/>
          <w:iCs/>
        </w:rPr>
        <w:t>m</w:t>
      </w:r>
      <w:r>
        <w:t>]</w:t>
      </w:r>
      <w:r w:rsidRPr="00014C63">
        <w:rPr>
          <w:i/>
          <w:iCs/>
        </w:rPr>
        <w:t>ay</w:t>
      </w:r>
      <w:r>
        <w:t xml:space="preserve"> </w:t>
      </w:r>
      <w:r w:rsidRPr="00014C63">
        <w:t>expresses likelihood while </w:t>
      </w:r>
      <w:r w:rsidRPr="00014C63">
        <w:rPr>
          <w:i/>
          <w:iCs/>
        </w:rPr>
        <w:t>might</w:t>
      </w:r>
      <w:r w:rsidRPr="00014C63">
        <w:t> expresses a stronger sense of doubt or a contrary-to-fact hypothetical.</w:t>
      </w:r>
      <w:r>
        <w:t>”</w:t>
      </w:r>
      <w:r w:rsidRPr="00755452">
        <w:rPr>
          <w:rStyle w:val="FootnoteReference"/>
        </w:rPr>
        <w:footnoteReference w:id="83"/>
      </w:r>
      <w:r>
        <w:t xml:space="preserve"> Another contextualization explains that “[</w:t>
      </w:r>
      <w:r w:rsidRPr="00014C63">
        <w:rPr>
          <w:i/>
          <w:iCs/>
        </w:rPr>
        <w:t>m</w:t>
      </w:r>
      <w:r>
        <w:t>]</w:t>
      </w:r>
      <w:r w:rsidRPr="00014C63">
        <w:rPr>
          <w:i/>
          <w:iCs/>
        </w:rPr>
        <w:t>ay</w:t>
      </w:r>
      <w:r w:rsidRPr="00014C63">
        <w:t xml:space="preserve"> is used to express what is possible, factual, or could be factual</w:t>
      </w:r>
      <w:r>
        <w:t>,” while “[</w:t>
      </w:r>
      <w:r>
        <w:rPr>
          <w:i/>
          <w:iCs/>
        </w:rPr>
        <w:t>m</w:t>
      </w:r>
      <w:r>
        <w:t>]</w:t>
      </w:r>
      <w:proofErr w:type="spellStart"/>
      <w:r w:rsidRPr="00014C63">
        <w:rPr>
          <w:i/>
          <w:iCs/>
        </w:rPr>
        <w:t>ight</w:t>
      </w:r>
      <w:proofErr w:type="spellEnd"/>
      <w:r w:rsidRPr="00014C63">
        <w:t xml:space="preserve"> is used to express what is hypothetical, counterfactual, or remotely possible.</w:t>
      </w:r>
      <w:r>
        <w:t>”</w:t>
      </w:r>
      <w:r w:rsidR="006927FB" w:rsidRPr="00755452">
        <w:rPr>
          <w:rStyle w:val="FootnoteReference"/>
        </w:rPr>
        <w:footnoteReference w:id="84"/>
      </w:r>
    </w:p>
    <w:p w14:paraId="31FC975E" w14:textId="4247B15D" w:rsidR="007D2AAC" w:rsidRDefault="007D2AAC" w:rsidP="00014C63"/>
    <w:p w14:paraId="536C09D0" w14:textId="30D45DC5" w:rsidR="007D2AAC" w:rsidRPr="007D2AAC" w:rsidRDefault="007D2AAC" w:rsidP="00014C63">
      <w:pPr>
        <w:rPr>
          <w:i/>
          <w:iCs/>
        </w:rPr>
      </w:pPr>
      <w:r>
        <w:rPr>
          <w:b/>
          <w:bCs/>
        </w:rPr>
        <w:t>might / may</w:t>
      </w:r>
      <w:r>
        <w:t xml:space="preserve">. </w:t>
      </w:r>
      <w:r w:rsidRPr="00DA48CF">
        <w:rPr>
          <w:i/>
          <w:iCs/>
        </w:rPr>
        <w:t>See</w:t>
      </w:r>
      <w:r w:rsidRPr="00650FA7">
        <w:rPr>
          <w:i/>
          <w:iCs/>
        </w:rPr>
        <w:t xml:space="preserve"> </w:t>
      </w:r>
      <w:r w:rsidR="00650FA7" w:rsidRPr="00650FA7">
        <w:rPr>
          <w:i/>
          <w:iCs/>
        </w:rPr>
        <w:fldChar w:fldCharType="begin"/>
      </w:r>
      <w:r w:rsidR="00650FA7" w:rsidRPr="00650FA7">
        <w:rPr>
          <w:i/>
          <w:iCs/>
        </w:rPr>
        <w:instrText xml:space="preserve"> REF may_or_might \h  \* MERGEFORMAT </w:instrText>
      </w:r>
      <w:r w:rsidR="00650FA7" w:rsidRPr="00650FA7">
        <w:rPr>
          <w:i/>
          <w:iCs/>
        </w:rPr>
      </w:r>
      <w:r w:rsidR="00650FA7" w:rsidRPr="00650FA7">
        <w:rPr>
          <w:i/>
          <w:iCs/>
        </w:rPr>
        <w:fldChar w:fldCharType="separate"/>
      </w:r>
      <w:r w:rsidR="00650FA7" w:rsidRPr="00650FA7">
        <w:rPr>
          <w:i/>
          <w:iCs/>
        </w:rPr>
        <w:t>may / might</w:t>
      </w:r>
      <w:r w:rsidR="00650FA7" w:rsidRPr="00650FA7">
        <w:rPr>
          <w:i/>
          <w:iCs/>
        </w:rPr>
        <w:fldChar w:fldCharType="end"/>
      </w:r>
      <w:r w:rsidR="00DA48CF">
        <w:t>.</w:t>
      </w:r>
      <w:r>
        <w:rPr>
          <w:i/>
          <w:iCs/>
        </w:rPr>
        <w:fldChar w:fldCharType="begin"/>
      </w:r>
      <w:r>
        <w:rPr>
          <w:i/>
          <w:iCs/>
        </w:rPr>
        <w:instrText xml:space="preserve"> REF may_or_might \h </w:instrText>
      </w:r>
      <w:r>
        <w:rPr>
          <w:i/>
          <w:iCs/>
        </w:rPr>
      </w:r>
      <w:r>
        <w:rPr>
          <w:i/>
          <w:iCs/>
        </w:rPr>
        <w:fldChar w:fldCharType="end"/>
      </w:r>
      <w:r>
        <w:rPr>
          <w:i/>
          <w:iCs/>
        </w:rPr>
        <w:fldChar w:fldCharType="begin"/>
      </w:r>
      <w:r>
        <w:rPr>
          <w:i/>
          <w:iCs/>
        </w:rPr>
        <w:instrText xml:space="preserve"> REF may_or_might \h </w:instrText>
      </w:r>
      <w:r>
        <w:rPr>
          <w:i/>
          <w:iCs/>
        </w:rPr>
      </w:r>
      <w:r>
        <w:rPr>
          <w:i/>
          <w:iCs/>
        </w:rPr>
        <w:fldChar w:fldCharType="end"/>
      </w:r>
    </w:p>
    <w:p w14:paraId="7012D36C" w14:textId="1D45CB0D" w:rsidR="00E34A2E" w:rsidRDefault="00E34A2E" w:rsidP="00042DE6"/>
    <w:p w14:paraId="198B6C18" w14:textId="13D8979C" w:rsidR="00E34A2E" w:rsidRDefault="00634147" w:rsidP="00042DE6">
      <w:r w:rsidRPr="00634147">
        <w:rPr>
          <w:b/>
          <w:bCs/>
        </w:rPr>
        <w:t>motor sports / motorsport</w:t>
      </w:r>
      <w:r>
        <w:t xml:space="preserve">. Use two words when </w:t>
      </w:r>
      <w:r w:rsidR="00A679BA">
        <w:t>making a more general reference</w:t>
      </w:r>
      <w:r w:rsidR="0041324C">
        <w:t xml:space="preserve">, or generally as a noun. When the term is used to describe (i.e., an adjective) or characterize (i.e., </w:t>
      </w:r>
      <w:r w:rsidR="005432F7">
        <w:t>an adverb), use the one-worded spelling.</w:t>
      </w:r>
      <w:r w:rsidR="005432F7" w:rsidRPr="00755452">
        <w:rPr>
          <w:rStyle w:val="FootnoteReference"/>
        </w:rPr>
        <w:footnoteReference w:id="85"/>
      </w:r>
      <w:r w:rsidR="00120449">
        <w:t xml:space="preserve"> </w:t>
      </w:r>
      <w:r w:rsidR="00120449" w:rsidRPr="00F223DE">
        <w:rPr>
          <w:u w:val="single"/>
        </w:rPr>
        <w:t>Note</w:t>
      </w:r>
      <w:r w:rsidR="00F223DE">
        <w:t>:</w:t>
      </w:r>
      <w:r w:rsidR="00120449">
        <w:t xml:space="preserve"> the 55</w:t>
      </w:r>
      <w:r w:rsidR="00120449" w:rsidRPr="00120449">
        <w:rPr>
          <w:vertAlign w:val="superscript"/>
        </w:rPr>
        <w:t>th</w:t>
      </w:r>
      <w:r w:rsidR="00120449">
        <w:t xml:space="preserve"> Edition of the A</w:t>
      </w:r>
      <w:r w:rsidR="00CE2C7E">
        <w:t xml:space="preserve">ssociated Press Stylebook prefers </w:t>
      </w:r>
      <w:r w:rsidR="00E35EA1">
        <w:t xml:space="preserve">the two-worded spelling, </w:t>
      </w:r>
      <w:r w:rsidR="00E35EA1">
        <w:rPr>
          <w:i/>
          <w:iCs/>
        </w:rPr>
        <w:t>motor sports</w:t>
      </w:r>
      <w:r w:rsidR="00E35EA1">
        <w:t>.</w:t>
      </w:r>
    </w:p>
    <w:p w14:paraId="773CF118" w14:textId="77FA131C" w:rsidR="00E55DF6" w:rsidRDefault="00E55DF6" w:rsidP="00042DE6"/>
    <w:p w14:paraId="4FBC20DE" w14:textId="6A49A681" w:rsidR="00E55DF6" w:rsidRPr="00E55DF6" w:rsidRDefault="00E55DF6" w:rsidP="00042DE6">
      <w:pPr>
        <w:rPr>
          <w:i/>
          <w:iCs/>
        </w:rPr>
      </w:pPr>
      <w:r>
        <w:rPr>
          <w:b/>
          <w:bCs/>
        </w:rPr>
        <w:t>nonpartisan</w:t>
      </w:r>
      <w:r>
        <w:t>. One word.</w:t>
      </w:r>
    </w:p>
    <w:p w14:paraId="348CA12D" w14:textId="77777777" w:rsidR="00A810B5" w:rsidRPr="00FA50D2" w:rsidRDefault="00A810B5" w:rsidP="00042DE6"/>
    <w:p w14:paraId="41E9D5FA" w14:textId="754B25C8" w:rsidR="00042DE6" w:rsidRDefault="00751198" w:rsidP="00042DE6">
      <w:r>
        <w:rPr>
          <w:b/>
          <w:bCs/>
        </w:rPr>
        <w:t>n</w:t>
      </w:r>
      <w:r w:rsidR="00042DE6" w:rsidRPr="00832A5A">
        <w:rPr>
          <w:b/>
          <w:bCs/>
        </w:rPr>
        <w:t>onprofit</w:t>
      </w:r>
      <w:r w:rsidR="00042DE6">
        <w:t xml:space="preserve">. </w:t>
      </w:r>
      <w:r w:rsidR="005A54B3">
        <w:t xml:space="preserve">The </w:t>
      </w:r>
      <w:r w:rsidR="00625651">
        <w:t>55</w:t>
      </w:r>
      <w:r w:rsidR="00625651" w:rsidRPr="00625651">
        <w:rPr>
          <w:vertAlign w:val="superscript"/>
        </w:rPr>
        <w:t>th</w:t>
      </w:r>
      <w:r w:rsidR="00625651">
        <w:t xml:space="preserve"> Edition</w:t>
      </w:r>
      <w:r w:rsidR="005A54B3">
        <w:t xml:space="preserve"> Associated Press Styl</w:t>
      </w:r>
      <w:r w:rsidR="00832A5A">
        <w:t>ebook instructs to use this spelling</w:t>
      </w:r>
      <w:r w:rsidR="00DD0D49">
        <w:t xml:space="preserve"> (rather than using a hyphenated version or using two words)</w:t>
      </w:r>
      <w:r w:rsidR="00832A5A">
        <w:t>.</w:t>
      </w:r>
      <w:r w:rsidR="00625651" w:rsidRPr="00755452">
        <w:rPr>
          <w:rStyle w:val="FootnoteReference"/>
        </w:rPr>
        <w:footnoteReference w:id="86"/>
      </w:r>
    </w:p>
    <w:p w14:paraId="01E6B22C" w14:textId="77777777" w:rsidR="00961755" w:rsidRDefault="00961755" w:rsidP="00042DE6"/>
    <w:p w14:paraId="04207BEE" w14:textId="20362219" w:rsidR="00961755" w:rsidRPr="00961755" w:rsidRDefault="00961755" w:rsidP="00961755">
      <w:r>
        <w:rPr>
          <w:b/>
          <w:bCs/>
        </w:rPr>
        <w:t>notwithstanding</w:t>
      </w:r>
      <w:r>
        <w:t>. A “</w:t>
      </w:r>
      <w:r w:rsidRPr="00961755">
        <w:t xml:space="preserve">formal word used in the sense </w:t>
      </w:r>
      <w:r>
        <w:t>‘</w:t>
      </w:r>
      <w:r w:rsidRPr="00961755">
        <w:t>despite,</w:t>
      </w:r>
      <w:r>
        <w:t>’</w:t>
      </w:r>
      <w:r w:rsidRPr="00961755">
        <w:t xml:space="preserve"> </w:t>
      </w:r>
      <w:r>
        <w:t>‘</w:t>
      </w:r>
      <w:proofErr w:type="gramStart"/>
      <w:r w:rsidRPr="00961755">
        <w:t>in spite of</w:t>
      </w:r>
      <w:proofErr w:type="gramEnd"/>
      <w:r w:rsidRPr="00961755">
        <w:t>,</w:t>
      </w:r>
      <w:r>
        <w:t>’</w:t>
      </w:r>
      <w:r w:rsidRPr="00961755">
        <w:t xml:space="preserve"> or </w:t>
      </w:r>
      <w:r>
        <w:t>‘</w:t>
      </w:r>
      <w:r w:rsidRPr="00961755">
        <w:t>although.</w:t>
      </w:r>
      <w:r>
        <w:t>’</w:t>
      </w:r>
      <w:r w:rsidRPr="00961755">
        <w:t xml:space="preserve"> In general English-language contexts, it has experienced a steady decline in use since about 1760. E.g.: </w:t>
      </w:r>
      <w:r>
        <w:t>‘</w:t>
      </w:r>
      <w:r w:rsidRPr="00961755">
        <w:rPr>
          <w:i/>
          <w:iCs/>
        </w:rPr>
        <w:t>Notwithstanding</w:t>
      </w:r>
      <w:r w:rsidRPr="00961755">
        <w:t xml:space="preserve"> an outpouring of editorial opinion on either side of this issue, there are no easy answers.</w:t>
      </w:r>
      <w:r>
        <w:t>’</w:t>
      </w:r>
      <w:r w:rsidRPr="00961755">
        <w:t xml:space="preserve"> Richard Baum, </w:t>
      </w:r>
      <w:r>
        <w:t>‘</w:t>
      </w:r>
      <w:r w:rsidRPr="00961755">
        <w:t>Perspective on China,</w:t>
      </w:r>
      <w:r>
        <w:t>’</w:t>
      </w:r>
      <w:r w:rsidRPr="00961755">
        <w:t xml:space="preserve"> </w:t>
      </w:r>
      <w:r w:rsidRPr="00961755">
        <w:rPr>
          <w:i/>
          <w:iCs/>
        </w:rPr>
        <w:t>L.A. Times</w:t>
      </w:r>
      <w:r w:rsidRPr="00961755">
        <w:t>, 30 Nov. 1997, at M5.</w:t>
      </w:r>
    </w:p>
    <w:p w14:paraId="6D3F07FE" w14:textId="2D2C5198" w:rsidR="00961755" w:rsidRPr="00961755" w:rsidRDefault="00961755" w:rsidP="00961755">
      <w:pPr>
        <w:ind w:firstLine="720"/>
      </w:pPr>
      <w:r w:rsidRPr="00961755">
        <w:t xml:space="preserve">The question that literalists ask is, </w:t>
      </w:r>
      <w:proofErr w:type="gramStart"/>
      <w:r w:rsidRPr="00961755">
        <w:t>What</w:t>
      </w:r>
      <w:proofErr w:type="gramEnd"/>
      <w:r w:rsidRPr="00961755">
        <w:t xml:space="preserve"> doesn't withstand what else? Is the outpouring of opinion </w:t>
      </w:r>
      <w:r>
        <w:t>‘</w:t>
      </w:r>
      <w:r w:rsidRPr="00961755">
        <w:t>not withstanding</w:t>
      </w:r>
      <w:r>
        <w:t>’</w:t>
      </w:r>
      <w:r w:rsidRPr="00961755">
        <w:t xml:space="preserve"> (i.e., subordinated to) the lack of easy answers, or is the lack of easy answers </w:t>
      </w:r>
      <w:r>
        <w:t>‘</w:t>
      </w:r>
      <w:r w:rsidRPr="00961755">
        <w:t>not withstanding</w:t>
      </w:r>
      <w:r>
        <w:t>’</w:t>
      </w:r>
      <w:r w:rsidRPr="00961755">
        <w:t xml:space="preserve"> (subordinated to) the outpouring of editorial opinion? Because the former is the correct reading, some believe that </w:t>
      </w:r>
      <w:r w:rsidRPr="00961755">
        <w:rPr>
          <w:i/>
          <w:iCs/>
        </w:rPr>
        <w:t>notwithstanding</w:t>
      </w:r>
      <w:r w:rsidRPr="00961755">
        <w:t xml:space="preserve"> should be sent to the end </w:t>
      </w:r>
      <w:r w:rsidRPr="00961755">
        <w:lastRenderedPageBreak/>
        <w:t xml:space="preserve">of the phrase in which it appears: </w:t>
      </w:r>
      <w:r w:rsidRPr="00961755">
        <w:rPr>
          <w:i/>
          <w:iCs/>
        </w:rPr>
        <w:t>The family's objection to the marriage notwithstanding</w:t>
      </w:r>
      <w:r w:rsidRPr="00961755">
        <w:t xml:space="preserve">, as opposed to </w:t>
      </w:r>
      <w:r w:rsidRPr="00961755">
        <w:rPr>
          <w:i/>
          <w:iCs/>
        </w:rPr>
        <w:t>Notwithstanding the family's objection to the marriage</w:t>
      </w:r>
      <w:r w:rsidRPr="00961755">
        <w:t>.</w:t>
      </w:r>
    </w:p>
    <w:p w14:paraId="26228464" w14:textId="085EC152" w:rsidR="00961755" w:rsidRPr="00961755" w:rsidRDefault="00961755" w:rsidP="00961755">
      <w:pPr>
        <w:ind w:firstLine="720"/>
      </w:pPr>
      <w:r w:rsidRPr="00961755">
        <w:t xml:space="preserve">But the literalist argument is very much in vain, as the </w:t>
      </w:r>
      <w:r w:rsidRPr="00961755">
        <w:rPr>
          <w:i/>
          <w:iCs/>
        </w:rPr>
        <w:t>OED</w:t>
      </w:r>
      <w:r w:rsidRPr="00961755">
        <w:t xml:space="preserve"> attests with a 14th-century example of </w:t>
      </w:r>
      <w:r w:rsidRPr="00961755">
        <w:rPr>
          <w:i/>
          <w:iCs/>
        </w:rPr>
        <w:t>notwithstanding</w:t>
      </w:r>
      <w:r w:rsidRPr="00961755">
        <w:t xml:space="preserve"> as a sentence-starter. This usage has been constant from the 1300s to the present day. In fact, the construction with </w:t>
      </w:r>
      <w:r w:rsidRPr="00961755">
        <w:rPr>
          <w:i/>
          <w:iCs/>
        </w:rPr>
        <w:t>notwithstanding</w:t>
      </w:r>
      <w:r w:rsidRPr="00961755">
        <w:t xml:space="preserve"> following the noun first appeared more than a century later, and has never been as frequent. The </w:t>
      </w:r>
      <w:r w:rsidRPr="00961755">
        <w:rPr>
          <w:i/>
          <w:iCs/>
        </w:rPr>
        <w:t>Century Dictionary</w:t>
      </w:r>
      <w:r w:rsidRPr="00961755">
        <w:t xml:space="preserve"> explains: </w:t>
      </w:r>
      <w:r>
        <w:t>‘</w:t>
      </w:r>
      <w:r w:rsidRPr="00961755">
        <w:t xml:space="preserve">As the noun usually follows [the word </w:t>
      </w:r>
      <w:r w:rsidRPr="00961755">
        <w:rPr>
          <w:i/>
          <w:iCs/>
        </w:rPr>
        <w:t>notwithstanding</w:t>
      </w:r>
      <w:r w:rsidRPr="00961755">
        <w:t xml:space="preserve">], the [word] came to be regarded as a prep. (as also with </w:t>
      </w:r>
      <w:r w:rsidRPr="00961755">
        <w:rPr>
          <w:i/>
          <w:iCs/>
        </w:rPr>
        <w:t>during</w:t>
      </w:r>
      <w:r w:rsidRPr="00961755">
        <w:t>, ppr.), and is now usually so construed.</w:t>
      </w:r>
      <w:r>
        <w:t>’</w:t>
      </w:r>
      <w:r w:rsidRPr="00961755">
        <w:t xml:space="preserve"> 3 </w:t>
      </w:r>
      <w:r w:rsidRPr="00961755">
        <w:rPr>
          <w:i/>
          <w:iCs/>
        </w:rPr>
        <w:t>Century Dictionary and Cyclopedia</w:t>
      </w:r>
      <w:r w:rsidRPr="00961755">
        <w:t xml:space="preserve"> 4029 (1914). The word is not a dangler because it does not function as a participle.</w:t>
      </w:r>
      <w:r>
        <w:t>”</w:t>
      </w:r>
      <w:r w:rsidR="000714FB" w:rsidRPr="00755452">
        <w:rPr>
          <w:rStyle w:val="FootnoteReference"/>
        </w:rPr>
        <w:footnoteReference w:id="87"/>
      </w:r>
    </w:p>
    <w:p w14:paraId="6B4487BF" w14:textId="153DB4E4" w:rsidR="00961755" w:rsidRPr="00961755" w:rsidRDefault="00961755" w:rsidP="00042DE6"/>
    <w:p w14:paraId="5EF550E8" w14:textId="320D2003" w:rsidR="0043584E" w:rsidRDefault="0043584E" w:rsidP="00042DE6"/>
    <w:p w14:paraId="3C91E908" w14:textId="3B64196B" w:rsidR="0043584E" w:rsidRDefault="0043584E" w:rsidP="00042DE6">
      <w:pPr>
        <w:rPr>
          <w:rFonts w:ascii="Times New Roman" w:eastAsia="Times New Roman" w:hAnsi="Times New Roman" w:cs="Times New Roman"/>
        </w:rPr>
      </w:pPr>
      <w:r>
        <w:rPr>
          <w:b/>
          <w:bCs/>
        </w:rPr>
        <w:t>operating agreement</w:t>
      </w:r>
      <w:r>
        <w:t>. “</w:t>
      </w:r>
      <w:r w:rsidRPr="0043584E">
        <w:rPr>
          <w:rFonts w:ascii="Source Sans Pro" w:eastAsia="Times New Roman" w:hAnsi="Source Sans Pro" w:cs="Times New Roman"/>
          <w:color w:val="000000"/>
        </w:rPr>
        <w:t>A limited-liability company's governing document that sets out the financial and managerial rights of the company's members.</w:t>
      </w:r>
      <w:r>
        <w:rPr>
          <w:rFonts w:ascii="Times New Roman" w:eastAsia="Times New Roman" w:hAnsi="Times New Roman" w:cs="Times New Roman"/>
        </w:rPr>
        <w:t>”</w:t>
      </w:r>
      <w:r w:rsidRPr="00755452">
        <w:rPr>
          <w:rStyle w:val="FootnoteReference"/>
        </w:rPr>
        <w:footnoteReference w:id="88"/>
      </w:r>
    </w:p>
    <w:p w14:paraId="7F753460" w14:textId="77777777" w:rsidR="00A245EA" w:rsidRDefault="00A245EA" w:rsidP="00042DE6">
      <w:pPr>
        <w:rPr>
          <w:rFonts w:ascii="Times New Roman" w:eastAsia="Times New Roman" w:hAnsi="Times New Roman" w:cs="Times New Roman"/>
        </w:rPr>
      </w:pPr>
    </w:p>
    <w:p w14:paraId="6C1B90A1" w14:textId="0BAF81F5" w:rsidR="00A245EA" w:rsidRPr="00A245EA" w:rsidRDefault="00A245EA" w:rsidP="00042DE6">
      <w:r w:rsidRPr="00A245EA">
        <w:rPr>
          <w:b/>
          <w:bCs/>
        </w:rPr>
        <w:t xml:space="preserve">P.O. Box </w:t>
      </w:r>
      <w:r w:rsidRPr="00A245EA">
        <w:t>or</w:t>
      </w:r>
      <w:r w:rsidRPr="00A245EA">
        <w:rPr>
          <w:b/>
          <w:bCs/>
        </w:rPr>
        <w:t xml:space="preserve"> PO Box</w:t>
      </w:r>
      <w:r>
        <w:t>. The United States Postal Services uses the style without periods (i.e., “PO Box”) when referencing a Post Office Box (both “Post Office Box” and “PO Box” are trademarks of the USPS).</w:t>
      </w:r>
      <w:r>
        <w:rPr>
          <w:rStyle w:val="FootnoteReference"/>
        </w:rPr>
        <w:footnoteReference w:id="89"/>
      </w:r>
    </w:p>
    <w:p w14:paraId="302BC76A" w14:textId="77777777" w:rsidR="00450740" w:rsidRDefault="00450740" w:rsidP="00042DE6">
      <w:pPr>
        <w:rPr>
          <w:rFonts w:ascii="Times New Roman" w:eastAsia="Times New Roman" w:hAnsi="Times New Roman" w:cs="Times New Roman"/>
        </w:rPr>
      </w:pPr>
    </w:p>
    <w:p w14:paraId="51758447" w14:textId="5EA4FB3F" w:rsidR="00450740" w:rsidRPr="00A51D8D" w:rsidRDefault="00450740" w:rsidP="00042DE6">
      <w:r w:rsidRPr="00A51D8D">
        <w:rPr>
          <w:b/>
          <w:bCs/>
        </w:rPr>
        <w:t>pollbook</w:t>
      </w:r>
      <w:r w:rsidRPr="00A51D8D">
        <w:t>. Spell as one word, rather than as two, separate words.</w:t>
      </w:r>
      <w:r w:rsidRPr="00755452">
        <w:rPr>
          <w:rStyle w:val="FootnoteReference"/>
        </w:rPr>
        <w:footnoteReference w:id="90"/>
      </w:r>
    </w:p>
    <w:p w14:paraId="4653D39C" w14:textId="18E9E1AA" w:rsidR="00531EFE" w:rsidRDefault="00531EFE" w:rsidP="00042DE6"/>
    <w:p w14:paraId="5F82F000" w14:textId="76AFAE26" w:rsidR="00531EFE" w:rsidRDefault="00531EFE" w:rsidP="00042DE6">
      <w:r>
        <w:rPr>
          <w:b/>
          <w:bCs/>
        </w:rPr>
        <w:t>p</w:t>
      </w:r>
      <w:r w:rsidRPr="00D4688F">
        <w:rPr>
          <w:b/>
          <w:bCs/>
        </w:rPr>
        <w:t xml:space="preserve">ost </w:t>
      </w:r>
      <w:r>
        <w:rPr>
          <w:b/>
          <w:bCs/>
        </w:rPr>
        <w:t>h</w:t>
      </w:r>
      <w:r w:rsidRPr="00D4688F">
        <w:rPr>
          <w:b/>
          <w:bCs/>
        </w:rPr>
        <w:t>oc</w:t>
      </w:r>
      <w:r>
        <w:t>. It</w:t>
      </w:r>
      <w:r w:rsidRPr="00D4688F">
        <w:t> </w:t>
      </w:r>
      <w:r>
        <w:t>“</w:t>
      </w:r>
      <w:r w:rsidRPr="00D4688F">
        <w:t>means </w:t>
      </w:r>
      <w:r w:rsidRPr="00D4688F">
        <w:rPr>
          <w:i/>
          <w:iCs/>
        </w:rPr>
        <w:t>after this</w:t>
      </w:r>
      <w:r w:rsidRPr="00D4688F">
        <w:t>, and refers to reasoning, discussion, or explanation that takes place after something has already transpired.</w:t>
      </w:r>
      <w:r>
        <w:t>”</w:t>
      </w:r>
      <w:r w:rsidRPr="00755452">
        <w:rPr>
          <w:rStyle w:val="FootnoteReference"/>
        </w:rPr>
        <w:footnoteReference w:id="91"/>
      </w:r>
      <w:r w:rsidR="00486007">
        <w:t xml:space="preserve"> </w:t>
      </w:r>
      <w:r w:rsidR="00486007">
        <w:rPr>
          <w:i/>
          <w:iCs/>
        </w:rPr>
        <w:t>Cf.</w:t>
      </w:r>
      <w:r w:rsidR="00486007">
        <w:t xml:space="preserve"> ex post.</w:t>
      </w:r>
    </w:p>
    <w:p w14:paraId="4CB8E3A9" w14:textId="6C02ADF9" w:rsidR="00A82016" w:rsidRDefault="00A82016" w:rsidP="00042DE6"/>
    <w:p w14:paraId="3DD912A8" w14:textId="600AAEF6" w:rsidR="00A82016" w:rsidRDefault="00A82016" w:rsidP="00042DE6">
      <w:r>
        <w:rPr>
          <w:b/>
          <w:bCs/>
        </w:rPr>
        <w:t>presume</w:t>
      </w:r>
      <w:r>
        <w:t xml:space="preserve">. </w:t>
      </w:r>
      <w:r w:rsidRPr="00A82016">
        <w:rPr>
          <w:i/>
          <w:iCs/>
        </w:rPr>
        <w:t xml:space="preserve">See </w:t>
      </w:r>
      <w:r w:rsidRPr="00A82016">
        <w:rPr>
          <w:i/>
          <w:iCs/>
        </w:rPr>
        <w:fldChar w:fldCharType="begin"/>
      </w:r>
      <w:r w:rsidRPr="00A82016">
        <w:rPr>
          <w:i/>
          <w:iCs/>
        </w:rPr>
        <w:instrText xml:space="preserve"> REF assume_or_presume \h  \* MERGEFORMAT </w:instrText>
      </w:r>
      <w:r w:rsidRPr="00A82016">
        <w:rPr>
          <w:i/>
          <w:iCs/>
        </w:rPr>
      </w:r>
      <w:r w:rsidRPr="00A82016">
        <w:rPr>
          <w:i/>
          <w:iCs/>
        </w:rPr>
        <w:fldChar w:fldCharType="separate"/>
      </w:r>
      <w:r w:rsidRPr="00A82016">
        <w:rPr>
          <w:i/>
          <w:iCs/>
        </w:rPr>
        <w:t>assume, presume</w:t>
      </w:r>
      <w:r w:rsidRPr="00A82016">
        <w:rPr>
          <w:i/>
          <w:iCs/>
        </w:rPr>
        <w:fldChar w:fldCharType="end"/>
      </w:r>
      <w:r w:rsidRPr="00A82016">
        <w:t>.</w:t>
      </w:r>
    </w:p>
    <w:p w14:paraId="4F83FBE7" w14:textId="77777777" w:rsidR="007C366E" w:rsidRDefault="007C366E" w:rsidP="00042DE6"/>
    <w:p w14:paraId="2A35A71B" w14:textId="788CBC7B" w:rsidR="007C366E" w:rsidRPr="007C366E" w:rsidRDefault="007C366E" w:rsidP="007C366E">
      <w:r w:rsidRPr="007C366E">
        <w:rPr>
          <w:b/>
          <w:bCs/>
        </w:rPr>
        <w:t>principal, principle</w:t>
      </w:r>
      <w:r>
        <w:t>. “</w:t>
      </w:r>
      <w:r w:rsidRPr="007C366E">
        <w:rPr>
          <w:i/>
          <w:iCs/>
        </w:rPr>
        <w:t>Principal</w:t>
      </w:r>
      <w:r w:rsidRPr="007C366E">
        <w:t> is a noun and adjective meaning someone or something first in rank, authority, importance or degree: </w:t>
      </w:r>
      <w:r w:rsidRPr="007C366E">
        <w:rPr>
          <w:i/>
          <w:iCs/>
        </w:rPr>
        <w:t>She is the school principal.</w:t>
      </w:r>
      <w:r w:rsidRPr="007C366E">
        <w:t> </w:t>
      </w:r>
      <w:r w:rsidRPr="007C366E">
        <w:rPr>
          <w:i/>
          <w:iCs/>
        </w:rPr>
        <w:t>He was the principal player in the trade.</w:t>
      </w:r>
      <w:r w:rsidRPr="007C366E">
        <w:t> </w:t>
      </w:r>
      <w:r w:rsidRPr="007C366E">
        <w:rPr>
          <w:i/>
          <w:iCs/>
        </w:rPr>
        <w:t>Money is the principal problem.</w:t>
      </w:r>
    </w:p>
    <w:p w14:paraId="67588DE0" w14:textId="77777777" w:rsidR="007C366E" w:rsidRPr="007C366E" w:rsidRDefault="007C366E" w:rsidP="007C366E">
      <w:r w:rsidRPr="007C366E">
        <w:rPr>
          <w:i/>
          <w:iCs/>
        </w:rPr>
        <w:t>Principle</w:t>
      </w:r>
      <w:r w:rsidRPr="007C366E">
        <w:t> is a noun that means a fundamental truth, law, doctrine or motivating force: </w:t>
      </w:r>
      <w:r w:rsidRPr="007C366E">
        <w:rPr>
          <w:i/>
          <w:iCs/>
        </w:rPr>
        <w:t>They fought for the principle of self-determination.</w:t>
      </w:r>
    </w:p>
    <w:p w14:paraId="4B47A6C3" w14:textId="09F7955E" w:rsidR="007C366E" w:rsidRPr="007C366E" w:rsidRDefault="007C366E" w:rsidP="007C366E">
      <w:r w:rsidRPr="007C366E">
        <w:t>In a business context, </w:t>
      </w:r>
      <w:r w:rsidRPr="007C366E">
        <w:rPr>
          <w:i/>
          <w:iCs/>
        </w:rPr>
        <w:t>principal</w:t>
      </w:r>
      <w:r w:rsidRPr="007C366E">
        <w:t> refers to the amount of money that is borrowed in a loan, as distinct from interest that is paid.</w:t>
      </w:r>
      <w:r>
        <w:t>”</w:t>
      </w:r>
      <w:r w:rsidRPr="00755452">
        <w:rPr>
          <w:rStyle w:val="FootnoteReference"/>
        </w:rPr>
        <w:footnoteReference w:id="92"/>
      </w:r>
    </w:p>
    <w:p w14:paraId="2E3A2D09" w14:textId="16D55F42" w:rsidR="007C366E" w:rsidRPr="00A82016" w:rsidRDefault="007C366E" w:rsidP="00042DE6"/>
    <w:p w14:paraId="23882CC4" w14:textId="753BA6AB" w:rsidR="0040575E" w:rsidRDefault="0040575E" w:rsidP="00042DE6"/>
    <w:p w14:paraId="0C75DA79" w14:textId="45B1E862" w:rsidR="0040575E" w:rsidRPr="00EA32A9" w:rsidRDefault="0040575E" w:rsidP="00042DE6">
      <w:pPr>
        <w:rPr>
          <w:rFonts w:ascii="Times New Roman" w:eastAsia="Times New Roman" w:hAnsi="Times New Roman" w:cs="Times New Roman"/>
        </w:rPr>
      </w:pPr>
      <w:r>
        <w:rPr>
          <w:b/>
          <w:bCs/>
        </w:rPr>
        <w:lastRenderedPageBreak/>
        <w:t>quantum meruit</w:t>
      </w:r>
      <w:r>
        <w:t>. “</w:t>
      </w:r>
      <w:r w:rsidR="00EA32A9" w:rsidRPr="00EA32A9">
        <w:rPr>
          <w:rFonts w:ascii="Source Sans Pro" w:eastAsia="Times New Roman" w:hAnsi="Source Sans Pro" w:cs="Times New Roman"/>
          <w:color w:val="000000"/>
        </w:rPr>
        <w:t>The reasonable value of services; damages awarded in an amount considered reasonable to compensate a person who has rendered services in a quasi-contractual relationship.</w:t>
      </w:r>
      <w:r w:rsidR="00EA32A9">
        <w:rPr>
          <w:rFonts w:ascii="Times New Roman" w:eastAsia="Times New Roman" w:hAnsi="Times New Roman" w:cs="Times New Roman"/>
        </w:rPr>
        <w:t>”</w:t>
      </w:r>
      <w:r w:rsidR="00EA32A9" w:rsidRPr="00755452">
        <w:rPr>
          <w:rStyle w:val="FootnoteReference"/>
        </w:rPr>
        <w:footnoteReference w:id="93"/>
      </w:r>
    </w:p>
    <w:p w14:paraId="73EA10E4" w14:textId="5135ADDD" w:rsidR="0099765D" w:rsidRDefault="0099765D" w:rsidP="00042DE6"/>
    <w:p w14:paraId="135BE0CA" w14:textId="143E5DB0" w:rsidR="0099765D" w:rsidRDefault="0099765D" w:rsidP="00042DE6">
      <w:r>
        <w:rPr>
          <w:b/>
          <w:bCs/>
        </w:rPr>
        <w:t>runoff</w:t>
      </w:r>
      <w:r>
        <w:t xml:space="preserve">. </w:t>
      </w:r>
      <w:r w:rsidR="00A470CE">
        <w:t>“[A]</w:t>
      </w:r>
      <w:r w:rsidR="00A470CE" w:rsidRPr="00A470CE">
        <w:t xml:space="preserve"> final race, contest, or election to decide an earlier one that has not resulted in a decision in favor of any one competitor</w:t>
      </w:r>
      <w:r w:rsidR="00A470CE">
        <w:t>.”</w:t>
      </w:r>
      <w:r w:rsidR="00A81E1D" w:rsidRPr="00755452">
        <w:rPr>
          <w:rStyle w:val="FootnoteReference"/>
        </w:rPr>
        <w:footnoteReference w:id="94"/>
      </w:r>
    </w:p>
    <w:p w14:paraId="379CE76E" w14:textId="19672D2C" w:rsidR="00297E9C" w:rsidRDefault="00297E9C" w:rsidP="00042DE6"/>
    <w:p w14:paraId="6128580E" w14:textId="3C1FFC2E" w:rsidR="00297E9C" w:rsidRDefault="00297E9C" w:rsidP="00297E9C">
      <w:bookmarkStart w:id="73" w:name="residence"/>
      <w:r>
        <w:rPr>
          <w:b/>
          <w:bCs/>
        </w:rPr>
        <w:t>residence</w:t>
      </w:r>
      <w:bookmarkEnd w:id="73"/>
      <w:r>
        <w:t>. “</w:t>
      </w:r>
      <w:r w:rsidRPr="00297E9C">
        <w:t xml:space="preserve">The place where one </w:t>
      </w:r>
      <w:proofErr w:type="gramStart"/>
      <w:r w:rsidRPr="00297E9C">
        <w:t>actually lives</w:t>
      </w:r>
      <w:proofErr w:type="gramEnd"/>
      <w:r w:rsidRPr="00297E9C">
        <w:t>, as distinguished from a domicile &lt;she made her residence in Oregon&gt; . • </w:t>
      </w:r>
      <w:r w:rsidRPr="00297E9C">
        <w:rPr>
          <w:i/>
          <w:iCs/>
        </w:rPr>
        <w:t>Residence</w:t>
      </w:r>
      <w:r w:rsidRPr="00297E9C">
        <w:t xml:space="preserve"> usu. just means bodily presence as an inhabitant </w:t>
      </w:r>
      <w:proofErr w:type="gramStart"/>
      <w:r w:rsidRPr="00297E9C">
        <w:t>in a given</w:t>
      </w:r>
      <w:proofErr w:type="gramEnd"/>
      <w:r w:rsidRPr="00297E9C">
        <w:t xml:space="preserve"> place; </w:t>
      </w:r>
      <w:r w:rsidRPr="00297E9C">
        <w:rPr>
          <w:i/>
          <w:iCs/>
        </w:rPr>
        <w:t>domicile</w:t>
      </w:r>
      <w:r w:rsidRPr="00297E9C">
        <w:t> usu. requires bodily presence plus an intention to make the place one's home. A person thus may have more than one residence at a time but only one domicile.</w:t>
      </w:r>
      <w:r>
        <w:t>”</w:t>
      </w:r>
      <w:r w:rsidR="00AE734E" w:rsidRPr="00755452">
        <w:rPr>
          <w:rStyle w:val="FootnoteReference"/>
        </w:rPr>
        <w:footnoteReference w:id="95"/>
      </w:r>
      <w:r>
        <w:t xml:space="preserve"> </w:t>
      </w:r>
      <w:r>
        <w:rPr>
          <w:i/>
          <w:iCs/>
        </w:rPr>
        <w:t>Cf</w:t>
      </w:r>
      <w:r>
        <w:t xml:space="preserve">. </w:t>
      </w:r>
      <w:r w:rsidR="00E028E4" w:rsidRPr="00E028E4">
        <w:fldChar w:fldCharType="begin"/>
      </w:r>
      <w:r w:rsidR="00E028E4" w:rsidRPr="00E028E4">
        <w:instrText xml:space="preserve"> REF domicile \h  \* MERGEFORMAT </w:instrText>
      </w:r>
      <w:r w:rsidR="00E028E4" w:rsidRPr="00E028E4">
        <w:fldChar w:fldCharType="separate"/>
      </w:r>
      <w:r w:rsidR="00E028E4" w:rsidRPr="00E028E4">
        <w:t>domicile</w:t>
      </w:r>
      <w:r w:rsidR="00E028E4" w:rsidRPr="00E028E4">
        <w:fldChar w:fldCharType="end"/>
      </w:r>
      <w:r w:rsidR="00E028E4">
        <w:t>.</w:t>
      </w:r>
    </w:p>
    <w:p w14:paraId="344A9DF3" w14:textId="77777777" w:rsidR="00AD595F" w:rsidRDefault="00AD595F" w:rsidP="00297E9C"/>
    <w:p w14:paraId="12F4F06D" w14:textId="1F3CEF0A" w:rsidR="00AD595F" w:rsidRPr="00AD595F" w:rsidRDefault="00AD595F" w:rsidP="00297E9C">
      <w:r>
        <w:rPr>
          <w:b/>
          <w:bCs/>
        </w:rPr>
        <w:t>sealioning</w:t>
      </w:r>
      <w:r>
        <w:t>. “</w:t>
      </w:r>
      <w:r w:rsidRPr="00AD595F">
        <w:rPr>
          <w:i/>
          <w:iCs/>
        </w:rPr>
        <w:t>Sealioning</w:t>
      </w:r>
      <w:r w:rsidRPr="00AD595F">
        <w:t> refers to the disingenuous action by a commenter of making an ostensible effort to engage in sincere and serious civil debate, usually by asking persistent questions of the other commenter. These questions are phrased in a way that may come off as an effort to learn and engage with the subject at hand, but are really intended to erode the goodwill of the person to whom they are replying, to get them to appear impatient or to lash out, and therefore come off as unreasonable.</w:t>
      </w:r>
      <w:r>
        <w:t>”</w:t>
      </w:r>
      <w:r w:rsidRPr="00755452">
        <w:rPr>
          <w:rStyle w:val="FootnoteReference"/>
        </w:rPr>
        <w:footnoteReference w:id="96"/>
      </w:r>
      <w:r w:rsidRPr="00AD595F">
        <w:t xml:space="preserve"> </w:t>
      </w:r>
    </w:p>
    <w:p w14:paraId="2128C53F" w14:textId="627F28D6" w:rsidR="00B37687" w:rsidRDefault="00B37687" w:rsidP="00042DE6"/>
    <w:p w14:paraId="2AD7922C" w14:textId="49FB0323" w:rsidR="00451B44" w:rsidRPr="00451B44" w:rsidRDefault="00B37687" w:rsidP="00451B44">
      <w:r>
        <w:rPr>
          <w:b/>
          <w:bCs/>
        </w:rPr>
        <w:t>Smithsonian</w:t>
      </w:r>
      <w:r w:rsidR="00451B44" w:rsidRPr="00451B44">
        <w:rPr>
          <w:b/>
          <w:bCs/>
        </w:rPr>
        <w:t>﻿</w:t>
      </w:r>
      <w:r w:rsidR="00451B44">
        <w:rPr>
          <w:b/>
          <w:bCs/>
        </w:rPr>
        <w:t xml:space="preserve"> </w:t>
      </w:r>
      <w:r w:rsidR="00451B44" w:rsidRPr="00451B44">
        <w:rPr>
          <w:b/>
          <w:bCs/>
        </w:rPr>
        <w:t>Institution</w:t>
      </w:r>
      <w:r w:rsidR="00451B44">
        <w:t>.</w:t>
      </w:r>
      <w:r w:rsidR="00451B44" w:rsidRPr="00451B44">
        <w:rPr>
          <w:b/>
          <w:bCs/>
        </w:rPr>
        <w:t xml:space="preserve"> </w:t>
      </w:r>
      <w:r w:rsidR="00451B44" w:rsidRPr="00451B44">
        <w:t xml:space="preserve">Not </w:t>
      </w:r>
      <w:r w:rsidR="00451B44" w:rsidRPr="00C741C1">
        <w:rPr>
          <w:i/>
          <w:iCs/>
        </w:rPr>
        <w:t>Smithsonian Instit</w:t>
      </w:r>
      <w:r w:rsidR="00451B44" w:rsidRPr="003A3B6D">
        <w:rPr>
          <w:b/>
          <w:bCs/>
          <w:i/>
          <w:iCs/>
        </w:rPr>
        <w:t>ute</w:t>
      </w:r>
      <w:r w:rsidR="00451B44" w:rsidRPr="00451B44">
        <w:t>.</w:t>
      </w:r>
      <w:r w:rsidR="00C741C1" w:rsidRPr="00755452">
        <w:rPr>
          <w:rStyle w:val="FootnoteReference"/>
        </w:rPr>
        <w:footnoteReference w:id="97"/>
      </w:r>
    </w:p>
    <w:p w14:paraId="79BF3C93" w14:textId="0E3ACA3E" w:rsidR="00906ECB" w:rsidRDefault="00906ECB" w:rsidP="00042DE6"/>
    <w:p w14:paraId="37F9D6E0" w14:textId="47498A28" w:rsidR="00FC4DB1" w:rsidRPr="00FC4DB1" w:rsidRDefault="00FC4DB1" w:rsidP="00042DE6">
      <w:r>
        <w:rPr>
          <w:b/>
          <w:bCs/>
        </w:rPr>
        <w:t>statewide</w:t>
      </w:r>
      <w:r>
        <w:t>.</w:t>
      </w:r>
      <w:r w:rsidRPr="00755452">
        <w:rPr>
          <w:rStyle w:val="FootnoteReference"/>
        </w:rPr>
        <w:footnoteReference w:id="98"/>
      </w:r>
    </w:p>
    <w:p w14:paraId="39DCA85C" w14:textId="77777777" w:rsidR="00FC4DB1" w:rsidRDefault="00FC4DB1" w:rsidP="00042DE6">
      <w:pPr>
        <w:rPr>
          <w:b/>
          <w:bCs/>
        </w:rPr>
      </w:pPr>
    </w:p>
    <w:p w14:paraId="006D5D88" w14:textId="32E5E11D" w:rsidR="00906ECB" w:rsidRDefault="00906ECB" w:rsidP="00042DE6">
      <w:r>
        <w:rPr>
          <w:b/>
          <w:bCs/>
        </w:rPr>
        <w:t>STLDI</w:t>
      </w:r>
      <w:r>
        <w:t>. “</w:t>
      </w:r>
      <w:r w:rsidRPr="00906ECB">
        <w:t>Short-term, limited-duration insurance</w:t>
      </w:r>
      <w:r>
        <w:t>”</w:t>
      </w:r>
      <w:r w:rsidRPr="00755452">
        <w:rPr>
          <w:rStyle w:val="FootnoteReference"/>
        </w:rPr>
        <w:footnoteReference w:id="99"/>
      </w:r>
    </w:p>
    <w:p w14:paraId="178B8481" w14:textId="5109FF8C" w:rsidR="000D472D" w:rsidRDefault="000D472D" w:rsidP="00042DE6"/>
    <w:p w14:paraId="079D8A96" w14:textId="50C85F00" w:rsidR="00547AE1" w:rsidRDefault="00547AE1" w:rsidP="00042DE6">
      <w:bookmarkStart w:id="74" w:name="sub_judice"/>
      <w:r w:rsidRPr="00547AE1">
        <w:rPr>
          <w:b/>
          <w:bCs/>
        </w:rPr>
        <w:t>sub judice</w:t>
      </w:r>
      <w:bookmarkEnd w:id="74"/>
      <w:r>
        <w:t xml:space="preserve">. “Before the court or judge for determination; at bar &lt;in the case </w:t>
      </w:r>
      <w:r w:rsidRPr="009812E8">
        <w:rPr>
          <w:i/>
        </w:rPr>
        <w:t>sub judice</w:t>
      </w:r>
      <w:r>
        <w:t xml:space="preserve">, there have been </w:t>
      </w:r>
      <w:proofErr w:type="gramStart"/>
      <w:r>
        <w:t>no</w:t>
      </w:r>
      <w:proofErr w:type="gramEnd"/>
      <w:r>
        <w:t xml:space="preserve"> out</w:t>
      </w:r>
      <w:r>
        <w:noBreakHyphen/>
        <w:t>of</w:t>
      </w:r>
      <w:r>
        <w:noBreakHyphen/>
        <w:t xml:space="preserve">court settlements&gt;. Legal writers sometimes use </w:t>
      </w:r>
      <w:r>
        <w:rPr>
          <w:i/>
          <w:iCs/>
        </w:rPr>
        <w:t>case sub judice</w:t>
      </w:r>
      <w:r>
        <w:t xml:space="preserve"> where </w:t>
      </w:r>
      <w:r>
        <w:rPr>
          <w:i/>
          <w:iCs/>
        </w:rPr>
        <w:t>the present case</w:t>
      </w:r>
      <w:r>
        <w:t xml:space="preserve"> would be more comprehensible.”</w:t>
      </w:r>
      <w:r w:rsidRPr="00755452">
        <w:rPr>
          <w:rStyle w:val="FootnoteReference"/>
        </w:rPr>
        <w:footnoteReference w:id="100"/>
      </w:r>
    </w:p>
    <w:p w14:paraId="31F16AC7" w14:textId="7F933E72" w:rsidR="00F370F4" w:rsidRDefault="00F370F4" w:rsidP="00042DE6"/>
    <w:p w14:paraId="4ECF9C24" w14:textId="5CDBD27C" w:rsidR="00F370F4" w:rsidRPr="00F370F4" w:rsidRDefault="00F370F4" w:rsidP="00042DE6">
      <w:r>
        <w:rPr>
          <w:b/>
          <w:bCs/>
        </w:rPr>
        <w:t>T&amp;S</w:t>
      </w:r>
      <w:r>
        <w:t xml:space="preserve">. “Timing and Scoring.” Used in </w:t>
      </w:r>
      <w:r w:rsidR="00DA2B92">
        <w:t xml:space="preserve">a </w:t>
      </w:r>
      <w:r>
        <w:t>motorsports</w:t>
      </w:r>
      <w:r w:rsidR="00DA2B92">
        <w:t xml:space="preserve"> context.</w:t>
      </w:r>
    </w:p>
    <w:p w14:paraId="6CB3EBDD" w14:textId="77777777" w:rsidR="00547AE1" w:rsidRDefault="00547AE1" w:rsidP="00042DE6"/>
    <w:p w14:paraId="2EB7D51E" w14:textId="7E409371" w:rsidR="000D472D" w:rsidRDefault="000D472D" w:rsidP="00042DE6">
      <w:r>
        <w:rPr>
          <w:b/>
          <w:bCs/>
        </w:rPr>
        <w:t>TER</w:t>
      </w:r>
      <w:r>
        <w:t>. “Time Expired or Restricted.”</w:t>
      </w:r>
      <w:r w:rsidR="00BF4EDD">
        <w:t xml:space="preserve"> This refers to criminal </w:t>
      </w:r>
      <w:r w:rsidR="00A70475">
        <w:t>history records.</w:t>
      </w:r>
    </w:p>
    <w:p w14:paraId="0E655CA0" w14:textId="619F224A" w:rsidR="00451FBE" w:rsidRDefault="00451FBE" w:rsidP="00042DE6"/>
    <w:p w14:paraId="30F36B9E" w14:textId="51F30B41" w:rsidR="00451FBE" w:rsidRPr="00451FBE" w:rsidRDefault="00451FBE" w:rsidP="00042DE6">
      <w:r>
        <w:rPr>
          <w:b/>
          <w:bCs/>
        </w:rPr>
        <w:t>“they”, the singular</w:t>
      </w:r>
      <w:r>
        <w:t>. “</w:t>
      </w:r>
      <w:r w:rsidRPr="00451FBE">
        <w:t xml:space="preserve">A singular antecedent requires a singular referent pronoun. Because he is no longer accepted as a generic pronoun referring to a person of either sex, it has become </w:t>
      </w:r>
      <w:r w:rsidRPr="00451FBE">
        <w:lastRenderedPageBreak/>
        <w:t xml:space="preserve">common in speech and in informal writing to substitute the third-person plural pronouns </w:t>
      </w:r>
      <w:r w:rsidRPr="00451FBE">
        <w:rPr>
          <w:i/>
          <w:iCs/>
        </w:rPr>
        <w:t>they</w:t>
      </w:r>
      <w:r w:rsidRPr="00451FBE">
        <w:t xml:space="preserve">, </w:t>
      </w:r>
      <w:r w:rsidRPr="00451FBE">
        <w:rPr>
          <w:i/>
          <w:iCs/>
        </w:rPr>
        <w:t>them</w:t>
      </w:r>
      <w:r w:rsidRPr="00451FBE">
        <w:t xml:space="preserve">, </w:t>
      </w:r>
      <w:r w:rsidRPr="00451FBE">
        <w:rPr>
          <w:i/>
          <w:iCs/>
        </w:rPr>
        <w:t>their</w:t>
      </w:r>
      <w:r w:rsidRPr="00451FBE">
        <w:t xml:space="preserve">, and </w:t>
      </w:r>
      <w:r w:rsidRPr="00451FBE">
        <w:rPr>
          <w:i/>
          <w:iCs/>
        </w:rPr>
        <w:t>themselves</w:t>
      </w:r>
      <w:r w:rsidRPr="00451FBE">
        <w:t xml:space="preserve">, and the nonstandard singular </w:t>
      </w:r>
      <w:r w:rsidRPr="00451FBE">
        <w:rPr>
          <w:i/>
          <w:iCs/>
        </w:rPr>
        <w:t>themself</w:t>
      </w:r>
      <w:r w:rsidRPr="00451FBE">
        <w:t xml:space="preserve">. While this usage is accepted in casual contexts, it is still considered ungrammatical in formal writing. Avoiding the plural form by alternating masculine and feminine pronouns is awkward and only emphasizes the inherent problem of not having a generic third-person pronoun. Employing an artificial form such as </w:t>
      </w:r>
      <w:r w:rsidRPr="00451FBE">
        <w:rPr>
          <w:i/>
          <w:iCs/>
        </w:rPr>
        <w:t>s/he</w:t>
      </w:r>
      <w:r w:rsidRPr="00451FBE">
        <w:t xml:space="preserve"> is distracting at best, and most readers find it ridiculous. There are several better ways to avoid the problem. For e</w:t>
      </w:r>
      <w:r>
        <w:t xml:space="preserve">xample, use the traditional, formal </w:t>
      </w:r>
      <w:r>
        <w:rPr>
          <w:i/>
          <w:iCs/>
        </w:rPr>
        <w:t>he or she</w:t>
      </w:r>
      <w:r>
        <w:t xml:space="preserve">, </w:t>
      </w:r>
      <w:r>
        <w:rPr>
          <w:i/>
          <w:iCs/>
        </w:rPr>
        <w:t>him or her</w:t>
      </w:r>
      <w:r>
        <w:t xml:space="preserve">, </w:t>
      </w:r>
      <w:r>
        <w:rPr>
          <w:i/>
          <w:iCs/>
        </w:rPr>
        <w:t>his or her</w:t>
      </w:r>
      <w:r>
        <w:t xml:space="preserve">, </w:t>
      </w:r>
      <w:r>
        <w:rPr>
          <w:i/>
          <w:iCs/>
        </w:rPr>
        <w:t>himself or herself</w:t>
      </w:r>
      <w:r>
        <w:t>. Stylistically, this device is usually awkward or even stilted, but if used sparingly it can be functional.”</w:t>
      </w:r>
      <w:r w:rsidRPr="00755452">
        <w:rPr>
          <w:rStyle w:val="FootnoteReference"/>
        </w:rPr>
        <w:footnoteReference w:id="101"/>
      </w:r>
    </w:p>
    <w:p w14:paraId="6C42BC10" w14:textId="77777777" w:rsidR="00042DE6" w:rsidRDefault="00042DE6" w:rsidP="00042DE6"/>
    <w:p w14:paraId="77511780" w14:textId="60493032" w:rsidR="007E2663" w:rsidRDefault="006F47C0">
      <w:r>
        <w:rPr>
          <w:b/>
          <w:bCs/>
        </w:rPr>
        <w:t>t</w:t>
      </w:r>
      <w:r w:rsidR="007E2663" w:rsidRPr="00042DE6">
        <w:rPr>
          <w:b/>
          <w:bCs/>
        </w:rPr>
        <w:t xml:space="preserve">hird party </w:t>
      </w:r>
      <w:r w:rsidR="007E2663" w:rsidRPr="00251C2F">
        <w:t>/</w:t>
      </w:r>
      <w:r w:rsidR="007E2663" w:rsidRPr="00042DE6">
        <w:rPr>
          <w:b/>
          <w:bCs/>
        </w:rPr>
        <w:t xml:space="preserve"> third-party</w:t>
      </w:r>
      <w:r w:rsidR="007E2663">
        <w:t xml:space="preserve">. </w:t>
      </w:r>
      <w:r w:rsidR="007E2663" w:rsidRPr="007E2663">
        <w:t>When used as a noun, use two separate words; when used as an adjective, hyphenate the two words.</w:t>
      </w:r>
      <w:r w:rsidR="000E1586" w:rsidRPr="00755452">
        <w:rPr>
          <w:rStyle w:val="FootnoteReference"/>
        </w:rPr>
        <w:footnoteReference w:id="102"/>
      </w:r>
    </w:p>
    <w:p w14:paraId="72CACC1F" w14:textId="0B147EB5" w:rsidR="00BC440A" w:rsidRDefault="00BC440A"/>
    <w:p w14:paraId="2C4D8D8B" w14:textId="40260F37" w:rsidR="00BC440A" w:rsidRPr="008C2D0E" w:rsidRDefault="008C2D0E">
      <w:r>
        <w:rPr>
          <w:b/>
          <w:bCs/>
        </w:rPr>
        <w:t>white paper</w:t>
      </w:r>
      <w:r>
        <w:t xml:space="preserve">. </w:t>
      </w:r>
      <w:r w:rsidR="00367FCB">
        <w:t>When the term is referring to a special report, it should be “[t]wo words, lowercase.”</w:t>
      </w:r>
      <w:r w:rsidR="00367FCB" w:rsidRPr="00755452">
        <w:rPr>
          <w:rStyle w:val="FootnoteReference"/>
        </w:rPr>
        <w:footnoteReference w:id="103"/>
      </w:r>
    </w:p>
    <w:p w14:paraId="7B0EBC7E" w14:textId="6D131915" w:rsidR="009A4AA2" w:rsidRDefault="009A4AA2"/>
    <w:p w14:paraId="57866605" w14:textId="77777777" w:rsidR="000C154A" w:rsidRPr="000C154A" w:rsidRDefault="000C154A" w:rsidP="000C154A">
      <w:r>
        <w:rPr>
          <w:b/>
          <w:bCs/>
        </w:rPr>
        <w:t>who’s, whose</w:t>
      </w:r>
      <w:r>
        <w:t>. “</w:t>
      </w:r>
      <w:r w:rsidRPr="000C154A">
        <w:rPr>
          <w:i/>
          <w:iCs/>
        </w:rPr>
        <w:t>Who’s</w:t>
      </w:r>
      <w:r w:rsidRPr="000C154A">
        <w:t xml:space="preserve"> is a contraction for </w:t>
      </w:r>
      <w:r w:rsidRPr="000C154A">
        <w:rPr>
          <w:i/>
          <w:iCs/>
        </w:rPr>
        <w:t>who is</w:t>
      </w:r>
      <w:r w:rsidRPr="000C154A">
        <w:t xml:space="preserve">, not a possessive: </w:t>
      </w:r>
      <w:r w:rsidRPr="000C154A">
        <w:rPr>
          <w:i/>
          <w:iCs/>
        </w:rPr>
        <w:t>Who’s there?</w:t>
      </w:r>
    </w:p>
    <w:p w14:paraId="41753C8E" w14:textId="1F79402B" w:rsidR="000C154A" w:rsidRPr="000C154A" w:rsidRDefault="000C154A">
      <w:r w:rsidRPr="000C154A">
        <w:rPr>
          <w:i/>
          <w:iCs/>
        </w:rPr>
        <w:t>Whose</w:t>
      </w:r>
      <w:r w:rsidRPr="000C154A">
        <w:t xml:space="preserve"> is the possessive: </w:t>
      </w:r>
      <w:r w:rsidRPr="000C154A">
        <w:rPr>
          <w:i/>
          <w:iCs/>
        </w:rPr>
        <w:t>I do not know whose coat it is.</w:t>
      </w:r>
      <w:r>
        <w:t>”</w:t>
      </w:r>
      <w:r w:rsidRPr="00755452">
        <w:rPr>
          <w:rStyle w:val="FootnoteReference"/>
        </w:rPr>
        <w:footnoteReference w:id="104"/>
      </w:r>
    </w:p>
    <w:p w14:paraId="3C8C3E23" w14:textId="77777777" w:rsidR="000C154A" w:rsidRDefault="000C154A"/>
    <w:p w14:paraId="6D70587D" w14:textId="7A93F58E" w:rsidR="00FD65AB" w:rsidRDefault="009A4AA2" w:rsidP="009A4AA2">
      <w:r>
        <w:t>﻿</w:t>
      </w:r>
      <w:r w:rsidRPr="0075220C">
        <w:rPr>
          <w:b/>
          <w:bCs/>
        </w:rPr>
        <w:t>who, whom</w:t>
      </w:r>
      <w:r w:rsidR="0075220C">
        <w:t>.</w:t>
      </w:r>
      <w:r>
        <w:t xml:space="preserve"> </w:t>
      </w:r>
      <w:r w:rsidR="00787BFD" w:rsidRPr="000F767C">
        <w:t>“</w:t>
      </w:r>
      <w:r w:rsidRPr="0075220C">
        <w:rPr>
          <w:i/>
          <w:iCs/>
        </w:rPr>
        <w:t>Who</w:t>
      </w:r>
      <w:r>
        <w:t xml:space="preserve"> is the pronoun used for references to human beings and to animals with a name. Write </w:t>
      </w:r>
      <w:r w:rsidRPr="0075220C">
        <w:rPr>
          <w:i/>
          <w:iCs/>
        </w:rPr>
        <w:t>the person who is in charge</w:t>
      </w:r>
      <w:r>
        <w:t xml:space="preserve">, not </w:t>
      </w:r>
      <w:r w:rsidRPr="0075220C">
        <w:rPr>
          <w:i/>
          <w:iCs/>
        </w:rPr>
        <w:t>the person that is in charge</w:t>
      </w:r>
      <w:r>
        <w:t xml:space="preserve">. </w:t>
      </w:r>
    </w:p>
    <w:p w14:paraId="2E2AC75B" w14:textId="77777777" w:rsidR="00FD65AB" w:rsidRDefault="009A4AA2" w:rsidP="00FD65AB">
      <w:pPr>
        <w:ind w:firstLine="720"/>
      </w:pPr>
      <w:r w:rsidRPr="0075220C">
        <w:rPr>
          <w:i/>
          <w:iCs/>
        </w:rPr>
        <w:t>Who</w:t>
      </w:r>
      <w:r>
        <w:t xml:space="preserve"> is grammatically the subject (never the object) of a sentence, clause or phrase: </w:t>
      </w:r>
      <w:r w:rsidRPr="00853FEE">
        <w:rPr>
          <w:i/>
          <w:iCs/>
        </w:rPr>
        <w:t>The woman who rented the room left the window open. Who is there?</w:t>
      </w:r>
      <w:r>
        <w:t xml:space="preserve"> </w:t>
      </w:r>
    </w:p>
    <w:p w14:paraId="2FF3F183" w14:textId="77777777" w:rsidR="00FD65AB" w:rsidRDefault="009A4AA2" w:rsidP="00FD65AB">
      <w:pPr>
        <w:ind w:firstLine="720"/>
      </w:pPr>
      <w:proofErr w:type="gramStart"/>
      <w:r w:rsidRPr="00853FEE">
        <w:rPr>
          <w:i/>
          <w:iCs/>
        </w:rPr>
        <w:t>Whom</w:t>
      </w:r>
      <w:proofErr w:type="gramEnd"/>
      <w:r>
        <w:t xml:space="preserve"> is used when someone is the object of a verb or preposition: </w:t>
      </w:r>
      <w:r w:rsidRPr="004A1994">
        <w:rPr>
          <w:i/>
          <w:iCs/>
        </w:rPr>
        <w:t>The woman to whom the room was rented left the window open. Whom do you wish to see?</w:t>
      </w:r>
      <w:r>
        <w:t xml:space="preserve"> </w:t>
      </w:r>
    </w:p>
    <w:p w14:paraId="0622081D" w14:textId="384606A7" w:rsidR="009A4AA2" w:rsidRDefault="009A4AA2" w:rsidP="00FD65AB">
      <w:pPr>
        <w:ind w:firstLine="720"/>
      </w:pPr>
      <w:r>
        <w:t xml:space="preserve">See essential clauses, nonessential clauses for guidelines on how to punctuate clauses introduced by </w:t>
      </w:r>
      <w:r w:rsidRPr="004A1994">
        <w:rPr>
          <w:i/>
          <w:iCs/>
        </w:rPr>
        <w:t>who</w:t>
      </w:r>
      <w:r>
        <w:t xml:space="preserve">, </w:t>
      </w:r>
      <w:r w:rsidRPr="004A1994">
        <w:rPr>
          <w:i/>
          <w:iCs/>
        </w:rPr>
        <w:t>whom</w:t>
      </w:r>
      <w:r>
        <w:t xml:space="preserve">, </w:t>
      </w:r>
      <w:r w:rsidRPr="004A1994">
        <w:rPr>
          <w:i/>
          <w:iCs/>
        </w:rPr>
        <w:t>that</w:t>
      </w:r>
      <w:r>
        <w:t xml:space="preserve"> and </w:t>
      </w:r>
      <w:r w:rsidRPr="004A1994">
        <w:rPr>
          <w:i/>
          <w:iCs/>
        </w:rPr>
        <w:t>which</w:t>
      </w:r>
      <w:r>
        <w:t>. See also that, which (pronouns).</w:t>
      </w:r>
      <w:r w:rsidR="00787BFD">
        <w:t>”</w:t>
      </w:r>
      <w:r w:rsidR="002639F0" w:rsidRPr="00755452">
        <w:rPr>
          <w:rStyle w:val="FootnoteReference"/>
        </w:rPr>
        <w:footnoteReference w:id="105"/>
      </w:r>
    </w:p>
    <w:p w14:paraId="64BE83B5" w14:textId="5F220D44" w:rsidR="00D4688F" w:rsidRDefault="00D4688F" w:rsidP="00D4688F"/>
    <w:p w14:paraId="1CF29362" w14:textId="77777777" w:rsidR="005C150F" w:rsidRPr="00D4688F" w:rsidRDefault="005C150F" w:rsidP="00D4688F"/>
    <w:p w14:paraId="244C8673" w14:textId="2D214615" w:rsidR="00D4688F" w:rsidRDefault="00D4688F" w:rsidP="00D4688F"/>
    <w:p w14:paraId="00257EE8" w14:textId="77777777" w:rsidR="005C150F" w:rsidRPr="00D4688F" w:rsidRDefault="005C150F" w:rsidP="00D4688F"/>
    <w:p w14:paraId="55F23CDB" w14:textId="77777777" w:rsidR="005C150F" w:rsidRPr="00D4688F" w:rsidRDefault="005C150F" w:rsidP="00D4688F"/>
    <w:p w14:paraId="5FA19637" w14:textId="2FDF95A7" w:rsidR="00D4688F" w:rsidRDefault="00D4688F" w:rsidP="00D4688F"/>
    <w:p w14:paraId="5695611B" w14:textId="77777777" w:rsidR="005C150F" w:rsidRPr="00D4688F" w:rsidRDefault="005C150F" w:rsidP="00D4688F"/>
    <w:p w14:paraId="550CA029" w14:textId="151A9C55" w:rsidR="00D4688F" w:rsidRDefault="00D4688F" w:rsidP="00D4688F"/>
    <w:p w14:paraId="17B6AEC0" w14:textId="77777777" w:rsidR="005C150F" w:rsidRPr="00D4688F" w:rsidRDefault="005C150F" w:rsidP="00D4688F"/>
    <w:p w14:paraId="3863CD0F" w14:textId="142A3C21" w:rsidR="00D4688F" w:rsidRDefault="00D4688F" w:rsidP="00D4688F"/>
    <w:p w14:paraId="629DE4B9" w14:textId="77777777" w:rsidR="009A4AA2" w:rsidRDefault="009A4AA2" w:rsidP="009A4AA2"/>
    <w:p w14:paraId="10B61F1C" w14:textId="193B90A5" w:rsidR="009A4AA2" w:rsidRDefault="009A4AA2" w:rsidP="009A4AA2"/>
    <w:p w14:paraId="4C84B947" w14:textId="6DB18D6A" w:rsidR="00167AB3" w:rsidRDefault="00167AB3"/>
    <w:p w14:paraId="2A26E496" w14:textId="43D2AF25" w:rsidR="00547CB2" w:rsidRDefault="00547CB2" w:rsidP="00441BB6">
      <w:pPr>
        <w:pStyle w:val="Heading2"/>
        <w:keepLines w:val="0"/>
        <w:spacing w:after="240"/>
      </w:pPr>
      <w:bookmarkStart w:id="75" w:name="_Toc80800028"/>
      <w:bookmarkStart w:id="76" w:name="_Toc187249921"/>
      <w:r>
        <w:lastRenderedPageBreak/>
        <w:t>Words that are not real</w:t>
      </w:r>
      <w:bookmarkEnd w:id="75"/>
      <w:bookmarkEnd w:id="76"/>
    </w:p>
    <w:p w14:paraId="1BD1C9C4" w14:textId="17610F83" w:rsidR="00547CB2" w:rsidRPr="00441BB6" w:rsidRDefault="00547CB2">
      <w:pPr>
        <w:rPr>
          <w:rFonts w:ascii="Times New Roman" w:eastAsia="Times New Roman" w:hAnsi="Times New Roman" w:cs="Times New Roman"/>
        </w:rPr>
      </w:pPr>
      <w:bookmarkStart w:id="77" w:name="Decision_maker_not_a_word"/>
      <w:r>
        <w:rPr>
          <w:b/>
          <w:bCs/>
        </w:rPr>
        <w:t>Decision-maker</w:t>
      </w:r>
      <w:bookmarkEnd w:id="77"/>
      <w:r w:rsidR="00DC18B5">
        <w:rPr>
          <w:b/>
          <w:bCs/>
        </w:rPr>
        <w:fldChar w:fldCharType="begin"/>
      </w:r>
      <w:r w:rsidR="00DC18B5">
        <w:instrText xml:space="preserve"> XE "</w:instrText>
      </w:r>
      <w:r w:rsidR="00DC18B5" w:rsidRPr="007A44E2">
        <w:instrText>Decision-maker</w:instrText>
      </w:r>
      <w:r w:rsidR="00DC18B5">
        <w:instrText xml:space="preserve">" </w:instrText>
      </w:r>
      <w:r w:rsidR="00DC18B5">
        <w:rPr>
          <w:b/>
          <w:bCs/>
        </w:rPr>
        <w:fldChar w:fldCharType="end"/>
      </w:r>
      <w:r>
        <w:t xml:space="preserve">. </w:t>
      </w:r>
      <w:r w:rsidR="00441BB6" w:rsidRPr="00441BB6">
        <w:rPr>
          <w:rFonts w:ascii="Calibri" w:eastAsia="Times New Roman" w:hAnsi="Calibri" w:cs="Calibri"/>
          <w:color w:val="000000"/>
        </w:rPr>
        <w:t>This is not a word — regardless of whether it is hyphenated or spelled as a single word.</w:t>
      </w:r>
      <w:r w:rsidR="00604148">
        <w:t xml:space="preserve"> Use “individuals involved in the decision</w:t>
      </w:r>
      <w:r w:rsidR="00604148">
        <w:noBreakHyphen/>
        <w:t>making process” instead.</w:t>
      </w:r>
    </w:p>
    <w:sectPr w:rsidR="00547CB2" w:rsidRPr="00441BB6" w:rsidSect="00F646E5">
      <w:headerReference w:type="default" r:id="rId13"/>
      <w:footerReference w:type="default" r:id="rId14"/>
      <w:pgSz w:w="12240" w:h="15840"/>
      <w:pgMar w:top="1440" w:right="1440" w:bottom="1053" w:left="1440" w:header="720"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 w:author="Justin Berger" w:date="2020-11-24T19:16:00Z" w:initials="JB">
    <w:p w14:paraId="15D0FC17" w14:textId="4AD7DF2E" w:rsidR="00D9617B" w:rsidRDefault="00D9617B">
      <w:pPr>
        <w:pStyle w:val="CommentText"/>
      </w:pPr>
      <w:r>
        <w:rPr>
          <w:rStyle w:val="CommentReference"/>
        </w:rPr>
        <w:annotationRef/>
      </w:r>
      <w:r>
        <w:t xml:space="preserve">This would be for a more private communication (e.g., having to do with a client). If the letter </w:t>
      </w:r>
      <w:r w:rsidR="000A3771">
        <w:t xml:space="preserve">that </w:t>
      </w:r>
      <w:r>
        <w:t xml:space="preserve">I was citing did not belong to a client, I would </w:t>
      </w:r>
      <w:r w:rsidR="007B6C71">
        <w:t>provide a Perma.cc link rather than “(on file with author).”</w:t>
      </w:r>
    </w:p>
  </w:comment>
  <w:comment w:id="50" w:author="Justin Berger" w:date="2021-11-04T15:34:00Z" w:initials="JB">
    <w:p w14:paraId="32CE0946" w14:textId="53C4FC5F" w:rsidR="00164055" w:rsidRDefault="00164055">
      <w:pPr>
        <w:pStyle w:val="CommentText"/>
      </w:pPr>
      <w:r>
        <w:rPr>
          <w:rStyle w:val="CommentReference"/>
        </w:rPr>
        <w:annotationRef/>
      </w:r>
      <w:r>
        <w:t>Exclude the carrots.</w:t>
      </w:r>
    </w:p>
  </w:comment>
  <w:comment w:id="51" w:author="Justin Berger" w:date="2021-11-04T15:36:00Z" w:initials="JB">
    <w:p w14:paraId="10768961" w14:textId="3ACA9BDE" w:rsidR="00164055" w:rsidRDefault="00164055">
      <w:pPr>
        <w:pStyle w:val="CommentText"/>
      </w:pPr>
      <w:r>
        <w:rPr>
          <w:rStyle w:val="CommentReference"/>
        </w:rPr>
        <w:annotationRef/>
      </w:r>
      <w:r>
        <w:t>Exclude the carrots.</w:t>
      </w:r>
    </w:p>
  </w:comment>
  <w:comment w:id="69" w:author="Justin C. Berger" w:date="2021-04-08T15:54:00Z" w:initials="JCB">
    <w:p w14:paraId="2CFBEB14" w14:textId="60FA33B4" w:rsidR="009F6A0B" w:rsidRDefault="009F6A0B">
      <w:pPr>
        <w:pStyle w:val="CommentText"/>
      </w:pPr>
      <w:r>
        <w:rPr>
          <w:rStyle w:val="CommentReference"/>
        </w:rPr>
        <w:annotationRef/>
      </w:r>
      <w:r>
        <w:t>Fix citation.</w:t>
      </w:r>
    </w:p>
  </w:comment>
  <w:comment w:id="71" w:author="Justin C. Berger" w:date="2021-08-15T19:11:00Z" w:initials="JCB">
    <w:p w14:paraId="0872C0D9" w14:textId="174ADA5F" w:rsidR="001C39C8" w:rsidRDefault="001C39C8">
      <w:pPr>
        <w:pStyle w:val="CommentText"/>
      </w:pPr>
      <w:r>
        <w:rPr>
          <w:rStyle w:val="CommentReference"/>
        </w:rPr>
        <w:annotationRef/>
      </w:r>
      <w:r>
        <w:t xml:space="preserve">Before I could publish this, I </w:t>
      </w:r>
      <w:r w:rsidR="00C245FC">
        <w:t>might</w:t>
      </w:r>
      <w:r>
        <w:t xml:space="preserve"> need to change this up to avoid copyright infringement.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D0FC17" w15:done="0"/>
  <w15:commentEx w15:paraId="32CE0946" w15:done="0"/>
  <w15:commentEx w15:paraId="10768961" w15:done="0"/>
  <w15:commentEx w15:paraId="2CFBEB14" w15:done="0"/>
  <w15:commentEx w15:paraId="0872C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67DA78" w16cex:dateUtc="2020-11-25T00:16:00Z"/>
  <w16cex:commentExtensible w16cex:durableId="252E7C23" w16cex:dateUtc="2021-11-04T19:34:00Z"/>
  <w16cex:commentExtensible w16cex:durableId="252E7C89" w16cex:dateUtc="2021-11-04T19:36:00Z"/>
  <w16cex:commentExtensible w16cex:durableId="2419A5B6" w16cex:dateUtc="2021-04-08T19:54:00Z"/>
  <w16cex:commentExtensible w16cex:durableId="24C3E544" w16cex:dateUtc="2021-08-15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D0FC17" w16cid:durableId="2367DA78"/>
  <w16cid:commentId w16cid:paraId="32CE0946" w16cid:durableId="252E7C23"/>
  <w16cid:commentId w16cid:paraId="10768961" w16cid:durableId="252E7C89"/>
  <w16cid:commentId w16cid:paraId="2CFBEB14" w16cid:durableId="2419A5B6"/>
  <w16cid:commentId w16cid:paraId="0872C0D9" w16cid:durableId="24C3E5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4A36B" w14:textId="77777777" w:rsidR="00A62131" w:rsidRDefault="00A62131" w:rsidP="004F113A">
      <w:r>
        <w:separator/>
      </w:r>
    </w:p>
  </w:endnote>
  <w:endnote w:type="continuationSeparator" w:id="0">
    <w:p w14:paraId="5B2C4495" w14:textId="77777777" w:rsidR="00A62131" w:rsidRDefault="00A62131" w:rsidP="004F113A">
      <w:r>
        <w:continuationSeparator/>
      </w:r>
    </w:p>
  </w:endnote>
  <w:endnote w:type="continuationNotice" w:id="1">
    <w:p w14:paraId="33F246D9" w14:textId="77777777" w:rsidR="00A62131" w:rsidRDefault="00A62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Body)">
    <w:panose1 w:val="020B0604020202020204"/>
    <w:charset w:val="00"/>
    <w:family w:val="roman"/>
    <w:pitch w:val="default"/>
  </w:font>
  <w:font w:name="Times New Roman (Body CS)">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Carlito">
    <w:panose1 w:val="020F0502020204030204"/>
    <w:charset w:val="00"/>
    <w:family w:val="swiss"/>
    <w:pitch w:val="variable"/>
    <w:sig w:usb0="E10002FF" w:usb1="5000ECFF" w:usb2="00000009" w:usb3="00000000" w:csb0="0000019F" w:csb1="00000000"/>
  </w:font>
  <w:font w:name="Alegreya Sans SC">
    <w:panose1 w:val="00000500000000000000"/>
    <w:charset w:val="4D"/>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FC42" w14:textId="46F0151D" w:rsidR="005B433C" w:rsidRPr="009B6C9C" w:rsidRDefault="009B6C9C" w:rsidP="009B6C9C">
    <w:pPr>
      <w:pStyle w:val="Footer"/>
      <w:jc w:val="center"/>
      <w:rPr>
        <w:rFonts w:ascii="Georgia" w:hAnsi="Georgia"/>
        <w:i/>
        <w:iCs/>
        <w:sz w:val="20"/>
        <w:szCs w:val="20"/>
      </w:rPr>
    </w:pPr>
    <w:r w:rsidRPr="009B6C9C">
      <w:rPr>
        <w:rFonts w:ascii="Georgia" w:hAnsi="Georgia" w:cs="Times New Roman"/>
        <w:i/>
        <w:iCs/>
        <w:sz w:val="20"/>
        <w:szCs w:val="20"/>
      </w:rPr>
      <w:t xml:space="preserve">Page </w:t>
    </w:r>
    <w:r w:rsidRPr="009B6C9C">
      <w:rPr>
        <w:rFonts w:ascii="Georgia" w:hAnsi="Georgia" w:cs="Times New Roman"/>
        <w:i/>
        <w:iCs/>
        <w:sz w:val="20"/>
        <w:szCs w:val="20"/>
      </w:rPr>
      <w:fldChar w:fldCharType="begin"/>
    </w:r>
    <w:r w:rsidRPr="009B6C9C">
      <w:rPr>
        <w:rFonts w:ascii="Georgia" w:hAnsi="Georgia" w:cs="Times New Roman"/>
        <w:i/>
        <w:iCs/>
        <w:sz w:val="20"/>
        <w:szCs w:val="20"/>
      </w:rPr>
      <w:instrText xml:space="preserve"> PAGE </w:instrText>
    </w:r>
    <w:r w:rsidRPr="009B6C9C">
      <w:rPr>
        <w:rFonts w:ascii="Georgia" w:hAnsi="Georgia" w:cs="Times New Roman"/>
        <w:i/>
        <w:iCs/>
        <w:sz w:val="20"/>
        <w:szCs w:val="20"/>
      </w:rPr>
      <w:fldChar w:fldCharType="separate"/>
    </w:r>
    <w:r w:rsidRPr="009B6C9C">
      <w:rPr>
        <w:rFonts w:ascii="Georgia" w:hAnsi="Georgia" w:cs="Times New Roman"/>
        <w:i/>
        <w:iCs/>
        <w:noProof/>
        <w:sz w:val="20"/>
        <w:szCs w:val="20"/>
      </w:rPr>
      <w:t>2</w:t>
    </w:r>
    <w:r w:rsidRPr="009B6C9C">
      <w:rPr>
        <w:rFonts w:ascii="Georgia" w:hAnsi="Georgia" w:cs="Times New Roman"/>
        <w:i/>
        <w:iCs/>
        <w:sz w:val="20"/>
        <w:szCs w:val="20"/>
      </w:rPr>
      <w:fldChar w:fldCharType="end"/>
    </w:r>
    <w:r w:rsidRPr="009B6C9C">
      <w:rPr>
        <w:rFonts w:ascii="Georgia" w:hAnsi="Georgia" w:cs="Times New Roman"/>
        <w:i/>
        <w:iCs/>
        <w:sz w:val="20"/>
        <w:szCs w:val="20"/>
      </w:rPr>
      <w:t xml:space="preserve"> of </w:t>
    </w:r>
    <w:r w:rsidRPr="009B6C9C">
      <w:rPr>
        <w:rFonts w:ascii="Georgia" w:hAnsi="Georgia" w:cs="Times New Roman"/>
        <w:i/>
        <w:iCs/>
        <w:sz w:val="20"/>
        <w:szCs w:val="20"/>
      </w:rPr>
      <w:fldChar w:fldCharType="begin"/>
    </w:r>
    <w:r w:rsidRPr="009B6C9C">
      <w:rPr>
        <w:rFonts w:ascii="Georgia" w:hAnsi="Georgia" w:cs="Times New Roman"/>
        <w:i/>
        <w:iCs/>
        <w:sz w:val="20"/>
        <w:szCs w:val="20"/>
      </w:rPr>
      <w:instrText xml:space="preserve"> NUMPAGES </w:instrText>
    </w:r>
    <w:r w:rsidRPr="009B6C9C">
      <w:rPr>
        <w:rFonts w:ascii="Georgia" w:hAnsi="Georgia" w:cs="Times New Roman"/>
        <w:i/>
        <w:iCs/>
        <w:sz w:val="20"/>
        <w:szCs w:val="20"/>
      </w:rPr>
      <w:fldChar w:fldCharType="separate"/>
    </w:r>
    <w:r w:rsidRPr="009B6C9C">
      <w:rPr>
        <w:rFonts w:ascii="Georgia" w:hAnsi="Georgia" w:cs="Times New Roman"/>
        <w:i/>
        <w:iCs/>
        <w:noProof/>
        <w:sz w:val="20"/>
        <w:szCs w:val="20"/>
      </w:rPr>
      <w:t>4</w:t>
    </w:r>
    <w:r w:rsidRPr="009B6C9C">
      <w:rPr>
        <w:rFonts w:ascii="Georgia" w:hAnsi="Georgia" w:cs="Times New Roman"/>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F1757" w14:textId="77777777" w:rsidR="00A62131" w:rsidRDefault="00A62131" w:rsidP="004F113A">
      <w:r>
        <w:separator/>
      </w:r>
    </w:p>
  </w:footnote>
  <w:footnote w:type="continuationSeparator" w:id="0">
    <w:p w14:paraId="4AFA80A1" w14:textId="77777777" w:rsidR="00A62131" w:rsidRDefault="00A62131" w:rsidP="004F113A">
      <w:r>
        <w:continuationSeparator/>
      </w:r>
    </w:p>
  </w:footnote>
  <w:footnote w:type="continuationNotice" w:id="1">
    <w:p w14:paraId="460637D8" w14:textId="77777777" w:rsidR="00A62131" w:rsidRDefault="00A62131"/>
  </w:footnote>
  <w:footnote w:id="2">
    <w:p w14:paraId="0BC98F6B" w14:textId="600A1FBC" w:rsidR="00146B7D" w:rsidRDefault="00146B7D">
      <w:pPr>
        <w:pStyle w:val="FootnoteText"/>
      </w:pPr>
      <w:r w:rsidRPr="00755452">
        <w:rPr>
          <w:rStyle w:val="FootnoteReference"/>
        </w:rPr>
        <w:footnoteRef/>
      </w:r>
      <w:r>
        <w:t xml:space="preserve"> </w:t>
      </w:r>
      <w:r>
        <w:fldChar w:fldCharType="begin"/>
      </w:r>
      <w:r w:rsidR="006223EF">
        <w:instrText xml:space="preserve"> ADDIN ZOTERO_ITEM CSL_CITATION {"citationID":"wYVHhZuX","properties":{"formattedCitation":"T12. Months, {\\scaps The Bluebook: A Uniform System of Citation}, 510 (Harvard Law Review Association et al. eds., Twentieth Edition ed. 2016).","plainCitation":"T12. Months, The Bluebook: A Uniform System of Citation, 510 (Harvard Law Review Association et al. eds., Twentieth Edition ed. 2016).","noteIndex":1},"citationItems":[{"id":5371,"uris":["http://zotero.org/groups/2385044/items/XZKEJS4J"],"itemData":{"id":5371,"type":"book","edition":"Twentieth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Journal"}],"issued":{"date-parts":[["2016"]]}},"locator":"510","prefix":"T12. Months,"}],"schema":"https://github.com/citation-style-language/schema/raw/master/csl-citation.json"} </w:instrText>
      </w:r>
      <w:r>
        <w:fldChar w:fldCharType="separate"/>
      </w:r>
      <w:r w:rsidR="006223EF" w:rsidRPr="006223EF">
        <w:rPr>
          <w:rFonts w:ascii="Calibri" w:cs="Calibri"/>
        </w:rPr>
        <w:t xml:space="preserve">T12. Months, </w:t>
      </w:r>
      <w:r w:rsidR="006223EF" w:rsidRPr="006223EF">
        <w:rPr>
          <w:rFonts w:ascii="Calibri" w:cs="Calibri"/>
          <w:smallCaps/>
        </w:rPr>
        <w:t>The Bluebook: A Uniform System of Citation</w:t>
      </w:r>
      <w:r w:rsidR="006223EF" w:rsidRPr="006223EF">
        <w:rPr>
          <w:rFonts w:ascii="Calibri" w:cs="Calibri"/>
        </w:rPr>
        <w:t>, 510 (Harvard Law Review Association et al. eds., Twentieth Edition ed. 2016).</w:t>
      </w:r>
      <w:r>
        <w:fldChar w:fldCharType="end"/>
      </w:r>
    </w:p>
  </w:footnote>
  <w:footnote w:id="3">
    <w:p w14:paraId="6DBF7183" w14:textId="6E1B7DAE" w:rsidR="00D36FD8" w:rsidRDefault="00D36FD8">
      <w:pPr>
        <w:pStyle w:val="FootnoteText"/>
      </w:pPr>
      <w:r w:rsidRPr="00755452">
        <w:rPr>
          <w:rStyle w:val="FootnoteReference"/>
        </w:rPr>
        <w:footnoteRef/>
      </w:r>
      <w:r>
        <w:t xml:space="preserve"> </w:t>
      </w:r>
      <w:r>
        <w:fldChar w:fldCharType="begin"/>
      </w:r>
      <w:r w:rsidR="006223EF">
        <w:instrText xml:space="preserve"> ADDIN ZOTERO_ITEM CSL_CITATION {"citationID":"4ohOAW3s","properties":{"formattedCitation":"Peter W. Martin, {\\i{}Georgia Judicial Opinions} {\\scaps Basic Legal Citation}, https://www.law.cornell.edu/citation/3-200#3-210_Georgia [https://web.archive.org/web/20210115022443/https://www.law.cornell.edu/citation/3-200#3-210_Georgia] (last visited Jan 14, 2021).","plainCitation":"Peter W. Martin, Georgia Judicial Opinions Basic Legal Citation, https://www.law.cornell.edu/citation/3-200#3-210_Georgia [https://web.archive.org/web/20210115022443/https://www.law.cornell.edu/citation/3-200#3-210_Georgia] (last visited Jan 14, 2021).","noteIndex":2},"citationItems":[{"id":5659,"uris":["http://zotero.org/groups/2385044/items/Y8CE59HE"],"itemData":{"id":5659,"type":"webpage","container-title":"Basic Legal Citation","language":"en-US","title":"Georgia Judicial Opinions","URL":"https://www.law.cornell.edu/citation/3-200#3-210_Georgia [https://web.archive.org/web/20210115022443/https://www.law.cornell.edu/citation/3-200#3-210_Georgia]","author":[{"literal":"Peter W. Martin"}],"accessed":{"date-parts":[["2021",1,14]]}}}],"schema":"https://github.com/citation-style-language/schema/raw/master/csl-citation.json"} </w:instrText>
      </w:r>
      <w:r>
        <w:fldChar w:fldCharType="separate"/>
      </w:r>
      <w:r w:rsidR="006223EF" w:rsidRPr="006223EF">
        <w:rPr>
          <w:rFonts w:ascii="Calibri" w:cs="Calibri"/>
        </w:rPr>
        <w:t xml:space="preserve">Peter W. Martin, </w:t>
      </w:r>
      <w:r w:rsidR="006223EF" w:rsidRPr="006223EF">
        <w:rPr>
          <w:rFonts w:ascii="Calibri" w:cs="Calibri"/>
          <w:i/>
          <w:iCs/>
        </w:rPr>
        <w:t>Georgia Judicial Opinions</w:t>
      </w:r>
      <w:r w:rsidR="006223EF" w:rsidRPr="006223EF">
        <w:rPr>
          <w:rFonts w:ascii="Calibri" w:cs="Calibri"/>
        </w:rPr>
        <w:t xml:space="preserve"> </w:t>
      </w:r>
      <w:r w:rsidR="006223EF" w:rsidRPr="006223EF">
        <w:rPr>
          <w:rFonts w:ascii="Calibri" w:cs="Calibri"/>
          <w:smallCaps/>
        </w:rPr>
        <w:t>Basic Legal Citation</w:t>
      </w:r>
      <w:r w:rsidR="006223EF" w:rsidRPr="006223EF">
        <w:rPr>
          <w:rFonts w:ascii="Calibri" w:cs="Calibri"/>
        </w:rPr>
        <w:t>, https://www.law.cornell.edu/citation/3-200#3-210_Georgia [https://web.archive.org/web/20210115022443/https://www.law.cornell.edu/citation/3-200#3-210_Georgia] (last visited Jan 14, 2021).</w:t>
      </w:r>
      <w:r>
        <w:fldChar w:fldCharType="end"/>
      </w:r>
    </w:p>
  </w:footnote>
  <w:footnote w:id="4">
    <w:p w14:paraId="6E398A64" w14:textId="775D99D7" w:rsidR="007B75BA" w:rsidRDefault="007B75BA">
      <w:pPr>
        <w:pStyle w:val="FootnoteText"/>
      </w:pPr>
      <w:r>
        <w:rPr>
          <w:rStyle w:val="FootnoteReference"/>
        </w:rPr>
        <w:footnoteRef/>
      </w:r>
      <w:r>
        <w:t xml:space="preserve"> </w:t>
      </w:r>
      <w:r>
        <w:fldChar w:fldCharType="begin"/>
      </w:r>
      <w:r w:rsidR="006223EF">
        <w:instrText xml:space="preserve"> ADDIN ZOTERO_ITEM CSL_CITATION {"citationID":"uYAEw2Sd","properties":{"formattedCitation":"{\\scaps The Bluebook (20e)}, {\\i{}supra} note 1 at 106 \\uc0\\u8211{} 07 (Rule 10.5).","plainCitation":"The Bluebook (20e), supra note 1 at 106 – 07 (Rule 10.5).","noteIndex":3},"citationItems":[{"id":5371,"uris":["http://zotero.org/groups/2385044/items/XZKEJS4J"],"itemData":{"id":5371,"type":"book","edition":"Twentieth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Journal"}],"issued":{"date-parts":[["2016"]]}},"locator":"106 – 07","label":"page","suffix":"(Rule 10.5)"}],"schema":"https://github.com/citation-style-language/schema/raw/master/csl-citation.json"} </w:instrText>
      </w:r>
      <w:r>
        <w:fldChar w:fldCharType="separate"/>
      </w:r>
      <w:r w:rsidR="006223EF" w:rsidRPr="006223EF">
        <w:rPr>
          <w:rFonts w:ascii="Calibri" w:hAnsi="Calibri" w:cs="Calibri"/>
          <w:smallCaps/>
        </w:rPr>
        <w:t>The Bluebook (20e)</w:t>
      </w:r>
      <w:r w:rsidR="006223EF" w:rsidRPr="006223EF">
        <w:rPr>
          <w:rFonts w:ascii="Calibri" w:hAnsi="Calibri" w:cs="Calibri"/>
        </w:rPr>
        <w:t xml:space="preserve">, </w:t>
      </w:r>
      <w:r w:rsidR="006223EF" w:rsidRPr="006223EF">
        <w:rPr>
          <w:rFonts w:ascii="Calibri" w:hAnsi="Calibri" w:cs="Calibri"/>
          <w:i/>
          <w:iCs/>
        </w:rPr>
        <w:t>supra</w:t>
      </w:r>
      <w:r w:rsidR="006223EF" w:rsidRPr="006223EF">
        <w:rPr>
          <w:rFonts w:ascii="Calibri" w:hAnsi="Calibri" w:cs="Calibri"/>
        </w:rPr>
        <w:t xml:space="preserve"> note 1 at 106 – 07 (Rule 10.5).</w:t>
      </w:r>
      <w:r>
        <w:fldChar w:fldCharType="end"/>
      </w:r>
    </w:p>
  </w:footnote>
  <w:footnote w:id="5">
    <w:p w14:paraId="7C7769C4" w14:textId="62AA5564" w:rsidR="002E2D51" w:rsidRDefault="002E2D51">
      <w:pPr>
        <w:pStyle w:val="FootnoteText"/>
      </w:pPr>
      <w:r w:rsidRPr="00755452">
        <w:rPr>
          <w:rStyle w:val="FootnoteReference"/>
        </w:rPr>
        <w:footnoteRef/>
      </w:r>
      <w:r>
        <w:t xml:space="preserve"> </w:t>
      </w:r>
      <w:r>
        <w:fldChar w:fldCharType="begin"/>
      </w:r>
      <w:r w:rsidR="006223EF">
        <w:instrText xml:space="preserve"> ADDIN ZOTERO_ITEM CSL_CITATION {"citationID":"3MehHd21","properties":{"formattedCitation":"{\\i{}Id.} at 172. (Rule 17.1).","plainCitation":"Id. at 172. (Rule 17.1).","noteIndex":4},"citationItems":[{"id":5371,"uris":["http://zotero.org/groups/2385044/items/XZKEJS4J"],"itemData":{"id":5371,"type":"book","edition":"Twentieth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Journal"}],"issued":{"date-parts":[["2016"]]}},"locator":"172","label":"page","suffix":"(Rule 17.1)"}],"schema":"https://github.com/citation-style-language/schema/raw/master/csl-citation.json"} </w:instrText>
      </w:r>
      <w:r>
        <w:fldChar w:fldCharType="separate"/>
      </w:r>
      <w:r w:rsidR="006223EF" w:rsidRPr="006223EF">
        <w:rPr>
          <w:rFonts w:ascii="Calibri" w:cs="Calibri"/>
          <w:i/>
          <w:iCs/>
        </w:rPr>
        <w:t>Id.</w:t>
      </w:r>
      <w:r w:rsidR="006223EF" w:rsidRPr="006223EF">
        <w:rPr>
          <w:rFonts w:ascii="Calibri" w:cs="Calibri"/>
        </w:rPr>
        <w:t xml:space="preserve"> at 172. (Rule 17.1).</w:t>
      </w:r>
      <w:r>
        <w:fldChar w:fldCharType="end"/>
      </w:r>
    </w:p>
  </w:footnote>
  <w:footnote w:id="6">
    <w:p w14:paraId="0FECF659" w14:textId="0777150F" w:rsidR="00121834" w:rsidRDefault="00121834">
      <w:pPr>
        <w:pStyle w:val="FootnoteText"/>
      </w:pPr>
      <w:r w:rsidRPr="00755452">
        <w:rPr>
          <w:rStyle w:val="FootnoteReference"/>
        </w:rPr>
        <w:footnoteRef/>
      </w:r>
      <w:r>
        <w:t xml:space="preserve"> </w:t>
      </w:r>
      <w:r>
        <w:fldChar w:fldCharType="begin"/>
      </w:r>
      <w:r w:rsidR="006223EF">
        <w:instrText xml:space="preserve"> ADDIN ZOTERO_ITEM CSL_CITATION {"citationID":"nSkxfoTd","properties":{"formattedCitation":"See {\\i{}Id.} at 173 (Rule 17.2.3).","plainCitation":"See Id. at 173 (Rule 17.2.3).","noteIndex":5},"citationItems":[{"id":5371,"uris":["http://zotero.org/groups/2385044/items/XZKEJS4J"],"itemData":{"id":5371,"type":"book","edition":"Twentieth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Journal"}],"issued":{"date-parts":[["2016"]]}},"locator":"173 (Rule 17.2.3)","prefix":"See"}],"schema":"https://github.com/citation-style-language/schema/raw/master/csl-citation.json"} </w:instrText>
      </w:r>
      <w:r>
        <w:fldChar w:fldCharType="separate"/>
      </w:r>
      <w:r w:rsidR="006223EF" w:rsidRPr="006223EF">
        <w:rPr>
          <w:rFonts w:ascii="Calibri" w:cs="Calibri"/>
        </w:rPr>
        <w:t xml:space="preserve">See </w:t>
      </w:r>
      <w:r w:rsidR="006223EF" w:rsidRPr="006223EF">
        <w:rPr>
          <w:rFonts w:ascii="Calibri" w:cs="Calibri"/>
          <w:i/>
          <w:iCs/>
        </w:rPr>
        <w:t>Id.</w:t>
      </w:r>
      <w:r w:rsidR="006223EF" w:rsidRPr="006223EF">
        <w:rPr>
          <w:rFonts w:ascii="Calibri" w:cs="Calibri"/>
        </w:rPr>
        <w:t xml:space="preserve"> at 173 (Rule 17.2.3).</w:t>
      </w:r>
      <w:r>
        <w:fldChar w:fldCharType="end"/>
      </w:r>
    </w:p>
  </w:footnote>
  <w:footnote w:id="7">
    <w:p w14:paraId="73ABCFAA" w14:textId="31C2D47D" w:rsidR="00497AF3" w:rsidRDefault="00497AF3">
      <w:pPr>
        <w:pStyle w:val="FootnoteText"/>
      </w:pPr>
      <w:r w:rsidRPr="00755452">
        <w:rPr>
          <w:rStyle w:val="FootnoteReference"/>
        </w:rPr>
        <w:footnoteRef/>
      </w:r>
      <w:r>
        <w:t xml:space="preserve"> </w:t>
      </w:r>
      <w:r>
        <w:fldChar w:fldCharType="begin"/>
      </w:r>
      <w:r w:rsidR="006223EF">
        <w:instrText xml:space="preserve"> ADDIN ZOTERO_ITEM CSL_CITATION {"citationID":"iMagScdd","properties":{"formattedCitation":"Quick Style Guide | The Bluebook Online, {\\scaps The Bluebook}, https://www.legalbluebook.com/bluebook/v21/quick-style-guide [https://perma.cc/GH86-2Z3F] (last visited Sep 1, 2022).","plainCitation":"Quick Style Guide | The Bluebook Online, The Bluebook, https://www.legalbluebook.com/bluebook/v21/quick-style-guide [https://perma.cc/GH86-2Z3F] (last visited Sep 1, 2022).","noteIndex":6},"citationItems":[{"id":6062,"uris":["http://zotero.org/groups/2385044/items/BF5EPA96"],"itemData":{"id":6062,"type":"webpage","abstract":"Generations of law students, lawyers, scholars, judges, and other legal professionals have relied on The Bluebook's unique system of citation in their writing.","container-title":"The Bluebook","language":"en","title":"Quick Style Guide | The Bluebook Online","URL":"https://www.legalbluebook.com/bluebook/v21/quick-style-guide [https://perma.cc/GH86-2Z3F]","accessed":{"date-parts":[["2022",9,1]]}},"label":"page"}],"schema":"https://github.com/citation-style-language/schema/raw/master/csl-citation.json"} </w:instrText>
      </w:r>
      <w:r>
        <w:fldChar w:fldCharType="separate"/>
      </w:r>
      <w:r w:rsidR="006223EF" w:rsidRPr="006223EF">
        <w:rPr>
          <w:rFonts w:ascii="Calibri" w:cs="Calibri"/>
        </w:rPr>
        <w:t xml:space="preserve">Quick Style Guide | The Bluebook Online, </w:t>
      </w:r>
      <w:r w:rsidR="006223EF" w:rsidRPr="006223EF">
        <w:rPr>
          <w:rFonts w:ascii="Calibri" w:cs="Calibri"/>
          <w:smallCaps/>
        </w:rPr>
        <w:t>The Bluebook</w:t>
      </w:r>
      <w:r w:rsidR="006223EF" w:rsidRPr="006223EF">
        <w:rPr>
          <w:rFonts w:ascii="Calibri" w:cs="Calibri"/>
        </w:rPr>
        <w:t>, https://www.legalbluebook.com/bluebook/v21/quick-style-guide [https://perma.cc/GH86-2Z3F] (last visited Sep 1, 2022).</w:t>
      </w:r>
      <w:r>
        <w:fldChar w:fldCharType="end"/>
      </w:r>
    </w:p>
  </w:footnote>
  <w:footnote w:id="8">
    <w:p w14:paraId="374589C3" w14:textId="0E9A3903" w:rsidR="00497AF3" w:rsidRDefault="00497AF3">
      <w:pPr>
        <w:pStyle w:val="FootnoteText"/>
      </w:pPr>
      <w:r w:rsidRPr="00755452">
        <w:rPr>
          <w:rStyle w:val="FootnoteReference"/>
        </w:rPr>
        <w:footnoteRef/>
      </w:r>
      <w:r>
        <w:t xml:space="preserve"> </w:t>
      </w:r>
      <w:r>
        <w:fldChar w:fldCharType="begin"/>
      </w:r>
      <w:r w:rsidR="006223EF">
        <w:instrText xml:space="preserve"> ADDIN ZOTERO_ITEM CSL_CITATION {"citationID":"WajYC1gF","properties":{"formattedCitation":"{\\i{}Id.}","plainCitation":"Id.","noteIndex":7},"citationItems":[{"id":6062,"uris":["http://zotero.org/groups/2385044/items/BF5EPA96"],"itemData":{"id":6062,"type":"webpage","abstract":"Generations of law students, lawyers, scholars, judges, and other legal professionals have relied on The Bluebook's unique system of citation in their writing.","container-title":"The Bluebook","language":"en","title":"Quick Style Guide | The Bluebook Online","URL":"https://www.legalbluebook.com/bluebook/v21/quick-style-guide [https://perma.cc/GH86-2Z3F]","accessed":{"date-parts":[["2022",9,1]]}}}],"schema":"https://github.com/citation-style-language/schema/raw/master/csl-citation.json"} </w:instrText>
      </w:r>
      <w:r>
        <w:fldChar w:fldCharType="separate"/>
      </w:r>
      <w:r w:rsidR="006223EF" w:rsidRPr="006223EF">
        <w:rPr>
          <w:rFonts w:ascii="Calibri" w:cs="Calibri"/>
          <w:i/>
          <w:iCs/>
        </w:rPr>
        <w:t>Id.</w:t>
      </w:r>
      <w:r>
        <w:fldChar w:fldCharType="end"/>
      </w:r>
    </w:p>
  </w:footnote>
  <w:footnote w:id="9">
    <w:p w14:paraId="38203AB7" w14:textId="11424A6B" w:rsidR="00497AF3" w:rsidRDefault="00497AF3">
      <w:pPr>
        <w:pStyle w:val="FootnoteText"/>
      </w:pPr>
      <w:r w:rsidRPr="00755452">
        <w:rPr>
          <w:rStyle w:val="FootnoteReference"/>
        </w:rPr>
        <w:footnoteRef/>
      </w:r>
      <w:r>
        <w:t xml:space="preserve"> </w:t>
      </w:r>
      <w:r>
        <w:fldChar w:fldCharType="begin"/>
      </w:r>
      <w:r w:rsidR="006223EF">
        <w:instrText xml:space="preserve"> ADDIN ZOTERO_ITEM CSL_CITATION {"citationID":"TAEnCQSc","properties":{"formattedCitation":"{\\i{}Id.}","plainCitation":"Id.","noteIndex":8},"citationItems":[{"id":6062,"uris":["http://zotero.org/groups/2385044/items/BF5EPA96"],"itemData":{"id":6062,"type":"webpage","abstract":"Generations of law students, lawyers, scholars, judges, and other legal professionals have relied on The Bluebook's unique system of citation in their writing.","container-title":"The Bluebook","language":"en","title":"Quick Style Guide | The Bluebook Online","URL":"https://www.legalbluebook.com/bluebook/v21/quick-style-guide [https://perma.cc/GH86-2Z3F]","accessed":{"date-parts":[["2022",9,1]]}}}],"schema":"https://github.com/citation-style-language/schema/raw/master/csl-citation.json"} </w:instrText>
      </w:r>
      <w:r>
        <w:fldChar w:fldCharType="separate"/>
      </w:r>
      <w:r w:rsidR="006223EF" w:rsidRPr="006223EF">
        <w:rPr>
          <w:rFonts w:ascii="Calibri" w:cs="Calibri"/>
          <w:i/>
          <w:iCs/>
        </w:rPr>
        <w:t>Id.</w:t>
      </w:r>
      <w:r>
        <w:fldChar w:fldCharType="end"/>
      </w:r>
    </w:p>
  </w:footnote>
  <w:footnote w:id="10">
    <w:p w14:paraId="7A0142AE" w14:textId="635FE1B3" w:rsidR="00393789" w:rsidRDefault="00393789">
      <w:pPr>
        <w:pStyle w:val="FootnoteText"/>
      </w:pPr>
      <w:r>
        <w:rPr>
          <w:rStyle w:val="FootnoteReference"/>
        </w:rPr>
        <w:footnoteRef/>
      </w:r>
      <w:r>
        <w:t xml:space="preserve"> </w:t>
      </w:r>
      <w:r>
        <w:fldChar w:fldCharType="begin"/>
      </w:r>
      <w:r w:rsidR="006223EF">
        <w:instrText xml:space="preserve"> ADDIN ZOTERO_ITEM CSL_CITATION {"citationID":"8ZFJfr4B","properties":{"formattedCitation":"{\\scaps The Bluebook (20e)}, {\\i{}supra} note 1 at 240.","plainCitation":"The Bluebook (20e), supra note 1 at 240.","noteIndex":9},"citationItems":[{"id":5371,"uris":["http://zotero.org/groups/2385044/items/XZKEJS4J"],"itemData":{"id":5371,"type":"book","edition":"Twentieth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Journal"}],"issued":{"date-parts":[["2016"]]}},"locator":"240","label":"page"}],"schema":"https://github.com/citation-style-language/schema/raw/master/csl-citation.json"} </w:instrText>
      </w:r>
      <w:r>
        <w:fldChar w:fldCharType="separate"/>
      </w:r>
      <w:r w:rsidR="006223EF" w:rsidRPr="006223EF">
        <w:rPr>
          <w:rFonts w:ascii="Calibri" w:cs="Calibri"/>
          <w:smallCaps/>
        </w:rPr>
        <w:t>The Bluebook (20e)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1 at 240.</w:t>
      </w:r>
      <w:r>
        <w:fldChar w:fldCharType="end"/>
      </w:r>
    </w:p>
  </w:footnote>
  <w:footnote w:id="11">
    <w:p w14:paraId="775F5217" w14:textId="5C83FA2C" w:rsidR="00B63F53" w:rsidRDefault="00B63F53">
      <w:pPr>
        <w:pStyle w:val="FootnoteText"/>
      </w:pPr>
      <w:r w:rsidRPr="00755452">
        <w:rPr>
          <w:rStyle w:val="FootnoteReference"/>
        </w:rPr>
        <w:footnoteRef/>
      </w:r>
      <w:r>
        <w:t xml:space="preserve"> Bluebook Rule 17.2.5.</w:t>
      </w:r>
    </w:p>
  </w:footnote>
  <w:footnote w:id="12">
    <w:p w14:paraId="238C27E4" w14:textId="6F2367CF" w:rsidR="00B63F53" w:rsidRDefault="00B63F53">
      <w:pPr>
        <w:pStyle w:val="FootnoteText"/>
      </w:pPr>
      <w:r w:rsidRPr="00755452">
        <w:rPr>
          <w:rStyle w:val="FootnoteReference"/>
        </w:rPr>
        <w:footnoteRef/>
      </w:r>
      <w:r>
        <w:t xml:space="preserve"> Bluebook Rule 17.2.5.</w:t>
      </w:r>
    </w:p>
  </w:footnote>
  <w:footnote w:id="13">
    <w:p w14:paraId="4293C615" w14:textId="2F650AE1" w:rsidR="004759DF" w:rsidRDefault="004759DF">
      <w:pPr>
        <w:pStyle w:val="FootnoteText"/>
      </w:pPr>
      <w:r w:rsidRPr="00755452">
        <w:rPr>
          <w:rStyle w:val="FootnoteReference"/>
        </w:rPr>
        <w:footnoteRef/>
      </w:r>
      <w:r>
        <w:t xml:space="preserve"> </w:t>
      </w:r>
      <w:r w:rsidRPr="004759DF">
        <w:t>“Inspiration” came from Rule 12.4(d) on page 126 of the 20th edition of the Bluebook.</w:t>
      </w:r>
    </w:p>
  </w:footnote>
  <w:footnote w:id="14">
    <w:p w14:paraId="7BA3943A" w14:textId="711D91F5" w:rsidR="00F60170" w:rsidRDefault="00F60170">
      <w:pPr>
        <w:pStyle w:val="FootnoteText"/>
      </w:pPr>
      <w:r w:rsidRPr="00755452">
        <w:rPr>
          <w:rStyle w:val="FootnoteReference"/>
        </w:rPr>
        <w:footnoteRef/>
      </w:r>
      <w:r>
        <w:t xml:space="preserve"> Bluebook Rule 3.3(a).</w:t>
      </w:r>
    </w:p>
  </w:footnote>
  <w:footnote w:id="15">
    <w:p w14:paraId="273091B5" w14:textId="24CB03B2" w:rsidR="003B47E4" w:rsidRDefault="003B47E4">
      <w:pPr>
        <w:pStyle w:val="FootnoteText"/>
      </w:pPr>
      <w:r w:rsidRPr="00755452">
        <w:rPr>
          <w:rStyle w:val="FootnoteReference"/>
        </w:rPr>
        <w:footnoteRef/>
      </w:r>
      <w:r>
        <w:t xml:space="preserve"> </w:t>
      </w:r>
      <w:r>
        <w:fldChar w:fldCharType="begin"/>
      </w:r>
      <w:r w:rsidR="006223EF">
        <w:instrText xml:space="preserve"> ADDIN ZOTERO_ITEM CSL_CITATION {"citationID":"23ged9sZ","properties":{"formattedCitation":"{\\scaps The Bluebook (20e)}, {\\i{}supra} note 1 at 126 (Rule 12.4[d]).","plainCitation":"The Bluebook (20e), supra note 1 at 126 (Rule 12.4[d]).","noteIndex":14},"citationItems":[{"id":5371,"uris":["http://zotero.org/groups/2385044/items/XZKEJS4J"],"itemData":{"id":5371,"type":"book","edition":"Twentieth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Journal"}],"issued":{"date-parts":[["2016"]]}},"locator":"126","label":"page","suffix":"(Rule 12.4(d))"}],"schema":"https://github.com/citation-style-language/schema/raw/master/csl-citation.json"} </w:instrText>
      </w:r>
      <w:r>
        <w:fldChar w:fldCharType="separate"/>
      </w:r>
      <w:r w:rsidR="006223EF" w:rsidRPr="006223EF">
        <w:rPr>
          <w:rFonts w:ascii="Calibri" w:cs="Calibri"/>
          <w:smallCaps/>
        </w:rPr>
        <w:t>The Bluebook (20e)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1 at 126 (Rule 12.4[d]).</w:t>
      </w:r>
      <w:r>
        <w:fldChar w:fldCharType="end"/>
      </w:r>
    </w:p>
  </w:footnote>
  <w:footnote w:id="16">
    <w:p w14:paraId="2FA2A0FF" w14:textId="3B5B6D21" w:rsidR="00A51295" w:rsidRDefault="00A51295">
      <w:pPr>
        <w:pStyle w:val="FootnoteText"/>
      </w:pPr>
      <w:r w:rsidRPr="00755452">
        <w:rPr>
          <w:rStyle w:val="FootnoteReference"/>
        </w:rPr>
        <w:footnoteRef/>
      </w:r>
      <w:r>
        <w:t xml:space="preserve"> </w:t>
      </w:r>
      <w:r>
        <w:fldChar w:fldCharType="begin"/>
      </w:r>
      <w:r w:rsidR="006223EF">
        <w:instrText xml:space="preserve"> ADDIN ZOTERO_ITEM CSL_CITATION {"citationID":"X2zAWTHB","properties":{"formattedCitation":"{\\i{}Id.} at 130. (Rule 12.9.2).","plainCitation":"Id. at 130. (Rule 12.9.2).","noteIndex":15},"citationItems":[{"id":5371,"uris":["http://zotero.org/groups/2385044/items/XZKEJS4J"],"itemData":{"id":5371,"type":"book","edition":"Twentieth Edition","event-place":"Cambridge, Massachusetts","ISBN":"978-0-692-40019-7","language":"eng","note":"OCLC: ocn910917659","number-of-pages":"560","publisher":"Harvard Law Review Association","publisher-place":"Cambridge, Massachusetts","source":"Gemeinsamer Bibliotheksverbund ISBN","title":"The Bluebook: A Uniform System of Citation","title-short":"The Bluebook (20e)","editor":[{"literal":"Harvard Law Review Association"},{"literal":"Columbia Law Review"},{"literal":"University of Pennsylvania Law Review"},{"literal":"Yale Law Journal"}],"issued":{"date-parts":[["2016"]]}},"locator":"130","label":"page","suffix":"(Rule 12.9.2)"}],"schema":"https://github.com/citation-style-language/schema/raw/master/csl-citation.json"} </w:instrText>
      </w:r>
      <w:r>
        <w:fldChar w:fldCharType="separate"/>
      </w:r>
      <w:r w:rsidR="006223EF" w:rsidRPr="006223EF">
        <w:rPr>
          <w:rFonts w:ascii="Calibri" w:cs="Calibri"/>
          <w:i/>
          <w:iCs/>
        </w:rPr>
        <w:t>Id.</w:t>
      </w:r>
      <w:r w:rsidR="006223EF" w:rsidRPr="006223EF">
        <w:rPr>
          <w:rFonts w:ascii="Calibri" w:cs="Calibri"/>
        </w:rPr>
        <w:t xml:space="preserve"> at 130. (Rule 12.9.2).</w:t>
      </w:r>
      <w:r>
        <w:fldChar w:fldCharType="end"/>
      </w:r>
    </w:p>
  </w:footnote>
  <w:footnote w:id="17">
    <w:p w14:paraId="0EF45524" w14:textId="207C47ED" w:rsidR="00736084" w:rsidRDefault="00736084">
      <w:pPr>
        <w:pStyle w:val="FootnoteText"/>
      </w:pPr>
      <w:r w:rsidRPr="00755452">
        <w:rPr>
          <w:rStyle w:val="FootnoteReference"/>
        </w:rPr>
        <w:footnoteRef/>
      </w:r>
      <w:r>
        <w:t xml:space="preserve"> </w:t>
      </w:r>
      <w:r>
        <w:fldChar w:fldCharType="begin"/>
      </w:r>
      <w:r w:rsidR="007B75BA">
        <w:instrText xml:space="preserve"> ADDIN ZOTERO_ITEM CSL_CITATION {"citationID":"08HGslgz","properties":{"custom":"{\\scaps Bryan A. Garner}, {\\i{}Garner\\uc0\\u8217{}s Modern American Usage} 45 (3e 2009) (citing to the entry for \\uc0\\u8220{}and/or\\uc0\\u8221{}).","formattedCitation":"{\\scaps Bryan A. Garner}, {\\i{}Garner\\uc0\\u8217{}s Modern American Usage} 45 (3e 2009) (citing to the entry for \\uc0\\u8220{}and/or\\uc0\\u8221{}).","plainCitation":"Bryan A. Garner, Garner’s Modern American Usage 45 (3e 2009) (citing to the entry for “and/or”).","noteIndex":16},"citationItems":[{"id":5941,"uris":["http://zotero.org/groups/2385044/items/796T7M8F"],"itemData":{"id":5941,"type":"book","call-number":"PE2827 .G37 2009","edition":"3e","event-place":"New York","ISBN":"978-0-19-538275-4","number-of-pages":"942","publisher":"Oxford University Press","publisher-place":"New York","source":"Library of Congress ISBN","title":"Garner's Modern American Usage","author":[{"literal":"Bryan A. Garner"}],"issued":{"date-parts":[["2009"]]}},"locator":"45","label":"page","suffix":"(citing to the entry for \"and/or\")"}],"schema":"https://github.com/citation-style-language/schema/raw/master/csl-citation.json"} </w:instrText>
      </w:r>
      <w:r>
        <w:fldChar w:fldCharType="separate"/>
      </w:r>
      <w:r w:rsidR="006223EF" w:rsidRPr="006223EF">
        <w:rPr>
          <w:rFonts w:ascii="Calibri" w:cs="Calibri"/>
          <w:smallCaps/>
        </w:rPr>
        <w:t>Bryan A. Garner</w:t>
      </w:r>
      <w:r w:rsidR="006223EF" w:rsidRPr="006223EF">
        <w:rPr>
          <w:rFonts w:ascii="Calibri" w:cs="Calibri"/>
        </w:rPr>
        <w:t xml:space="preserve">, </w:t>
      </w:r>
      <w:r w:rsidR="006223EF" w:rsidRPr="006223EF">
        <w:rPr>
          <w:rFonts w:ascii="Calibri" w:cs="Calibri"/>
          <w:i/>
          <w:iCs/>
        </w:rPr>
        <w:t>Garner’s Modern American Usage</w:t>
      </w:r>
      <w:r w:rsidR="006223EF" w:rsidRPr="006223EF">
        <w:rPr>
          <w:rFonts w:ascii="Calibri" w:cs="Calibri"/>
        </w:rPr>
        <w:t xml:space="preserve"> 45 (3e 2009) (citing to the entry for “and/or”).</w:t>
      </w:r>
      <w:r>
        <w:fldChar w:fldCharType="end"/>
      </w:r>
    </w:p>
  </w:footnote>
  <w:footnote w:id="18">
    <w:p w14:paraId="57B0CE35" w14:textId="25491F74" w:rsidR="00A93E2E" w:rsidRDefault="00A93E2E">
      <w:pPr>
        <w:pStyle w:val="FootnoteText"/>
      </w:pPr>
      <w:r w:rsidRPr="00755452">
        <w:rPr>
          <w:rStyle w:val="FootnoteReference"/>
        </w:rPr>
        <w:footnoteRef/>
      </w:r>
      <w:r>
        <w:t xml:space="preserve"> </w:t>
      </w:r>
      <w:r>
        <w:fldChar w:fldCharType="begin"/>
      </w:r>
      <w:r w:rsidR="007B75BA">
        <w:instrText xml:space="preserve"> ADDIN ZOTERO_ITEM CSL_CITATION {"citationID":"I4dk59JO","properties":{"custom":"{\\scaps Kenneth A. Adams}, {\\i{}A Manual of Style for Contract Drafting}, Kindle locations 16332\\uc0\\u8211{}16334 (Fourth ed. 2017).","formattedCitation":"{\\scaps Kenneth A. Adams}, {\\i{}A Manual of Style for Contract Drafting}, Kindle locations 16332\\uc0\\u8211{}16334 (Fourth ed. 2017).","plainCitation":"Kenneth A. Adams, A Manual of Style for Contract Drafting, Kindle locations 16332–16334 (Fourth ed. 2017).","noteIndex":17},"citationItems":[{"id":5648,"uris":["http://zotero.org/groups/2385044/items/CIGY6XP9"],"itemData":{"id":5648,"type":"book","call-number":"KF807 .A33 2017","edition":"Fourth","event-place":"Chicago, IL","ISBN":"978-1-63425-964-4","number-of-pages":"546","publisher":"American Bar Association, Business Law Section","publisher-place":"Chicago, IL","source":"Library of Congress ISBN","title":"A Manual of Style for Contract Drafting","author":[{"family":"Adams","given":"Kenneth A."}],"contributor":[{"family":"American Bar Association","given":""}],"issued":{"date-parts":[["2017"]]}},"locator":"16332-16334"}],"schema":"https://github.com/citation-style-language/schema/raw/master/csl-citation.json"} </w:instrText>
      </w:r>
      <w:r>
        <w:fldChar w:fldCharType="separate"/>
      </w:r>
      <w:r w:rsidR="006223EF" w:rsidRPr="006223EF">
        <w:rPr>
          <w:rFonts w:ascii="Calibri" w:cs="Calibri"/>
          <w:smallCaps/>
        </w:rPr>
        <w:t>Kenneth A. Adams</w:t>
      </w:r>
      <w:r w:rsidR="006223EF" w:rsidRPr="006223EF">
        <w:rPr>
          <w:rFonts w:ascii="Calibri" w:cs="Calibri"/>
        </w:rPr>
        <w:t xml:space="preserve">, </w:t>
      </w:r>
      <w:r w:rsidR="006223EF" w:rsidRPr="006223EF">
        <w:rPr>
          <w:rFonts w:ascii="Calibri" w:cs="Calibri"/>
          <w:i/>
          <w:iCs/>
        </w:rPr>
        <w:t>A Manual of Style for Contract Drafting</w:t>
      </w:r>
      <w:r w:rsidR="006223EF" w:rsidRPr="006223EF">
        <w:rPr>
          <w:rFonts w:ascii="Calibri" w:cs="Calibri"/>
        </w:rPr>
        <w:t>, Kindle locations 16332–16334 (Fourth ed. 2017).</w:t>
      </w:r>
      <w:r>
        <w:fldChar w:fldCharType="end"/>
      </w:r>
    </w:p>
  </w:footnote>
  <w:footnote w:id="19">
    <w:p w14:paraId="60BBAD5A" w14:textId="6B5D06F4" w:rsidR="00E15F65" w:rsidRDefault="00E15F65">
      <w:pPr>
        <w:pStyle w:val="FootnoteText"/>
      </w:pPr>
      <w:r w:rsidRPr="00755452">
        <w:rPr>
          <w:rStyle w:val="FootnoteReference"/>
        </w:rPr>
        <w:footnoteRef/>
      </w:r>
      <w:r>
        <w:t xml:space="preserve"> </w:t>
      </w:r>
      <w:r>
        <w:fldChar w:fldCharType="begin"/>
      </w:r>
      <w:r w:rsidR="007B75BA">
        <w:instrText xml:space="preserve"> ADDIN ZOTERO_ITEM CSL_CITATION {"citationID":"kqro50n0","properties":{"custom":"{\\i{}Majkowski v. American Imaging Mgmt. Servs.}, 913 A. 2d 572, 589 (Del. Ch. Dec. 6, 2006).","formattedCitation":"{\\i{}Majkowski v. American Imaging Mgmt. Servs.}, 913 A. 2d 572, 589 (Del. Ch. Dec. 6, 2006).","plainCitation":"Majkowski v. American Imaging Mgmt. Servs., 913 A. 2d 572, 589 (Del. Ch. Dec. 6, 2006).","noteIndex":18},"citationItems":[{"id":5644,"uris":["http://zotero.org/groups/2385044/items/QBPRY9NE"],"itemData":{"id":5644,"type":"legal_case","authority":"Court of Chancery","note":"mlzsync1:0148{\"extrafields\":{\"issue\":\"CA No. 1797-N\",\"publisher\":\"Del: Court of Chancery\",\"reporter\":\"A. 2d\",\"jurisdiction\":\"005us:deUnited States|US|Delaware\"}}","page":"572","title":"Majkowski v. American Imaging Mgmt. Servs.","volume":"913","issued":{"date-parts":[["2006"]]}},"locator":"589","label":"page"}],"schema":"https://github.com/citation-style-language/schema/raw/master/csl-citation.json"} </w:instrText>
      </w:r>
      <w:r>
        <w:fldChar w:fldCharType="separate"/>
      </w:r>
      <w:r w:rsidR="006223EF" w:rsidRPr="006223EF">
        <w:rPr>
          <w:rFonts w:ascii="Calibri" w:cs="Calibri"/>
          <w:i/>
          <w:iCs/>
        </w:rPr>
        <w:t>Majkowski v. American Imaging Mgmt. Servs.</w:t>
      </w:r>
      <w:r w:rsidR="006223EF" w:rsidRPr="006223EF">
        <w:rPr>
          <w:rFonts w:ascii="Calibri" w:cs="Calibri"/>
        </w:rPr>
        <w:t>, 913 A. 2d 572, 589 (Del. Ch. Dec. 6, 2006).</w:t>
      </w:r>
      <w:r>
        <w:fldChar w:fldCharType="end"/>
      </w:r>
    </w:p>
  </w:footnote>
  <w:footnote w:id="20">
    <w:p w14:paraId="4756F8F1" w14:textId="63FCC042" w:rsidR="00D023BE" w:rsidRDefault="00D023BE">
      <w:pPr>
        <w:pStyle w:val="FootnoteText"/>
      </w:pPr>
      <w:r w:rsidRPr="00755452">
        <w:rPr>
          <w:rStyle w:val="FootnoteReference"/>
        </w:rPr>
        <w:footnoteRef/>
      </w:r>
      <w:r>
        <w:t xml:space="preserve"> </w:t>
      </w:r>
      <w:r w:rsidR="00AA6312">
        <w:fldChar w:fldCharType="begin"/>
      </w:r>
      <w:r w:rsidR="006223EF">
        <w:instrText xml:space="preserve"> ADDIN ZOTERO_ITEM CSL_CITATION {"citationID":"j96BAgYw","properties":{"formattedCitation":"{\\scaps Adams}, {\\i{}supra} note 17 at 16393\\uc0\\u8211{}16405.","plainCitation":"Adams, supra note 17 at 16393–16405.","noteIndex":19},"citationItems":[{"id":5648,"uris":["http://zotero.org/groups/2385044/items/CIGY6XP9"],"itemData":{"id":5648,"type":"book","call-number":"KF807 .A33 2017","edition":"Fourth","event-place":"Chicago, IL","ISBN":"978-1-63425-964-4","number-of-pages":"546","publisher":"American Bar Association, Business Law Section","publisher-place":"Chicago, IL","source":"Library of Congress ISBN","title":"A Manual of Style for Contract Drafting","author":[{"family":"Adams","given":"Kenneth A."}],"contributor":[{"family":"American Bar Association","given":""}],"issued":{"date-parts":[["2017"]]}},"locator":"16393-16405"}],"schema":"https://github.com/citation-style-language/schema/raw/master/csl-citation.json"} </w:instrText>
      </w:r>
      <w:r w:rsidR="00AA6312">
        <w:fldChar w:fldCharType="separate"/>
      </w:r>
      <w:r w:rsidR="006223EF" w:rsidRPr="006223EF">
        <w:rPr>
          <w:rFonts w:ascii="Calibri" w:cs="Calibri"/>
          <w:smallCaps/>
        </w:rPr>
        <w:t>Adams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17 at 16393–16405.</w:t>
      </w:r>
      <w:r w:rsidR="00AA6312">
        <w:fldChar w:fldCharType="end"/>
      </w:r>
    </w:p>
  </w:footnote>
  <w:footnote w:id="21">
    <w:p w14:paraId="17E92E5A" w14:textId="1AE9581D" w:rsidR="00962755" w:rsidRDefault="00962755">
      <w:pPr>
        <w:pStyle w:val="FootnoteText"/>
      </w:pPr>
      <w:r w:rsidRPr="00755452">
        <w:rPr>
          <w:rStyle w:val="FootnoteReference"/>
        </w:rPr>
        <w:footnoteRef/>
      </w:r>
      <w:r>
        <w:t xml:space="preserve"> </w:t>
      </w:r>
      <w:r>
        <w:fldChar w:fldCharType="begin"/>
      </w:r>
      <w:r w:rsidR="006223EF">
        <w:instrText xml:space="preserve"> ADDIN ZOTERO_ITEM CSL_CITATION {"citationID":"0pScexg6","properties":{"formattedCitation":"A Guide to Using \\uc0\\u8220{}Me\\uc0\\u8221{} and \\uc0\\u8220{}I,\\uc0\\u8221{} {\\scaps A Guide to Using \\uc0\\u8220{}Me\\uc0\\u8221{} and \\uc0\\u8220{}I\\uc0\\u8221{}, With Examples | Grammarly} (2023), https://www.grammarly.com/blog/grammar/me-vs-i/ (last visited Oct 2, 2024).","plainCitation":"A Guide to Using “Me” and “I,” A Guide to Using “Me” and “I”, With Examples | Grammarly (2023), https://www.grammarly.com/blog/grammar/me-vs-i/ (last visited Oct 2, 2024).","noteIndex":20},"citationItems":[{"id":7334,"uris":["http://zotero.org/groups/2385044/items/P54EFQ3X"],"itemData":{"id":7334,"type":"webpage","abstract":"Knowing when to use me and I can be confusing, so here is a quick guide: Use me when you’re talking about an action done…","container-title":"A Guide to Using “Me” and “I”, With Examples | Grammarly","language":"en","note":"https://perma.cc/JF2W-84HA\n\n\"Knowing when to use me and I can be confusing, so here is a quick guide: Use me when you’re talking about an action done to, toward, for, with, or without you. And use I whenever you’re the one doing the action.\"","title":"A Guide to Using “Me” and “I”","URL":"https://www.grammarly.com/blog/grammar/me-vs-i/","accessed":{"date-parts":[["2024",10,2]]},"issued":{"date-parts":[["2023",7,10]]}}}],"schema":"https://github.com/citation-style-language/schema/raw/master/csl-citation.json"} </w:instrText>
      </w:r>
      <w:r>
        <w:fldChar w:fldCharType="separate"/>
      </w:r>
      <w:r w:rsidR="006223EF" w:rsidRPr="006223EF">
        <w:rPr>
          <w:rFonts w:ascii="Calibri" w:cs="Calibri"/>
        </w:rPr>
        <w:t xml:space="preserve">A Guide to Using “Me” and “I,” </w:t>
      </w:r>
      <w:r w:rsidR="006223EF" w:rsidRPr="006223EF">
        <w:rPr>
          <w:rFonts w:ascii="Calibri" w:cs="Calibri"/>
          <w:smallCaps/>
        </w:rPr>
        <w:t>A Guide to Using “Me” and “I”, With Examples | Grammarly</w:t>
      </w:r>
      <w:r w:rsidR="006223EF" w:rsidRPr="006223EF">
        <w:rPr>
          <w:rFonts w:ascii="Calibri" w:cs="Calibri"/>
        </w:rPr>
        <w:t xml:space="preserve"> (2023), https://www.grammarly.com/blog/grammar/me-vs-i/ (last visited Oct 2, 2024).</w:t>
      </w:r>
      <w:r>
        <w:fldChar w:fldCharType="end"/>
      </w:r>
    </w:p>
  </w:footnote>
  <w:footnote w:id="22">
    <w:p w14:paraId="44589821" w14:textId="2A42B0DC" w:rsidR="00755452" w:rsidRDefault="00755452">
      <w:pPr>
        <w:pStyle w:val="FootnoteText"/>
      </w:pPr>
      <w:r>
        <w:rPr>
          <w:rStyle w:val="FootnoteReference"/>
        </w:rPr>
        <w:footnoteRef/>
      </w:r>
      <w:r>
        <w:t xml:space="preserve"> </w:t>
      </w:r>
      <w:r>
        <w:fldChar w:fldCharType="begin"/>
      </w:r>
      <w:r w:rsidR="006223EF">
        <w:instrText xml:space="preserve"> ADDIN ZOTERO_ITEM CSL_CITATION {"citationID":"kIZtYCOe","properties":{"formattedCitation":"No or not\\uc0\\u8239{}?, {\\scaps Cambridge Dictionary} (2024), https://dictionary.cambridge.org/us/grammar/british-grammar/no-or-not (last visited Oct 25, 2024).","plainCitation":"No or not ?, Cambridge Dictionary (2024), https://dictionary.cambridge.org/us/grammar/british-grammar/no-or-not (last visited Oct 25, 2024).","noteIndex":21},"citationItems":[{"id":7467,"uris":["http://zotero.org/groups/2385044/items/3KUQW897"],"itemData":{"id":7467,"type":"webpage","abstract":"No or not ? - English Grammar Today - a reference to written and spoken English grammar and usage - Cambridge Dictionary","container-title":"Cambridge Dictionary","language":"en-US","note":"https://perma.cc/6YZK-ELW5","title":"No or not ?","URL":"https://dictionary.cambridge.org/us/grammar/british-grammar/no-or-not","accessed":{"date-parts":[["2024",10,25]]},"issued":{"date-parts":[["2024",10,23]]}}}],"schema":"https://github.com/citation-style-language/schema/raw/master/csl-citation.json"} </w:instrText>
      </w:r>
      <w:r>
        <w:fldChar w:fldCharType="separate"/>
      </w:r>
      <w:r w:rsidR="006223EF" w:rsidRPr="006223EF">
        <w:rPr>
          <w:rFonts w:ascii="Calibri" w:cs="Calibri"/>
        </w:rPr>
        <w:t xml:space="preserve">No or not ?, </w:t>
      </w:r>
      <w:r w:rsidR="006223EF" w:rsidRPr="006223EF">
        <w:rPr>
          <w:rFonts w:ascii="Calibri" w:cs="Calibri"/>
          <w:smallCaps/>
        </w:rPr>
        <w:t>Cambridge Dictionary</w:t>
      </w:r>
      <w:r w:rsidR="006223EF" w:rsidRPr="006223EF">
        <w:rPr>
          <w:rFonts w:ascii="Calibri" w:cs="Calibri"/>
        </w:rPr>
        <w:t xml:space="preserve"> (2024), https://dictionary.cambridge.org/us/grammar/british-grammar/no-or-not (last visited Oct 25, 2024).</w:t>
      </w:r>
      <w:r>
        <w:fldChar w:fldCharType="end"/>
      </w:r>
    </w:p>
  </w:footnote>
  <w:footnote w:id="23">
    <w:p w14:paraId="6670BFD8" w14:textId="2F68DA60" w:rsidR="007B1955" w:rsidRDefault="007B1955">
      <w:pPr>
        <w:pStyle w:val="FootnoteText"/>
      </w:pPr>
      <w:r w:rsidRPr="00755452">
        <w:rPr>
          <w:rStyle w:val="FootnoteReference"/>
        </w:rPr>
        <w:footnoteRef/>
      </w:r>
      <w:r>
        <w:t xml:space="preserve"> </w:t>
      </w:r>
      <w:r>
        <w:fldChar w:fldCharType="begin"/>
      </w:r>
      <w:r w:rsidR="006223EF">
        <w:instrText xml:space="preserve"> ADDIN ZOTERO_ITEM CSL_CITATION {"citationID":"zLNzLqMo","properties":{"formattedCitation":"\\uc0\\u8220{}hyphens\\uc0\\u8221{} {\\scaps The Associated Press}, {\\i{}The Associated Press Stylebook} (55th (2020 \\uc0\\u8211{} 2022) ed. 2020).","plainCitation":"“hyphens” The Associated Press, The Associated Press Stylebook (55th (2020 – 2022) ed. 2020).","noteIndex":22},"citationItems":[{"id":5303,"uris":["http://zotero.org/users/515429/items/FGRT938L"],"itemData":{"id":5303,"type":"book","abstract":"\"Master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Press"}],"issued":{"date-parts":[["2020",5,31]]}},"label":"page","prefix":"\"hyphens\""}],"schema":"https://github.com/citation-style-language/schema/raw/master/csl-citation.json"} </w:instrText>
      </w:r>
      <w:r>
        <w:fldChar w:fldCharType="separate"/>
      </w:r>
      <w:r w:rsidR="006223EF" w:rsidRPr="006223EF">
        <w:rPr>
          <w:rFonts w:ascii="Calibri" w:cs="Calibri"/>
        </w:rPr>
        <w:t xml:space="preserve">“hyphens”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The Associated Press Stylebook</w:t>
      </w:r>
      <w:r w:rsidR="006223EF" w:rsidRPr="006223EF">
        <w:rPr>
          <w:rFonts w:ascii="Calibri" w:cs="Calibri"/>
        </w:rPr>
        <w:t xml:space="preserve"> (55th (2020 – 2022) ed. 2020).</w:t>
      </w:r>
      <w:r>
        <w:fldChar w:fldCharType="end"/>
      </w:r>
    </w:p>
  </w:footnote>
  <w:footnote w:id="24">
    <w:p w14:paraId="6A58F8F4" w14:textId="5816191B" w:rsidR="004D3B43" w:rsidRDefault="004D3B43">
      <w:pPr>
        <w:pStyle w:val="FootnoteText"/>
      </w:pPr>
      <w:r w:rsidRPr="00755452">
        <w:rPr>
          <w:rStyle w:val="FootnoteReference"/>
        </w:rPr>
        <w:footnoteRef/>
      </w:r>
      <w:r>
        <w:t xml:space="preserve"> </w:t>
      </w:r>
      <w:r>
        <w:fldChar w:fldCharType="begin"/>
      </w:r>
      <w:r w:rsidR="006223EF">
        <w:instrText xml:space="preserve"> ADDIN ZOTERO_ITEM CSL_CITATION {"citationID":"uzo0NJXp","properties":{"formattedCitation":"\\uc0\\u8220{}hyphens\\uc0\\u8221{} {\\i{}Id.}","plainCitation":"“hyphens” Id.","noteIndex":23},"citationItems":[{"id":5303,"uris":["http://zotero.org/users/515429/items/FGRT938L"],"itemData":{"id":5303,"type":"book","abstract":"\"Master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Press"}],"issued":{"date-parts":[["2020",5,31]]}},"prefix":"\"hyphens\""}],"schema":"https://github.com/citation-style-language/schema/raw/master/csl-citation.json"} </w:instrText>
      </w:r>
      <w:r>
        <w:fldChar w:fldCharType="separate"/>
      </w:r>
      <w:r w:rsidR="006223EF" w:rsidRPr="006223EF">
        <w:rPr>
          <w:rFonts w:ascii="Calibri" w:cs="Calibri"/>
        </w:rPr>
        <w:t xml:space="preserve">“hyphens” </w:t>
      </w:r>
      <w:r w:rsidR="006223EF" w:rsidRPr="006223EF">
        <w:rPr>
          <w:rFonts w:ascii="Calibri" w:cs="Calibri"/>
          <w:i/>
          <w:iCs/>
        </w:rPr>
        <w:t>Id.</w:t>
      </w:r>
      <w:r>
        <w:fldChar w:fldCharType="end"/>
      </w:r>
    </w:p>
  </w:footnote>
  <w:footnote w:id="25">
    <w:p w14:paraId="3CF85226" w14:textId="45434A74" w:rsidR="0002504D" w:rsidRDefault="0002504D">
      <w:pPr>
        <w:pStyle w:val="FootnoteText"/>
      </w:pPr>
      <w:r>
        <w:rPr>
          <w:rStyle w:val="FootnoteReference"/>
        </w:rPr>
        <w:footnoteRef/>
      </w:r>
      <w:r>
        <w:t xml:space="preserve"> </w:t>
      </w:r>
      <w:fldSimple w:instr=" ADDIN ZOTERO_TEMP ">
        <w:r>
          <w:rPr>
            <w:noProof/>
          </w:rPr>
          <w:t xml:space="preserve"> </w:t>
        </w:r>
      </w:fldSimple>
      <w:r w:rsidR="007772C5">
        <w:fldChar w:fldCharType="begin"/>
      </w:r>
      <w:r w:rsidR="006223EF">
        <w:instrText xml:space="preserve"> ADDIN ZOTERO_ITEM CSL_CITATION {"citationID":"D6YZDKE4","properties":{"formattedCitation":"{\\scaps The Associated Press Stylebook, 2024-2026}, 44.158 (Paula Froke et al. eds., 57th edition ed. 2024).","plainCitation":"The Associated Press Stylebook, 2024-2026, 44.158 (Paula Froke et al. eds., 57th edition ed. 2024).","noteIndex":24},"citationItems":[{"id":7311,"uris":["http://zotero.org/groups/2385044/items/ZPFS5H5H"],"itemData":{"id":7311,"type":"book","abstract":"\"The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cover","edition":"57th edition","event-place":"New York, NY","ISBN":"978-1-5416-0511-4","language":"eng","note":"OCLC: 1408649651","publisher":"Basic Books","publisher-place":"New York, NY","source":"Open WorldCat","title":"The Associated Press Stylebook, 2024-2026","editor":[{"family":"Froke","given":"Paula"},{"family":"Bratton","given":"Anna Jo"},{"family":"Gross","given":"Andale"},{"family":"McMillan","given":"Jeff"},{"family":"Sarkar","given":"Pia"},{"family":"Schwartz","given":"Jerry"}],"issued":{"date-parts":[["2024"]]}},"locator":"44.158","label":"paragraph"}],"schema":"https://github.com/citation-style-language/schema/raw/master/csl-citation.json"} </w:instrText>
      </w:r>
      <w:r w:rsidR="007772C5">
        <w:fldChar w:fldCharType="separate"/>
      </w:r>
      <w:r w:rsidR="006223EF" w:rsidRPr="006223EF">
        <w:rPr>
          <w:rFonts w:ascii="Calibri" w:cs="Calibri"/>
          <w:smallCaps/>
        </w:rPr>
        <w:t>The Associated Press Stylebook, 2024-2026</w:t>
      </w:r>
      <w:r w:rsidR="006223EF" w:rsidRPr="006223EF">
        <w:rPr>
          <w:rFonts w:ascii="Calibri" w:cs="Calibri"/>
        </w:rPr>
        <w:t>, 44.158 (Paula Froke et al. eds., 57th edition ed. 2024).</w:t>
      </w:r>
      <w:r w:rsidR="007772C5">
        <w:fldChar w:fldCharType="end"/>
      </w:r>
    </w:p>
  </w:footnote>
  <w:footnote w:id="26">
    <w:p w14:paraId="79077D34" w14:textId="63C5AA33" w:rsidR="0002504D" w:rsidRDefault="0002504D">
      <w:pPr>
        <w:pStyle w:val="FootnoteText"/>
      </w:pPr>
      <w:r>
        <w:rPr>
          <w:rStyle w:val="FootnoteReference"/>
        </w:rPr>
        <w:footnoteRef/>
      </w:r>
      <w:r>
        <w:t xml:space="preserve"> </w:t>
      </w:r>
      <w:r w:rsidR="007772C5">
        <w:fldChar w:fldCharType="begin"/>
      </w:r>
      <w:r w:rsidR="006223EF">
        <w:instrText xml:space="preserve"> ADDIN ZOTERO_ITEM CSL_CITATION {"citationID":"xIedURpD","properties":{"formattedCitation":"{\\i{}Id.} at 44.159.","plainCitation":"Id. at 44.159.","noteIndex":25},"citationItems":[{"id":7311,"uris":["http://zotero.org/groups/2385044/items/ZPFS5H5H"],"itemData":{"id":7311,"type":"book","abstract":"\"The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cover","edition":"57th edition","event-place":"New York, NY","ISBN":"978-1-5416-0511-4","language":"eng","note":"OCLC: 1408649651","publisher":"Basic Books","publisher-place":"New York, NY","source":"Open WorldCat","title":"The Associated Press Stylebook, 2024-2026","editor":[{"family":"Froke","given":"Paula"},{"family":"Bratton","given":"Anna Jo"},{"family":"Gross","given":"Andale"},{"family":"McMillan","given":"Jeff"},{"family":"Sarkar","given":"Pia"},{"family":"Schwartz","given":"Jerry"}],"issued":{"date-parts":[["2024"]]}},"locator":"44.159","label":"paragraph"}],"schema":"https://github.com/citation-style-language/schema/raw/master/csl-citation.json"} </w:instrText>
      </w:r>
      <w:r w:rsidR="007772C5">
        <w:fldChar w:fldCharType="separate"/>
      </w:r>
      <w:r w:rsidR="006223EF" w:rsidRPr="006223EF">
        <w:rPr>
          <w:rFonts w:ascii="Calibri" w:cs="Calibri"/>
          <w:i/>
          <w:iCs/>
        </w:rPr>
        <w:t>Id.</w:t>
      </w:r>
      <w:r w:rsidR="006223EF" w:rsidRPr="006223EF">
        <w:rPr>
          <w:rFonts w:ascii="Calibri" w:cs="Calibri"/>
        </w:rPr>
        <w:t xml:space="preserve"> at 44.159.</w:t>
      </w:r>
      <w:r w:rsidR="007772C5">
        <w:fldChar w:fldCharType="end"/>
      </w:r>
    </w:p>
  </w:footnote>
  <w:footnote w:id="27">
    <w:p w14:paraId="3FD42C50" w14:textId="5E97879D" w:rsidR="0002504D" w:rsidRDefault="0002504D">
      <w:pPr>
        <w:pStyle w:val="FootnoteText"/>
      </w:pPr>
      <w:r>
        <w:rPr>
          <w:rStyle w:val="FootnoteReference"/>
        </w:rPr>
        <w:footnoteRef/>
      </w:r>
      <w:r>
        <w:t xml:space="preserve"> </w:t>
      </w:r>
      <w:r w:rsidR="007772C5">
        <w:fldChar w:fldCharType="begin"/>
      </w:r>
      <w:r w:rsidR="006223EF">
        <w:instrText xml:space="preserve"> ADDIN ZOTERO_ITEM CSL_CITATION {"citationID":"M1xvUOAC","properties":{"formattedCitation":"{\\i{}Id.} at 44.161.","plainCitation":"Id. at 44.161.","noteIndex":26},"citationItems":[{"id":7311,"uris":["http://zotero.org/groups/2385044/items/ZPFS5H5H"],"itemData":{"id":7311,"type":"book","abstract":"\"The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cover","edition":"57th edition","event-place":"New York, NY","ISBN":"978-1-5416-0511-4","language":"eng","note":"OCLC: 1408649651","publisher":"Basic Books","publisher-place":"New York, NY","source":"Open WorldCat","title":"The Associated Press Stylebook, 2024-2026","editor":[{"family":"Froke","given":"Paula"},{"family":"Bratton","given":"Anna Jo"},{"family":"Gross","given":"Andale"},{"family":"McMillan","given":"Jeff"},{"family":"Sarkar","given":"Pia"},{"family":"Schwartz","given":"Jerry"}],"issued":{"date-parts":[["2024"]]}},"locator":"44.161","label":"paragraph"}],"schema":"https://github.com/citation-style-language/schema/raw/master/csl-citation.json"} </w:instrText>
      </w:r>
      <w:r w:rsidR="007772C5">
        <w:fldChar w:fldCharType="separate"/>
      </w:r>
      <w:r w:rsidR="006223EF" w:rsidRPr="006223EF">
        <w:rPr>
          <w:rFonts w:ascii="Calibri" w:cs="Calibri"/>
          <w:i/>
          <w:iCs/>
        </w:rPr>
        <w:t>Id.</w:t>
      </w:r>
      <w:r w:rsidR="006223EF" w:rsidRPr="006223EF">
        <w:rPr>
          <w:rFonts w:ascii="Calibri" w:cs="Calibri"/>
        </w:rPr>
        <w:t xml:space="preserve"> at 44.161.</w:t>
      </w:r>
      <w:r w:rsidR="007772C5">
        <w:fldChar w:fldCharType="end"/>
      </w:r>
    </w:p>
  </w:footnote>
  <w:footnote w:id="28">
    <w:p w14:paraId="129CD0F2" w14:textId="49251517" w:rsidR="0002504D" w:rsidRDefault="0002504D">
      <w:pPr>
        <w:pStyle w:val="FootnoteText"/>
      </w:pPr>
      <w:r>
        <w:rPr>
          <w:rStyle w:val="FootnoteReference"/>
        </w:rPr>
        <w:footnoteRef/>
      </w:r>
      <w:r>
        <w:t xml:space="preserve"> </w:t>
      </w:r>
      <w:r w:rsidR="007772C5">
        <w:fldChar w:fldCharType="begin"/>
      </w:r>
      <w:r w:rsidR="006223EF">
        <w:instrText xml:space="preserve"> ADDIN ZOTERO_ITEM CSL_CITATION {"citationID":"rpe6iOUO","properties":{"formattedCitation":"{\\i{}Id.} at 44.161.","plainCitation":"Id. at 44.161.","noteIndex":27},"citationItems":[{"id":7311,"uris":["http://zotero.org/groups/2385044/items/ZPFS5H5H"],"itemData":{"id":7311,"type":"book","abstract":"\"The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cover","edition":"57th edition","event-place":"New York, NY","ISBN":"978-1-5416-0511-4","language":"eng","note":"OCLC: 1408649651","publisher":"Basic Books","publisher-place":"New York, NY","source":"Open WorldCat","title":"The Associated Press Stylebook, 2024-2026","editor":[{"family":"Froke","given":"Paula"},{"family":"Bratton","given":"Anna Jo"},{"family":"Gross","given":"Andale"},{"family":"McMillan","given":"Jeff"},{"family":"Sarkar","given":"Pia"},{"family":"Schwartz","given":"Jerry"}],"issued":{"date-parts":[["2024"]]}},"locator":"44.161","label":"paragraph"}],"schema":"https://github.com/citation-style-language/schema/raw/master/csl-citation.json"} </w:instrText>
      </w:r>
      <w:r w:rsidR="007772C5">
        <w:fldChar w:fldCharType="separate"/>
      </w:r>
      <w:r w:rsidR="006223EF" w:rsidRPr="006223EF">
        <w:rPr>
          <w:rFonts w:ascii="Calibri" w:cs="Calibri"/>
          <w:i/>
          <w:iCs/>
        </w:rPr>
        <w:t>Id.</w:t>
      </w:r>
      <w:r w:rsidR="006223EF" w:rsidRPr="006223EF">
        <w:rPr>
          <w:rFonts w:ascii="Calibri" w:cs="Calibri"/>
        </w:rPr>
        <w:t xml:space="preserve"> at 44.161.</w:t>
      </w:r>
      <w:r w:rsidR="007772C5">
        <w:fldChar w:fldCharType="end"/>
      </w:r>
    </w:p>
  </w:footnote>
  <w:footnote w:id="29">
    <w:p w14:paraId="4B62304B" w14:textId="05E4078C" w:rsidR="007772C5" w:rsidRDefault="007772C5">
      <w:pPr>
        <w:pStyle w:val="FootnoteText"/>
      </w:pPr>
      <w:r>
        <w:rPr>
          <w:rStyle w:val="FootnoteReference"/>
        </w:rPr>
        <w:footnoteRef/>
      </w:r>
      <w:r>
        <w:t xml:space="preserve"> </w:t>
      </w:r>
      <w:r>
        <w:fldChar w:fldCharType="begin"/>
      </w:r>
      <w:r w:rsidR="006223EF">
        <w:instrText xml:space="preserve"> ADDIN ZOTERO_ITEM CSL_CITATION {"citationID":"tERn7z1R","properties":{"formattedCitation":"{\\scaps Bryan A. Garner}, {\\i{}supra} note 16 at 538.29.","plainCitation":"Bryan A. Garner, supra note 16 at 538.29.","noteIndex":28},"citationItems":[{"id":5941,"uris":["http://zotero.org/groups/2385044/items/796T7M8F"],"itemData":{"id":5941,"type":"book","call-number":"PE2827 .G37 2009","edition":"3e","event-place":"New York","ISBN":"978-0-19-538275-4","number-of-pages":"942","publisher":"Oxford University Press","publisher-place":"New York","source":"Library of Congress ISBN","title":"Garner's Modern American Usage","author":[{"literal":"Bryan A. Garner"}],"issued":{"date-parts":[["2009"]]}},"locator":"538.29","label":"paragraph"}],"schema":"https://github.com/citation-style-language/schema/raw/master/csl-citation.json"} </w:instrText>
      </w:r>
      <w:r>
        <w:fldChar w:fldCharType="separate"/>
      </w:r>
      <w:r w:rsidR="006223EF" w:rsidRPr="006223EF">
        <w:rPr>
          <w:rFonts w:ascii="Calibri" w:cs="Calibri"/>
          <w:smallCaps/>
        </w:rPr>
        <w:t>Bryan A. Garner</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16 at 538.29.</w:t>
      </w:r>
      <w:r>
        <w:fldChar w:fldCharType="end"/>
      </w:r>
    </w:p>
  </w:footnote>
  <w:footnote w:id="30">
    <w:p w14:paraId="7DE2ACDE" w14:textId="784792E4" w:rsidR="007772C5" w:rsidRDefault="007772C5">
      <w:pPr>
        <w:pStyle w:val="FootnoteText"/>
      </w:pPr>
      <w:r>
        <w:rPr>
          <w:rStyle w:val="FootnoteReference"/>
        </w:rPr>
        <w:footnoteRef/>
      </w:r>
      <w:r>
        <w:t xml:space="preserve"> </w:t>
      </w:r>
      <w:r>
        <w:fldChar w:fldCharType="begin"/>
      </w:r>
      <w:r w:rsidR="006223EF">
        <w:instrText xml:space="preserve"> ADDIN ZOTERO_ITEM CSL_CITATION {"citationID":"0jn7tPz1","properties":{"formattedCitation":"{\\i{}Id.} at 538.29.","plainCitation":"Id. at 538.29.","noteIndex":29},"citationItems":[{"id":5941,"uris":["http://zotero.org/groups/2385044/items/796T7M8F"],"itemData":{"id":5941,"type":"book","call-number":"PE2827 .G37 2009","edition":"3e","event-place":"New York","ISBN":"978-0-19-538275-4","number-of-pages":"942","publisher":"Oxford University Press","publisher-place":"New York","source":"Library of Congress ISBN","title":"Garner's Modern American Usage","author":[{"literal":"Bryan A. Garner"}],"issued":{"date-parts":[["2009"]]}},"locator":"538.29","label":"paragraph"}],"schema":"https://github.com/citation-style-language/schema/raw/master/csl-citation.json"} </w:instrText>
      </w:r>
      <w:r>
        <w:fldChar w:fldCharType="separate"/>
      </w:r>
      <w:r w:rsidR="006223EF" w:rsidRPr="006223EF">
        <w:rPr>
          <w:rFonts w:ascii="Calibri" w:cs="Calibri"/>
          <w:i/>
          <w:iCs/>
        </w:rPr>
        <w:t>Id.</w:t>
      </w:r>
      <w:r w:rsidR="006223EF" w:rsidRPr="006223EF">
        <w:rPr>
          <w:rFonts w:ascii="Calibri" w:cs="Calibri"/>
        </w:rPr>
        <w:t xml:space="preserve"> at 538.29.</w:t>
      </w:r>
      <w:r>
        <w:fldChar w:fldCharType="end"/>
      </w:r>
    </w:p>
  </w:footnote>
  <w:footnote w:id="31">
    <w:p w14:paraId="09000415" w14:textId="234C77B2" w:rsidR="00DD26E0" w:rsidRDefault="00DD26E0">
      <w:pPr>
        <w:pStyle w:val="FootnoteText"/>
      </w:pPr>
      <w:r w:rsidRPr="00755452">
        <w:rPr>
          <w:rStyle w:val="FootnoteReference"/>
        </w:rPr>
        <w:footnoteRef/>
      </w:r>
      <w:r>
        <w:t xml:space="preserve"> </w:t>
      </w:r>
      <w:r>
        <w:fldChar w:fldCharType="begin"/>
      </w:r>
      <w:r w:rsidR="006223EF">
        <w:instrText xml:space="preserve"> ADDIN ZOTERO_ITEM CSL_CITATION {"citationID":"WR7cSGBq","properties":{"formattedCitation":"\\uc0\\u8220{}en dashes\\uc0\\u8221{} {\\scaps The Associated Press}, {\\i{}supra} note 22.","plainCitation":"“en dashes” The Associated Press, supra note 22.","noteIndex":30},"citationItems":[{"id":5303,"uris":["http://zotero.org/users/515429/items/FGRT938L"],"itemData":{"id":5303,"type":"book","abstract":"\"Master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Press"}],"issued":{"date-parts":[["2020",5,31]]}},"prefix":"\"en dashes\""}],"schema":"https://github.com/citation-style-language/schema/raw/master/csl-citation.json"} </w:instrText>
      </w:r>
      <w:r>
        <w:fldChar w:fldCharType="separate"/>
      </w:r>
      <w:r w:rsidR="006223EF" w:rsidRPr="006223EF">
        <w:rPr>
          <w:rFonts w:ascii="Calibri" w:cs="Calibri"/>
        </w:rPr>
        <w:t xml:space="preserve">“en dashes”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22.</w:t>
      </w:r>
      <w:r>
        <w:fldChar w:fldCharType="end"/>
      </w:r>
    </w:p>
  </w:footnote>
  <w:footnote w:id="32">
    <w:p w14:paraId="478224BC" w14:textId="42BFDECB" w:rsidR="00C33F8F" w:rsidRDefault="00C33F8F">
      <w:pPr>
        <w:pStyle w:val="FootnoteText"/>
      </w:pPr>
      <w:r w:rsidRPr="00755452">
        <w:rPr>
          <w:rStyle w:val="FootnoteReference"/>
        </w:rPr>
        <w:footnoteRef/>
      </w:r>
      <w:r>
        <w:t xml:space="preserve"> </w:t>
      </w:r>
      <w:r>
        <w:fldChar w:fldCharType="begin"/>
      </w:r>
      <w:r w:rsidR="006223EF">
        <w:instrText xml:space="preserve"> ADDIN ZOTERO_ITEM CSL_CITATION {"citationID":"zCAvBdcb","properties":{"formattedCitation":"\\uc0\\u8220{}em dashes\\uc0\\u8221{} {\\i{}Id.}","plainCitation":"“em dashes” Id.","noteIndex":31},"citationItems":[{"id":5303,"uris":["http://zotero.org/users/515429/items/FGRT938L"],"itemData":{"id":5303,"type":"book","abstract":"\"Master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Press"}],"issued":{"date-parts":[["2020",5,31]]}},"prefix":"\"em dashes\""}],"schema":"https://github.com/citation-style-language/schema/raw/master/csl-citation.json"} </w:instrText>
      </w:r>
      <w:r>
        <w:fldChar w:fldCharType="separate"/>
      </w:r>
      <w:r w:rsidR="006223EF" w:rsidRPr="006223EF">
        <w:rPr>
          <w:rFonts w:ascii="Calibri" w:cs="Calibri"/>
        </w:rPr>
        <w:t xml:space="preserve">“em dashes” </w:t>
      </w:r>
      <w:r w:rsidR="006223EF" w:rsidRPr="006223EF">
        <w:rPr>
          <w:rFonts w:ascii="Calibri" w:cs="Calibri"/>
          <w:i/>
          <w:iCs/>
        </w:rPr>
        <w:t>Id.</w:t>
      </w:r>
      <w:r>
        <w:fldChar w:fldCharType="end"/>
      </w:r>
    </w:p>
  </w:footnote>
  <w:footnote w:id="33">
    <w:p w14:paraId="5CCE8F5D" w14:textId="1CAD73AE" w:rsidR="00FF5A54" w:rsidRDefault="00FF5A54">
      <w:pPr>
        <w:pStyle w:val="FootnoteText"/>
      </w:pPr>
      <w:r w:rsidRPr="00755452">
        <w:rPr>
          <w:rStyle w:val="FootnoteReference"/>
        </w:rPr>
        <w:footnoteRef/>
      </w:r>
      <w:r>
        <w:t xml:space="preserve"> </w:t>
      </w:r>
      <w:r>
        <w:fldChar w:fldCharType="begin"/>
      </w:r>
      <w:r w:rsidR="006223EF">
        <w:instrText xml:space="preserve"> ADDIN ZOTERO_ITEM CSL_CITATION {"citationID":"DzwYtAUb","properties":{"formattedCitation":"The Associated Press, {\\i{}prefixes} {\\scaps The Associated Press Stylebook} (55th (2020 \\uc0\\u8211{} 2022) ed. 2020).","plainCitation":"The Associated Press, prefixes The Associated Press Stylebook (55th (2020 – 2022) ed. 2020).","noteIndex":32},"citationItems":[{"id":6558,"uris":["http://zotero.org/groups/2385044/items/FXEPZAQN"],"itemData":{"id":6558,"type":"entry-dictionary","abstract":"See separate listings for commonly used prefixes.\n\nThe Stylebook’s preferences on whether to use a hyphen following a prefix are based largely on usage and Webster’s New World College Dictionary. Generally we do not hyphenate when using a prefix with a word starting with a consonant. But there are exceptions. See individual entries and the dictionary.\n\nThree rules are constant:\n\n— Use a hyphen if the prefix ends in a vowel and the word that follows begins with the same vowel. Exceptions: cooperate, coordinate, and double-e combinations such as preestablish, preeminent, preeclampsia, preempt.\n— Use a hyphen if the word that follows is capitalized.\n— Use a hyphen to join doubled prefixes: sub-subparagraph.","container-title":"The Associated Press Stylebook","edition":"55th (2020 – 2022)","event-place":"New York","ISBN":"978-1-5416-4757-2","language":"English","publisher":"The Associated Press","publisher-place":"New York","source":"Library of Congress ISBN","title":"prefixes","title-short":"AP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prefixes</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34">
    <w:p w14:paraId="35477FAB" w14:textId="0792C1F6"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{"citationID":"EtqRJWK8","properties":{"formattedCitation":"The Difference Between Ex-Ante, Post Hoc, Ex Post, A Priori, and A Posteriori, {\\scaps Daniel Miessler} (2018), https://danielmiessler.com/blog/the-difference-between-ex-ante-post-hoc-ex-post-a-priori-a-posteriori/ [https://perma.cc/9VXJ-HNM6] (last visited Mar 6, 2021).","plainCitation":"The Difference Between Ex-Ante, Post Hoc, Ex Post, A Priori, and A Posteriori, Daniel Miessler (2018), https://danielmiessler.com/blog/the-difference-between-ex-ante-post-hoc-ex-post-a-priori-a-posteriori/ [https://perma.cc/9VXJ-HNM6] (last visited Mar 6, 2021).","noteIndex":33},"citationItems":[{"id":5632,"uris":["http://zotero.org/groups/2385044/items/BA33XABW"],"itemData":{"id":5632,"type":"webpage","abstract":"If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smallCaps/>
        </w:rPr>
        <w:t>Daniel Miessler</w:t>
      </w:r>
      <w:r w:rsidR="006223EF" w:rsidRPr="006223EF">
        <w:rPr>
          <w:rFonts w:ascii="Calibri" w:cs="Calibri"/>
        </w:rPr>
        <w:t xml:space="preserve"> (2018), https://danielmiessler.com/blog/the-difference-between-ex-ante-post-hoc-ex-post-a-priori-a-posteriori/ [https://perma.cc/9VXJ-HNM6] (last visited Mar 6, 2021).</w:t>
      </w:r>
      <w:r>
        <w:fldChar w:fldCharType="end"/>
      </w:r>
    </w:p>
  </w:footnote>
  <w:footnote w:id="35">
    <w:p w14:paraId="12F98C08" w14:textId="01B3C6ED"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{"citationID":"vWwH1XEW","properties":{"formattedCitation":"{\\i{}Id.}","plainCitation":"Id.","noteIndex":34},"citationItems":[{"id":5632,"uris":["http://zotero.org/groups/2385044/items/BA33XABW"],"itemData":{"id":5632,"type":"webpage","abstract":"If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i/>
          <w:iCs/>
        </w:rPr>
        <w:t>Id.</w:t>
      </w:r>
      <w:r>
        <w:fldChar w:fldCharType="end"/>
      </w:r>
    </w:p>
  </w:footnote>
  <w:footnote w:id="36">
    <w:p w14:paraId="3E54D883" w14:textId="40277B20" w:rsidR="00EA435C" w:rsidRDefault="00EA435C">
      <w:pPr>
        <w:pStyle w:val="FootnoteText"/>
      </w:pPr>
      <w:r w:rsidRPr="00755452">
        <w:rPr>
          <w:rStyle w:val="FootnoteReference"/>
        </w:rPr>
        <w:footnoteRef/>
      </w:r>
      <w:r>
        <w:t xml:space="preserve"> </w:t>
      </w:r>
      <w:r>
        <w:fldChar w:fldCharType="begin"/>
      </w:r>
      <w:r w:rsidR="006223EF">
        <w:instrText xml:space="preserve"> ADDIN ZOTERO_ITEM CSL_CITATION {"citationID":"X9QAnKBK","properties":{"formattedCitation":"The Associated Press, {\\i{}a.m., p.m.} {\\scaps The Associated Press Stylebook} (55th (2020 \\uc0\\u8211{} 2022) ed. 2020).","plainCitation":"The Associated Press, a.m., p.m. The Associated Press Stylebook (55th (2020 – 2022) ed. 2020).","noteIndex":35},"citationItems":[{"id":6330,"uris":["http://zotero.org/groups/2385044/items/C2XEEJM4"],"itemData":{"id":6330,"type":"entry-dictionary","abstract":"\"Master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ISBN","title":"a.m., p.m.","title-short":"AP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a.m., p.m.</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37">
    <w:p w14:paraId="6BCAEDBE" w14:textId="36D3863B" w:rsidR="001C3546" w:rsidRDefault="001C3546">
      <w:pPr>
        <w:pStyle w:val="FootnoteText"/>
      </w:pPr>
      <w:r w:rsidRPr="00755452">
        <w:rPr>
          <w:rStyle w:val="FootnoteReference"/>
        </w:rPr>
        <w:footnoteRef/>
      </w:r>
      <w:r>
        <w:t xml:space="preserve"> </w:t>
      </w:r>
      <w:r>
        <w:fldChar w:fldCharType="begin"/>
      </w:r>
      <w:r w:rsidR="006223EF">
        <w:instrText xml:space="preserve"> ADDIN ZOTERO_ITEM CSL_CITATION {"citationID":"qoFkaoF2","properties":{"formattedCitation":"Definition of ACKNOWLEDGMENT, {\\scaps Merriam-Webster.com Dictionary}, https://www.merriam-webster.com/dictionary/acknowledgment [https://perma.cc/M559-559D] (last visited Jun 16, 2021).","plainCitation":"Definition of ACKNOWLEDGMENT, Merriam-Webster.com Dictionary, https://www.merriam-webster.com/dictionary/acknowledgment [https://perma.cc/M559-559D] (last visited Jun 16, 2021).","noteIndex":36},"citationItems":[{"id":5876,"uris":["http://zotero.org/groups/2385044/items/WZS9PDAP"],"itemData":{"id":5876,"type":"webpage","abstract":"the act of acknowledging something or someone; recognition or favorable notice of an act or achievement; a thing done or given in recognition of something received… See the full definition","container-title":"Merriam-Webster.com Dictionary","language":"en","title":"Definition of ACKNOWLEDGMENT","URL":"https://www.merriam-webster.com/dictionary/acknowledgment [https://perma.cc/M559-559D]","accessed":{"date-parts":[["2021",6,16]]}}}],"schema":"https://github.com/citation-style-language/schema/raw/master/csl-citation.json"} </w:instrText>
      </w:r>
      <w:r>
        <w:fldChar w:fldCharType="separate"/>
      </w:r>
      <w:r w:rsidR="006223EF" w:rsidRPr="006223EF">
        <w:rPr>
          <w:rFonts w:ascii="Calibri" w:cs="Calibri"/>
        </w:rPr>
        <w:t xml:space="preserve">Definition of ACKNOWLEDGMENT, </w:t>
      </w:r>
      <w:r w:rsidR="006223EF" w:rsidRPr="006223EF">
        <w:rPr>
          <w:rFonts w:ascii="Calibri" w:cs="Calibri"/>
          <w:smallCaps/>
        </w:rPr>
        <w:t>Merriam-Webster.com Dictionary</w:t>
      </w:r>
      <w:r w:rsidR="006223EF" w:rsidRPr="006223EF">
        <w:rPr>
          <w:rFonts w:ascii="Calibri" w:cs="Calibri"/>
        </w:rPr>
        <w:t>, https://www.merriam-webster.com/dictionary/acknowledgment [https://perma.cc/M559-559D] (last visited Jun 16, 2021).</w:t>
      </w:r>
      <w:r>
        <w:fldChar w:fldCharType="end"/>
      </w:r>
    </w:p>
  </w:footnote>
  <w:footnote w:id="38">
    <w:p w14:paraId="0A7DB845" w14:textId="2D1881A0"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{"citationID":"yY0txZ9j","properties":{"formattedCitation":"The Difference Between Ex-Ante, Post Hoc, Ex Post, A Priori, and A Posteriori, {\\i{}supra} note 33.","plainCitation":"The Difference Between Ex-Ante, Post Hoc, Ex Post, A Priori, and A Posteriori, supra note 33.","noteIndex":37},"citationItems":[{"id":5632,"uris":["http://zotero.org/groups/2385044/items/BA33XABW"],"itemData":{"id":5632,"type":"webpage","abstract":"If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p>
  </w:footnote>
  <w:footnote w:id="39">
    <w:p w14:paraId="1C7A834E" w14:textId="1364429F" w:rsidR="00AE1504" w:rsidRDefault="00AE1504">
      <w:pPr>
        <w:pStyle w:val="FootnoteText"/>
      </w:pPr>
      <w:r w:rsidRPr="00755452">
        <w:rPr>
          <w:rStyle w:val="FootnoteReference"/>
        </w:rPr>
        <w:footnoteRef/>
      </w:r>
      <w:r>
        <w:t xml:space="preserve"> </w:t>
      </w:r>
      <w:r>
        <w:fldChar w:fldCharType="begin"/>
      </w:r>
      <w:r w:rsidR="006223EF">
        <w:instrText xml:space="preserve"> ADDIN ZOTERO_ITEM CSL_CITATION {"citationID":"BhpRV3Jx","properties":{"formattedCitation":"adhesion contract, {\\scaps Black\\uc0\\u8217{}s Law Dictionary} (10th ed. 2014).","plainCitation":"adhesion contract, Black’s Law Dictionary (10th ed. 2014).","noteIndex":38},"citationItems":[{"id":5938,"uris":["http://zotero.org/groups/2385044/items/ANX3RXDB"],"itemData":{"id":5938,"type":"entry-dictionary","container-title":"Black's Law Dictionary","edition":"10th","language":"en-US","note":"1. Oil &amp; gas. A contract among owners of the working interest in a producing oil or gas well setting forth the parties' agreements about drilling, development, operations, and accounting.\n\n2. Corporations. A limited-liability company's governing document that sets out the financial and managerial rights of the company's members.","title":"adhesion contract","issued":{"date-parts":[["2014"]]}}}],"schema":"https://github.com/citation-style-language/schema/raw/master/csl-citation.json"} </w:instrText>
      </w:r>
      <w:r>
        <w:fldChar w:fldCharType="separate"/>
      </w:r>
      <w:r w:rsidR="006223EF" w:rsidRPr="006223EF">
        <w:rPr>
          <w:rFonts w:ascii="Calibri" w:cs="Calibri"/>
        </w:rPr>
        <w:t xml:space="preserve">adhesion contract, </w:t>
      </w:r>
      <w:r w:rsidR="006223EF" w:rsidRPr="006223EF">
        <w:rPr>
          <w:rFonts w:ascii="Calibri" w:cs="Calibri"/>
          <w:smallCaps/>
        </w:rPr>
        <w:t>Black’s Law Dictionary</w:t>
      </w:r>
      <w:r w:rsidR="006223EF" w:rsidRPr="006223EF">
        <w:rPr>
          <w:rFonts w:ascii="Calibri" w:cs="Calibri"/>
        </w:rPr>
        <w:t xml:space="preserve"> (10th ed. 2014).</w:t>
      </w:r>
      <w:r>
        <w:fldChar w:fldCharType="end"/>
      </w:r>
    </w:p>
  </w:footnote>
  <w:footnote w:id="40">
    <w:p w14:paraId="096DCB22" w14:textId="23FAC7BC" w:rsidR="003D65AA" w:rsidRDefault="003D65AA">
      <w:pPr>
        <w:pStyle w:val="FootnoteText"/>
      </w:pPr>
      <w:r w:rsidRPr="00755452">
        <w:rPr>
          <w:rStyle w:val="FootnoteReference"/>
        </w:rPr>
        <w:footnoteRef/>
      </w:r>
      <w:r>
        <w:t xml:space="preserve"> </w:t>
      </w:r>
      <w:r>
        <w:fldChar w:fldCharType="begin"/>
      </w:r>
      <w:r w:rsidR="006223EF">
        <w:instrText xml:space="preserve"> ADDIN ZOTERO_ITEM CSL_CITATION {"citationID":"k2YXCD7O","properties":{"formattedCitation":"{\\scaps The Chicago Manual of Style}, 221 (16th ed. 2010).","plainCitation":"The Chicago Manual of Style, 221 (16th ed. 2010).","noteIndex":39},"citationItems":[{"id":5940,"uris":["http://zotero.org/groups/2385044/items/F5BXMW8A"],"itemData":{"id":5940,"type":"book","call-number":"Z253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Style","issued":{"date-parts":[["2010"]]}},"locator":"221"}],"schema":"https://github.com/citation-style-language/schema/raw/master/csl-citation.json"}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221 (16th ed. 2010).</w:t>
      </w:r>
      <w:r>
        <w:fldChar w:fldCharType="end"/>
      </w:r>
    </w:p>
  </w:footnote>
  <w:footnote w:id="41">
    <w:p w14:paraId="1288C3F8" w14:textId="32E5EE70" w:rsidR="003A37E4" w:rsidRDefault="003A37E4">
      <w:pPr>
        <w:pStyle w:val="FootnoteText"/>
      </w:pPr>
      <w:r w:rsidRPr="00755452">
        <w:rPr>
          <w:rStyle w:val="FootnoteReference"/>
        </w:rPr>
        <w:footnoteRef/>
      </w:r>
      <w:r>
        <w:t xml:space="preserve"> </w:t>
      </w:r>
      <w:r>
        <w:fldChar w:fldCharType="begin"/>
      </w:r>
      <w:r w:rsidR="006223EF">
        <w:instrText xml:space="preserve"> ADDIN ZOTERO_ITEM CSL_CITATION {"citationID":"wEA5PYKC","properties":{"formattedCitation":"The Associated Press, {\\i{}affect, effect} {\\scaps The Associated Press Stylebook} (55th (2020 \\uc0\\u8211{} 2022) ed. 2020).","plainCitation":"The Associated Press, affect, effect The Associated Press Stylebook (55th (2020 – 2022) ed. 2020).","noteIndex":40},"citationItems":[{"id":5884,"uris":["http://zotero.org/groups/2385044/items/9KRFMRLM"],"itemData":{"id":5884,"type":"entry-dictionary","abstract":"\"Master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ISBN","title":"affect, effect","title-short":"AP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affect, effect</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42">
    <w:p w14:paraId="638BDD46" w14:textId="4FC7D2B6" w:rsidR="00F43EC1" w:rsidRDefault="00F43EC1">
      <w:pPr>
        <w:pStyle w:val="FootnoteText"/>
      </w:pPr>
      <w:r w:rsidRPr="00755452">
        <w:rPr>
          <w:rStyle w:val="FootnoteReference"/>
        </w:rPr>
        <w:footnoteRef/>
      </w:r>
      <w:r>
        <w:t xml:space="preserve"> </w:t>
      </w:r>
      <w:r>
        <w:fldChar w:fldCharType="begin"/>
      </w:r>
      <w:r w:rsidR="006223EF">
        <w:instrText xml:space="preserve"> ADDIN ZOTERO_ITEM CSL_CITATION {"citationID":"9clqjeyn","properties":{"formattedCitation":"Among vs. Amongst, {\\scaps Dictionary.com} (2016), https://www.dictionary.com/e/among-vs-amongst/ (last visited May 30, 2024).","plainCitation":"Among vs. Amongst, Dictionary.com (2016), https://www.dictionary.com/e/among-vs-amongst/ (last visited May 30, 2024).","noteIndex":41},"citationItems":[{"id":7145,"uris":["http://zotero.org/groups/2385044/items/GL7KM9BS"],"itemData":{"id":7145,"type":"post-weblog","abstract":"When you’re among friends, you talk amongst yourselves, right? Or is it the other way around? Among and amongst are variations of the same word. Among is more common in American English, while amongst used almost exclusively in British English. History and Meaning Amongst may feel more archaic to speakers of American English, but among is actually the older word, dating back to Old English …","container-title":"Dictionary.com","language":"en-US","note":"section: Commonly Confused","title":"Among vs. Amongst","URL":"https://www.dictionary.com/e/among-vs-amongst/","accessed":{"date-parts":[["2024",5,30]]},"issued":{"date-parts":[["2016",12,15]]}}}],"schema":"https://github.com/citation-style-language/schema/raw/master/csl-citation.json"} </w:instrText>
      </w:r>
      <w:r>
        <w:fldChar w:fldCharType="separate"/>
      </w:r>
      <w:r w:rsidR="006223EF" w:rsidRPr="006223EF">
        <w:rPr>
          <w:rFonts w:ascii="Calibri" w:cs="Calibri"/>
        </w:rPr>
        <w:t xml:space="preserve">Among vs. Amongst, </w:t>
      </w:r>
      <w:r w:rsidR="006223EF" w:rsidRPr="006223EF">
        <w:rPr>
          <w:rFonts w:ascii="Calibri" w:cs="Calibri"/>
          <w:smallCaps/>
        </w:rPr>
        <w:t>Dictionary.com</w:t>
      </w:r>
      <w:r w:rsidR="006223EF" w:rsidRPr="006223EF">
        <w:rPr>
          <w:rFonts w:ascii="Calibri" w:cs="Calibri"/>
        </w:rPr>
        <w:t xml:space="preserve"> (2016), https://www.dictionary.com/e/among-vs-amongst/ (last visited May 30, 2024).</w:t>
      </w:r>
      <w:r>
        <w:fldChar w:fldCharType="end"/>
      </w:r>
    </w:p>
  </w:footnote>
  <w:footnote w:id="43">
    <w:p w14:paraId="2B36B992" w14:textId="692DF51C" w:rsidR="00F3231C" w:rsidRDefault="00F3231C">
      <w:pPr>
        <w:pStyle w:val="FootnoteText"/>
      </w:pPr>
      <w:r w:rsidRPr="00755452">
        <w:rPr>
          <w:rStyle w:val="FootnoteReference"/>
        </w:rPr>
        <w:footnoteRef/>
      </w:r>
      <w:r>
        <w:t xml:space="preserve"> </w:t>
      </w:r>
      <w:r>
        <w:fldChar w:fldCharType="begin"/>
      </w:r>
      <w:r w:rsidR="006223EF">
        <w:instrText xml:space="preserve"> ADDIN ZOTERO_ITEM CSL_CITATION {"citationID":"w7yoZc1w","properties":{"formattedCitation":"{\\scaps The Chicago Manual of Style}, {\\i{}supra} note 39 at 22.","plainCitation":"The Chicago Manual of Style, supra note 39 at 22.","noteIndex":42},"citationItems":[{"id":5940,"uris":["http://zotero.org/groups/2385044/items/F5BXMW8A"],"itemData":{"id":5940,"type":"book","call-number":"Z253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Style","issued":{"date-parts":[["2010"]]}},"locator":"22"}],"schema":"https://github.com/citation-style-language/schema/raw/master/csl-citation.json"}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39 at 22.</w:t>
      </w:r>
      <w:r>
        <w:fldChar w:fldCharType="end"/>
      </w:r>
    </w:p>
  </w:footnote>
  <w:footnote w:id="44">
    <w:p w14:paraId="4A0EB458" w14:textId="40704E12" w:rsidR="00A82016" w:rsidRDefault="00A82016">
      <w:pPr>
        <w:pStyle w:val="FootnoteText"/>
      </w:pPr>
      <w:r w:rsidRPr="00755452">
        <w:rPr>
          <w:rStyle w:val="FootnoteReference"/>
        </w:rPr>
        <w:footnoteRef/>
      </w:r>
      <w:r>
        <w:t xml:space="preserve"> </w:t>
      </w:r>
      <w:r>
        <w:fldChar w:fldCharType="begin"/>
      </w:r>
      <w:r w:rsidR="006223EF">
        <w:instrText xml:space="preserve"> ADDIN ZOTERO_ITEM CSL_CITATION {"citationID":"eowwnl5y","properties":{"formattedCitation":"Are \\uc0\\u8220{}Assume\\uc0\\u8221{} and \\uc0\\u8220{}Presume\\uc0\\u8221{} Synonyms?, , https://www.merriam-webster.com/words-at-play/assume-vs-presume [https://perma.cc/LZE8-QG6W] (last visited May 17, 2021).","plainCitation":"Are “Assume” and “Presume” Synonyms?, , https://www.merriam-webster.com/words-at-play/assume-vs-presume [https://perma.cc/LZE8-QG6W] (last visited May 17, 2021).","noteIndex":43},"citationItems":[{"id":5933,"uris":["http://zotero.org/groups/2385044/items/MY23WEQA"],"itemData":{"id":5933,"type":"webpage","abstract":"Yes, but one implies confidence","language":"en","title":"Are 'Assume' and 'Presume' Synonyms?","URL":"https://www.merriam-webster.com/words-at-play/assume-vs-presume [https://perma.cc/LZE8-QG6W]","accessed":{"date-parts":[["2021",5,17]]}}}],"schema":"https://github.com/citation-style-language/schema/raw/master/csl-citation.json"} </w:instrText>
      </w:r>
      <w:r>
        <w:fldChar w:fldCharType="separate"/>
      </w:r>
      <w:r w:rsidR="006223EF" w:rsidRPr="006223EF">
        <w:rPr>
          <w:rFonts w:ascii="Calibri" w:cs="Calibri"/>
        </w:rPr>
        <w:t>Are “Assume” and “Presume” Synonyms?, , https://www.merriam-webster.com/words-at-play/assume-vs-presume [https://perma.cc/LZE8-QG6W] (last visited May 17, 2021).</w:t>
      </w:r>
      <w:r>
        <w:fldChar w:fldCharType="end"/>
      </w:r>
    </w:p>
  </w:footnote>
  <w:footnote w:id="45">
    <w:p w14:paraId="7AFAE894" w14:textId="0EF68B42" w:rsidR="00982F4D" w:rsidRDefault="00982F4D">
      <w:pPr>
        <w:pStyle w:val="FootnoteText"/>
      </w:pPr>
      <w:r w:rsidRPr="00755452">
        <w:rPr>
          <w:rStyle w:val="FootnoteReference"/>
        </w:rPr>
        <w:footnoteRef/>
      </w:r>
      <w:r>
        <w:t xml:space="preserve"> </w:t>
      </w:r>
      <w:r>
        <w:fldChar w:fldCharType="begin"/>
      </w:r>
      <w:r w:rsidR="006223EF">
        <w:instrText xml:space="preserve"> ADDIN ZOTERO_ITEM CSL_CITATION {"citationID":"aFjZL5uR","properties":{"formattedCitation":"Bryan A. Garner, {\\i{}Chronology} {\\scaps Garner\\uc0\\u8217{}s Modern English Usage} (Fourth edition ed. 2016).","plainCitation":"Bryan A. Garner, Chronology Garner’s Modern English Usage (Fourth edition ed. 2016).","noteIndex":44},"citationItems":[{"id":5914,"uris":["http://zotero.org/groups/2385044/items/XA69FMYP"],"itemData":{"id":5914,"type":"entry-dictionary","abstract":"\"Illustrates with actual examples, cited with chapter and verse, all the linguistic blunders that modern writers and speakers are pone to, whether in word choice, syntax phrasing, punctuation, or pronunciation.\"--Jacket","call-number":"PE2827 .G37 2016","container-title":"Garner's Modern English Usage","edition":"Fourth edition","event-place":"New York, NY","ISBN":"978-0-19-049148-2","note":"OCLC: ocn922726594","publisher":"Oxford University Press","publisher-place":"New York, NY","source":"Library of Congress ISBN","title":"Chronology","author":[{"family":"Garner","given":"Bryan A."}],"issued":{"date-parts":[["2016"]]}}}],"schema":"https://github.com/citation-style-language/schema/raw/master/csl-citation.json"} </w:instrText>
      </w:r>
      <w:r>
        <w:fldChar w:fldCharType="separate"/>
      </w:r>
      <w:r w:rsidR="006223EF" w:rsidRPr="006223EF">
        <w:rPr>
          <w:rFonts w:ascii="Calibri" w:cs="Calibri"/>
        </w:rPr>
        <w:t xml:space="preserve">Bryan A. Garner, </w:t>
      </w:r>
      <w:r w:rsidR="006223EF" w:rsidRPr="006223EF">
        <w:rPr>
          <w:rFonts w:ascii="Calibri" w:cs="Calibri"/>
          <w:i/>
          <w:iCs/>
        </w:rPr>
        <w:t>Chronology</w:t>
      </w:r>
      <w:r w:rsidR="006223EF" w:rsidRPr="006223EF">
        <w:rPr>
          <w:rFonts w:ascii="Calibri" w:cs="Calibri"/>
        </w:rPr>
        <w:t xml:space="preserve"> </w:t>
      </w:r>
      <w:r w:rsidR="006223EF" w:rsidRPr="006223EF">
        <w:rPr>
          <w:rFonts w:ascii="Calibri" w:cs="Calibri"/>
          <w:smallCaps/>
        </w:rPr>
        <w:t>Garner’s Modern English Usage</w:t>
      </w:r>
      <w:r w:rsidR="006223EF" w:rsidRPr="006223EF">
        <w:rPr>
          <w:rFonts w:ascii="Calibri" w:cs="Calibri"/>
        </w:rPr>
        <w:t xml:space="preserve"> (Fourth edition ed. 2016).</w:t>
      </w:r>
      <w:r>
        <w:fldChar w:fldCharType="end"/>
      </w:r>
    </w:p>
  </w:footnote>
  <w:footnote w:id="46">
    <w:p w14:paraId="30874595" w14:textId="29B8C596" w:rsidR="007C4259" w:rsidRDefault="007C4259">
      <w:pPr>
        <w:pStyle w:val="FootnoteText"/>
      </w:pPr>
      <w:r w:rsidRPr="00755452">
        <w:rPr>
          <w:rStyle w:val="FootnoteReference"/>
        </w:rPr>
        <w:footnoteRef/>
      </w:r>
      <w:r>
        <w:t xml:space="preserve"> </w:t>
      </w:r>
      <w:r>
        <w:fldChar w:fldCharType="begin"/>
      </w:r>
      <w:r w:rsidR="007B75BA">
        <w:instrText xml:space="preserve"> ADDIN ZOTERO_ITEM CSL_CITATION {"citationID":"lnwgbX9I","properties":{"formattedCitation":"Bryan A. Garner, {\\i{}Garner\\uc0\\u8217{}s Modern American Usage} 12% (Oxford University Press 3e ed. 2009), {\\i{}supra} note 14.","plainCitation":"Bryan A. Garner, Garner’s Modern American Usage 12% (Oxford University Press 3e ed. 2009), supra note 14.","dontUpdate":true,"noteIndex":45},"citationItems":[{"id":5941,"uris":["http://zotero.org/groups/2385044/items/796T7M8F"],"itemData":{"id":5941,"type":"book","call-number":"PE2827 .G37 2009","edition":"3e","event-place":"New York","ISBN":"978-0-19-538275-4","number-of-pages":"942","publisher":"Oxford University Press","publisher-place":"New York","source":"Library of Congress ISBN","title":"Garner's Modern American Usage","author":[{"literal":"Bryan A. Garner"}],"issued":{"date-parts":[["2009"]]}},"locator":"12%","label":"page"}],"schema":"https://github.com/citation-style-language/schema/raw/master/csl-citation.json"} </w:instrText>
      </w:r>
      <w:r>
        <w:fldChar w:fldCharType="separate"/>
      </w:r>
      <w:r w:rsidRPr="007C4259">
        <w:rPr>
          <w:rFonts w:ascii="Calibri" w:cs="Calibri"/>
        </w:rPr>
        <w:t xml:space="preserve">Bryan A. Garner, </w:t>
      </w:r>
      <w:r w:rsidRPr="007C4259">
        <w:rPr>
          <w:rFonts w:ascii="Calibri" w:cs="Calibri"/>
          <w:i/>
          <w:iCs/>
        </w:rPr>
        <w:t>Garner’s Modern American Usage</w:t>
      </w:r>
      <w:r>
        <w:rPr>
          <w:rFonts w:ascii="Calibri" w:cs="Calibri"/>
        </w:rPr>
        <w:t>: bad(-)faith</w:t>
      </w:r>
      <w:r w:rsidRPr="007C4259">
        <w:rPr>
          <w:rFonts w:ascii="Calibri" w:cs="Calibri"/>
        </w:rPr>
        <w:t xml:space="preserve"> 12% (Oxford University Press 3e ed. 2009), </w:t>
      </w:r>
      <w:r w:rsidRPr="007C4259">
        <w:rPr>
          <w:rFonts w:ascii="Calibri" w:cs="Calibri"/>
          <w:i/>
          <w:iCs/>
        </w:rPr>
        <w:t>supra</w:t>
      </w:r>
      <w:r w:rsidRPr="007C4259">
        <w:rPr>
          <w:rFonts w:ascii="Calibri" w:cs="Calibri"/>
        </w:rPr>
        <w:t xml:space="preserve"> note 14.</w:t>
      </w:r>
      <w:r>
        <w:fldChar w:fldCharType="end"/>
      </w:r>
    </w:p>
  </w:footnote>
  <w:footnote w:id="47">
    <w:p w14:paraId="45244BDD" w14:textId="2AE04C3C" w:rsidR="00B47779" w:rsidRDefault="00B47779">
      <w:pPr>
        <w:pStyle w:val="FootnoteText"/>
      </w:pPr>
      <w:r w:rsidRPr="00755452">
        <w:rPr>
          <w:rStyle w:val="FootnoteReference"/>
        </w:rPr>
        <w:footnoteRef/>
      </w:r>
      <w:r>
        <w:t xml:space="preserve"> </w:t>
      </w:r>
      <w:r>
        <w:fldChar w:fldCharType="begin"/>
      </w:r>
      <w:r w:rsidR="006223EF">
        <w:instrText xml:space="preserve"> ADDIN ZOTERO_ITEM CSL_CITATION {"citationID":"ChzzDaw2","properties":{"formattedCitation":"Paula Froke et al., {\\i{}canvas, canvass} {\\scaps The Associated Press Stylebook, 2024-2026} (57th edition ed. 2024).","plainCitation":"Paula Froke et al., canvas, canvass The Associated Press Stylebook, 2024-2026 (57th edition ed. 2024).","noteIndex":46},"citationItems":[{"id":7312,"uris":["http://zotero.org/groups/2385044/items/MZLNRWMS"],"itemData":{"id":7312,"type":"entry-dictionary","abstract":"\"The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cover","container-title":"The Associated Press Stylebook, 2024-2026","edition":"57th edition","event-place":"New York, NY","ISBN":"978-1-5416-0511-4","language":"English","note":"OCLC: 1408649651","publisher":"Basic Books","publisher-place":"New York, NY","source":"Open WorldCat","title":"canvas, canvass","author":[{"family":"Froke","given":"Paula"},{"family":"Bratton","given":"Anna Jo"},{"family":"Gross","given":"Andale"},{"family":"McMillan","given":"Jeff"},{"family":"Sarkar","given":"Pia"},{"family":"Schwartz","given":"Jerry"}],"issued":{"date-parts":[["2024"]]}}}],"schema":"https://github.com/citation-style-language/schema/raw/master/csl-citation.json"} </w:instrText>
      </w:r>
      <w:r>
        <w:fldChar w:fldCharType="separate"/>
      </w:r>
      <w:r w:rsidR="006223EF" w:rsidRPr="006223EF">
        <w:rPr>
          <w:rFonts w:ascii="Calibri" w:cs="Calibri"/>
        </w:rPr>
        <w:t xml:space="preserve">Paula Froke et al., </w:t>
      </w:r>
      <w:r w:rsidR="006223EF" w:rsidRPr="006223EF">
        <w:rPr>
          <w:rFonts w:ascii="Calibri" w:cs="Calibri"/>
          <w:i/>
          <w:iCs/>
        </w:rPr>
        <w:t>canvas, canvass</w:t>
      </w:r>
      <w:r w:rsidR="006223EF" w:rsidRPr="006223EF">
        <w:rPr>
          <w:rFonts w:ascii="Calibri" w:cs="Calibri"/>
        </w:rPr>
        <w:t xml:space="preserve"> </w:t>
      </w:r>
      <w:r w:rsidR="006223EF" w:rsidRPr="006223EF">
        <w:rPr>
          <w:rFonts w:ascii="Calibri" w:cs="Calibri"/>
          <w:smallCaps/>
        </w:rPr>
        <w:t>The Associated Press Stylebook, 2024-2026</w:t>
      </w:r>
      <w:r w:rsidR="006223EF" w:rsidRPr="006223EF">
        <w:rPr>
          <w:rFonts w:ascii="Calibri" w:cs="Calibri"/>
        </w:rPr>
        <w:t xml:space="preserve"> (57th edition ed. 2024).</w:t>
      </w:r>
      <w:r>
        <w:fldChar w:fldCharType="end"/>
      </w:r>
    </w:p>
  </w:footnote>
  <w:footnote w:id="48">
    <w:p w14:paraId="318CCC18" w14:textId="6B166D11" w:rsidR="004C33CB" w:rsidRDefault="004C33CB">
      <w:pPr>
        <w:pStyle w:val="FootnoteText"/>
      </w:pPr>
      <w:r w:rsidRPr="00755452">
        <w:rPr>
          <w:rStyle w:val="FootnoteReference"/>
        </w:rPr>
        <w:footnoteRef/>
      </w:r>
      <w:r>
        <w:t xml:space="preserve"> </w:t>
      </w:r>
      <w:r>
        <w:fldChar w:fldCharType="begin"/>
      </w:r>
      <w:r w:rsidR="006223EF">
        <w:instrText xml:space="preserve"> ADDIN ZOTERO_ITEM CSL_CITATION {"citationID":"mdKEDjDo","properties":{"formattedCitation":"Definition of CHOCK-FULL, {\\scaps Merriam-Webster.com Dictionary} (2021), https://www.merriam-webster.com/dictionary/chock-full [https://perma.cc/3P2P-ZNVZ] (last visited May 27, 2021).","plainCitation":"Definition of CHOCK-FULL, Merriam-Webster.com Dictionary (2021), https://www.merriam-webster.com/dictionary/chock-full [https://perma.cc/3P2P-ZNVZ] (last visited May 27, 2021).","noteIndex":47},"citationItems":[{"id":5878,"uris":["http://zotero.org/groups/2385044/items/VXBYY9IG"],"itemData":{"id":5878,"type":"webpage","abstract":"full to the limit… See the full definition","container-title":"Merriam-Webster.com Dictionary","language":"en","title":"Definition of CHOCK-FULL","URL":"https://www.merriam-webster.com/dictionary/chock-full [https://perma.cc/3P2P-ZNVZ]","accessed":{"date-parts":[["2021",5,27]]},"issued":{"date-parts":[["2021",5,27]]}}}],"schema":"https://github.com/citation-style-language/schema/raw/master/csl-citation.json"} </w:instrText>
      </w:r>
      <w:r>
        <w:fldChar w:fldCharType="separate"/>
      </w:r>
      <w:r w:rsidR="006223EF" w:rsidRPr="006223EF">
        <w:rPr>
          <w:rFonts w:ascii="Calibri" w:cs="Calibri"/>
        </w:rPr>
        <w:t xml:space="preserve">Definition of CHOCK-FULL, </w:t>
      </w:r>
      <w:r w:rsidR="006223EF" w:rsidRPr="006223EF">
        <w:rPr>
          <w:rFonts w:ascii="Calibri" w:cs="Calibri"/>
          <w:smallCaps/>
        </w:rPr>
        <w:t>Merriam-Webster.com Dictionary</w:t>
      </w:r>
      <w:r w:rsidR="006223EF" w:rsidRPr="006223EF">
        <w:rPr>
          <w:rFonts w:ascii="Calibri" w:cs="Calibri"/>
        </w:rPr>
        <w:t xml:space="preserve"> (2021), https://www.merriam-webster.com/dictionary/chock-full [https://perma.cc/3P2P-ZNVZ] (last visited May 27, 2021).</w:t>
      </w:r>
      <w:r>
        <w:fldChar w:fldCharType="end"/>
      </w:r>
    </w:p>
  </w:footnote>
  <w:footnote w:id="49">
    <w:p w14:paraId="6CB39869" w14:textId="16CCC2F1" w:rsidR="00BA5EC2" w:rsidRDefault="00BA5EC2">
      <w:pPr>
        <w:pStyle w:val="FootnoteText"/>
      </w:pPr>
      <w:r w:rsidRPr="00755452">
        <w:rPr>
          <w:rStyle w:val="FootnoteReference"/>
        </w:rPr>
        <w:footnoteRef/>
      </w:r>
      <w:r>
        <w:t xml:space="preserve"> </w:t>
      </w:r>
      <w:r>
        <w:fldChar w:fldCharType="begin"/>
      </w:r>
      <w:r w:rsidR="006223EF">
        <w:instrText xml:space="preserve"> ADDIN ZOTERO_ITEM CSL_CITATION {"citationID":"QiBDZc0m","properties":{"formattedCitation":"Bryan A. Garner, {\\i{}comprise, compose} {\\scaps Garner\\uc0\\u8217{}s Modern English Usage} (Fourth edition ed. 2016).","plainCitation":"Bryan A. Garner, comprise, compose Garner’s Modern English Usage (Fourth edition ed. 2016).","noteIndex":48},"citationItems":[{"id":7386,"uris":["http://zotero.org/groups/2385044/items/MAVN53BF"],"itemData":{"id":7386,"type":"entry-dictionary","abstract":"\"Illustrates with actual examples, cited with chapter and verse, all the linguistic blunders that modern writers and speakers are pone to, whether in word choice, syntax phrasing, punctuation, or pronunciation.\"--Jacket","call-number":"PE2827 .G37 2016","container-title":"Garner's Modern English Usage","edition":"Fourth edition","event-place":"New York, NY","ISBN":"978-0-19-049148-2","note":"OCLC: ocn922726594","publisher":"Oxford University Press","publisher-place":"New York, NY","source":"Library of Congress ISBN","title":"comprise, compose","author":[{"family":"Garner","given":"Bryan A."}],"issued":{"date-parts":[["2016"]]}}}],"schema":"https://github.com/citation-style-language/schema/raw/master/csl-citation.json"} </w:instrText>
      </w:r>
      <w:r>
        <w:fldChar w:fldCharType="separate"/>
      </w:r>
      <w:r w:rsidR="006223EF" w:rsidRPr="006223EF">
        <w:rPr>
          <w:rFonts w:ascii="Calibri" w:cs="Calibri"/>
        </w:rPr>
        <w:t xml:space="preserve">Bryan A. Garner, </w:t>
      </w:r>
      <w:r w:rsidR="006223EF" w:rsidRPr="006223EF">
        <w:rPr>
          <w:rFonts w:ascii="Calibri" w:cs="Calibri"/>
          <w:i/>
          <w:iCs/>
        </w:rPr>
        <w:t>comprise, compose</w:t>
      </w:r>
      <w:r w:rsidR="006223EF" w:rsidRPr="006223EF">
        <w:rPr>
          <w:rFonts w:ascii="Calibri" w:cs="Calibri"/>
        </w:rPr>
        <w:t xml:space="preserve"> </w:t>
      </w:r>
      <w:r w:rsidR="006223EF" w:rsidRPr="006223EF">
        <w:rPr>
          <w:rFonts w:ascii="Calibri" w:cs="Calibri"/>
          <w:smallCaps/>
        </w:rPr>
        <w:t>Garner’s Modern English Usage</w:t>
      </w:r>
      <w:r w:rsidR="006223EF" w:rsidRPr="006223EF">
        <w:rPr>
          <w:rFonts w:ascii="Calibri" w:cs="Calibri"/>
        </w:rPr>
        <w:t xml:space="preserve"> (Fourth edition ed. 2016).</w:t>
      </w:r>
      <w:r>
        <w:fldChar w:fldCharType="end"/>
      </w:r>
    </w:p>
  </w:footnote>
  <w:footnote w:id="50">
    <w:p w14:paraId="3A2716F2" w14:textId="62ECF13E" w:rsidR="00BA5EC2" w:rsidRDefault="00BA5EC2">
      <w:pPr>
        <w:pStyle w:val="FootnoteText"/>
      </w:pPr>
      <w:r w:rsidRPr="00755452">
        <w:rPr>
          <w:rStyle w:val="FootnoteReference"/>
        </w:rPr>
        <w:footnoteRef/>
      </w:r>
      <w:r>
        <w:t xml:space="preserve"> </w:t>
      </w:r>
      <w:r>
        <w:fldChar w:fldCharType="begin"/>
      </w:r>
      <w:r w:rsidR="006223EF">
        <w:instrText xml:space="preserve"> ADDIN ZOTERO_ITEM CSL_CITATION {"citationID":"uREOiqjv","properties":{"formattedCitation":"{\\i{}Id.}","plainCitation":"Id.","noteIndex":49},"citationItems":[{"id":7386,"uris":["http://zotero.org/groups/2385044/items/MAVN53BF"],"itemData":{"id":7386,"type":"entry-dictionary","abstract":"\"Illustrates with actual examples, cited with chapter and verse, all the linguistic blunders that modern writers and speakers are pone to, whether in word choice, syntax phrasing, punctuation, or pronunciation.\"--Jacket","call-number":"PE2827 .G37 2016","container-title":"Garner's Modern English Usage","edition":"Fourth edition","event-place":"New York, NY","ISBN":"978-0-19-049148-2","note":"OCLC: ocn922726594","publisher":"Oxford University Press","publisher-place":"New York, NY","source":"Library of Congress ISBN","title":"comprise, compose","author":[{"family":"Garner","given":"Bryan A."}],"issued":{"date-parts":[["2016"]]}}}],"schema":"https://github.com/citation-style-language/schema/raw/master/csl-citation.json"} </w:instrText>
      </w:r>
      <w:r>
        <w:fldChar w:fldCharType="separate"/>
      </w:r>
      <w:r w:rsidR="006223EF" w:rsidRPr="006223EF">
        <w:rPr>
          <w:rFonts w:ascii="Calibri" w:cs="Calibri"/>
          <w:i/>
          <w:iCs/>
        </w:rPr>
        <w:t>Id.</w:t>
      </w:r>
      <w:r>
        <w:fldChar w:fldCharType="end"/>
      </w:r>
    </w:p>
  </w:footnote>
  <w:footnote w:id="51">
    <w:p w14:paraId="0F650E2B" w14:textId="00AD7B8A" w:rsidR="001411C4" w:rsidRDefault="001411C4">
      <w:pPr>
        <w:pStyle w:val="FootnoteText"/>
      </w:pPr>
      <w:r w:rsidRPr="00755452">
        <w:rPr>
          <w:rStyle w:val="FootnoteReference"/>
        </w:rPr>
        <w:footnoteRef/>
      </w:r>
      <w:r>
        <w:t xml:space="preserve"> </w:t>
      </w:r>
      <w:r>
        <w:fldChar w:fldCharType="begin"/>
      </w:r>
      <w:r w:rsidR="006223EF">
        <w:instrText xml:space="preserve"> ADDIN ZOTERO_ITEM CSL_CITATION {"citationID":"plL28l5X","properties":{"formattedCitation":"Can You Use \\uc0\\u8220{}Comprised of\\uc0\\u8221{}?, {\\scaps Merriam-Webster}, https://www.merriam-webster.com/grammar/can-you-use-comprised-of-grammar (last visited Oct 10, 2024).","plainCitation":"Can You Use “Comprised of”?, Merriam-Webster, https://www.merriam-webster.com/grammar/can-you-use-comprised-of-grammar (last visited Oct 10, 2024).","noteIndex":50},"citationItems":[{"id":7388,"uris":["http://zotero.org/groups/2385044/items/3F4IV2MG"],"itemData":{"id":7388,"type":"webpage","abstract":"It's been in use for centuries. So, maybe.","container-title":"Merriam-Webster","language":"en-US","note":"https://perma.cc/YNM6-T4BM","title":"Can You Use 'Comprised of'?","URL":"https://www.merriam-webster.com/grammar/can-you-use-comprised-of-grammar","accessed":{"date-parts":[["2024",10,10]]}}}],"schema":"https://github.com/citation-style-language/schema/raw/master/csl-citation.json"} </w:instrText>
      </w:r>
      <w:r>
        <w:fldChar w:fldCharType="separate"/>
      </w:r>
      <w:r w:rsidR="006223EF" w:rsidRPr="006223EF">
        <w:rPr>
          <w:rFonts w:ascii="Calibri" w:cs="Calibri"/>
        </w:rPr>
        <w:t xml:space="preserve">Can You Use “Comprised of”?, </w:t>
      </w:r>
      <w:r w:rsidR="006223EF" w:rsidRPr="006223EF">
        <w:rPr>
          <w:rFonts w:ascii="Calibri" w:cs="Calibri"/>
          <w:smallCaps/>
        </w:rPr>
        <w:t>Merriam-Webster</w:t>
      </w:r>
      <w:r w:rsidR="006223EF" w:rsidRPr="006223EF">
        <w:rPr>
          <w:rFonts w:ascii="Calibri" w:cs="Calibri"/>
        </w:rPr>
        <w:t>, https://www.merriam-webster.com/grammar/can-you-use-comprised-of-grammar (last visited Oct 10, 2024).</w:t>
      </w:r>
      <w:r>
        <w:fldChar w:fldCharType="end"/>
      </w:r>
    </w:p>
  </w:footnote>
  <w:footnote w:id="52">
    <w:p w14:paraId="096387EE" w14:textId="37373772" w:rsidR="00F3231C" w:rsidRDefault="00F3231C">
      <w:pPr>
        <w:pStyle w:val="FootnoteText"/>
      </w:pPr>
      <w:r w:rsidRPr="00755452">
        <w:rPr>
          <w:rStyle w:val="FootnoteReference"/>
        </w:rPr>
        <w:footnoteRef/>
      </w:r>
      <w:r>
        <w:t xml:space="preserve"> </w:t>
      </w:r>
      <w:r>
        <w:fldChar w:fldCharType="begin"/>
      </w:r>
      <w:r w:rsidR="006223EF">
        <w:instrText xml:space="preserve"> ADDIN ZOTERO_ITEM CSL_CITATION {"citationID":"L3BjR6YC","properties":{"formattedCitation":"{\\scaps The Chicago Manual of Style}, {\\i{}supra} note 39 at 222 \\uc0\\u8211{} 23.","plainCitation":"The Chicago Manual of Style, supra note 39 at 222 – 23.","noteIndex":51},"citationItems":[{"id":5940,"uris":["http://zotero.org/groups/2385044/items/F5BXMW8A"],"itemData":{"id":5940,"type":"book","call-number":"Z253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Style","issued":{"date-parts":[["2010"]]}},"locator":"222 – 23"}],"schema":"https://github.com/citation-style-language/schema/raw/master/csl-citation.json"}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39 at 222 – 23.</w:t>
      </w:r>
      <w:r>
        <w:fldChar w:fldCharType="end"/>
      </w:r>
    </w:p>
  </w:footnote>
  <w:footnote w:id="53">
    <w:p w14:paraId="59A01BFA" w14:textId="5F9813BB" w:rsidR="00C6252D" w:rsidRDefault="00C6252D">
      <w:pPr>
        <w:pStyle w:val="FootnoteText"/>
      </w:pPr>
      <w:r w:rsidRPr="00755452">
        <w:rPr>
          <w:rStyle w:val="FootnoteReference"/>
        </w:rPr>
        <w:footnoteRef/>
      </w:r>
      <w:r>
        <w:t xml:space="preserve"> </w:t>
      </w:r>
      <w:r>
        <w:fldChar w:fldCharType="begin"/>
      </w:r>
      <w:r w:rsidR="006223EF">
        <w:instrText xml:space="preserve"> ADDIN ZOTERO_ITEM CSL_CITATION {"citationID":"xgP7M0QS","properties":{"formattedCitation":"The Associated Press, {\\i{}democrat, Democrat, democratic, Democratic, Democratic Party} {\\scaps The Associated Press Stylebook} (55th (2020 \\uc0\\u8211{} 2022) ed. 2020).","plainCitation":"The Associated Press, democrat, Democrat, democratic, Democratic, Democratic Party The Associated Press Stylebook (55th (2020 – 2022) ed. 2020).","noteIndex":52},"citationItems":[{"id":6231,"uris":["http://zotero.org/groups/2385044/items/ZV22X66J"],"itemData":{"id":6231,"type":"entry-dictionary","abstract":"\"Master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ISBN","title":"democrat, Democrat, democratic, Democratic, Democratic Party","title-short":"AP Stylebook","author":[{"literal":"The Associated Press"}],"issued":{"date-parts":[["2020",5,31]]}},"label":"page"}],"schema":"https://github.com/citation-style-language/schema/raw/master/csl-citation.json"}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democrat, Democrat, democratic, Democratic, Democratic Party</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54">
    <w:p w14:paraId="6B3D181E" w14:textId="5EBC4E3B" w:rsidR="00ED6313" w:rsidRDefault="00ED6313">
      <w:pPr>
        <w:pStyle w:val="FootnoteText"/>
      </w:pPr>
      <w:r w:rsidRPr="00755452">
        <w:rPr>
          <w:rStyle w:val="FootnoteReference"/>
        </w:rPr>
        <w:footnoteRef/>
      </w:r>
      <w:r>
        <w:t xml:space="preserve"> </w:t>
      </w:r>
      <w:r>
        <w:fldChar w:fldCharType="begin"/>
      </w:r>
      <w:r w:rsidR="006223EF">
        <w:instrText xml:space="preserve"> ADDIN ZOTERO_ITEM CSL_CITATION {"citationID":"isu2qQfq","properties":{"formattedCitation":"{\\scaps The Chicago Manual of Style}, {\\i{}supra} note 39 at 217.","plainCitation":"The Chicago Manual of Style, supra note 39 at 217.","noteIndex":53},"citationItems":[{"id":5940,"uris":["http://zotero.org/groups/2385044/items/F5BXMW8A"],"itemData":{"id":5940,"type":"book","call-number":"Z253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Style","issued":{"date-parts":[["2010"]]}},"locator":"217"}],"schema":"https://github.com/citation-style-language/schema/raw/master/csl-citation.json"}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39 at 217.</w:t>
      </w:r>
      <w:r>
        <w:fldChar w:fldCharType="end"/>
      </w:r>
    </w:p>
  </w:footnote>
  <w:footnote w:id="55">
    <w:p w14:paraId="46219962" w14:textId="0B0606B3" w:rsidR="00DC015F" w:rsidRDefault="00DC015F">
      <w:pPr>
        <w:pStyle w:val="FootnoteText"/>
      </w:pPr>
      <w:r w:rsidRPr="00755452">
        <w:rPr>
          <w:rStyle w:val="FootnoteReference"/>
        </w:rPr>
        <w:footnoteRef/>
      </w:r>
      <w:r>
        <w:t xml:space="preserve"> </w:t>
      </w:r>
      <w:r>
        <w:fldChar w:fldCharType="begin"/>
      </w:r>
      <w:r w:rsidR="006223EF">
        <w:instrText xml:space="preserve"> ADDIN ZOTERO_ITEM CSL_CITATION {"citationID":"wh4tdzUe","properties":{"formattedCitation":"See \\uc0\\u8220{}in spite of\\uc0\\u8221{} {\\scaps The Associated Press}, {\\i{}supra} note 22.","plainCitation":"See “in spite of” The Associated Press, supra note 22.","noteIndex":54},"citationItems":[{"id":5303,"uris":["http://zotero.org/users/515429/items/FGRT938L"],"itemData":{"id":5303,"type":"book","abstract":"\"Master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Press"}],"issued":{"date-parts":[["2020",5,31]]}},"prefix":"See \"in spite of\""}],"schema":"https://github.com/citation-style-language/schema/raw/master/csl-citation.json"} </w:instrText>
      </w:r>
      <w:r>
        <w:fldChar w:fldCharType="separate"/>
      </w:r>
      <w:r w:rsidR="006223EF" w:rsidRPr="006223EF">
        <w:rPr>
          <w:rFonts w:ascii="Calibri" w:cs="Calibri"/>
        </w:rPr>
        <w:t xml:space="preserve">See “in spite of”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22.</w:t>
      </w:r>
      <w:r>
        <w:fldChar w:fldCharType="end"/>
      </w:r>
      <w:r>
        <w:t xml:space="preserve"> </w:t>
      </w:r>
      <w:r>
        <w:fldChar w:fldCharType="begin"/>
      </w:r>
      <w:r w:rsidR="006223EF">
        <w:instrText xml:space="preserve"> ADDIN ZOTERO_ITEM CSL_CITATION {"citationID":"nqi9uwcP","properties":{"formattedCitation":"See \\uc0\\u8220{}in spite of\\uc0\\u8221{} {\\i{}Id.}","plainCitation":"See “in spite of” Id.","noteIndex":54},"citationItems":[{"id":5303,"uris":["http://zotero.org/users/515429/items/FGRT938L"],"itemData":{"id":5303,"type":"book","abstract":"\"Master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Press"}],"issued":{"date-parts":[["2020",5,31]]}},"prefix":"See \"in spite of\""}],"schema":"https://github.com/citation-style-language/schema/raw/master/csl-citation.json"} </w:instrText>
      </w:r>
      <w:r>
        <w:fldChar w:fldCharType="separate"/>
      </w:r>
      <w:r w:rsidR="006223EF" w:rsidRPr="006223EF">
        <w:rPr>
          <w:rFonts w:ascii="Calibri" w:cs="Calibri"/>
        </w:rPr>
        <w:t xml:space="preserve">See “in spite of” </w:t>
      </w:r>
      <w:r w:rsidR="006223EF" w:rsidRPr="006223EF">
        <w:rPr>
          <w:rFonts w:ascii="Calibri" w:cs="Calibri"/>
          <w:i/>
          <w:iCs/>
        </w:rPr>
        <w:t>Id.</w:t>
      </w:r>
      <w:r>
        <w:fldChar w:fldCharType="end"/>
      </w:r>
    </w:p>
  </w:footnote>
  <w:footnote w:id="56">
    <w:p w14:paraId="27825FFC" w14:textId="29839B6A" w:rsidR="00911628" w:rsidRDefault="00911628">
      <w:pPr>
        <w:pStyle w:val="FootnoteText"/>
      </w:pPr>
      <w:r w:rsidRPr="00755452">
        <w:rPr>
          <w:rStyle w:val="FootnoteReference"/>
        </w:rPr>
        <w:footnoteRef/>
      </w:r>
      <w:r>
        <w:t xml:space="preserve"> </w:t>
      </w:r>
      <w:r>
        <w:fldChar w:fldCharType="begin"/>
      </w:r>
      <w:r w:rsidR="006223EF">
        <w:instrText xml:space="preserve"> ADDIN ZOTERO_ITEM CSL_CITATION {"citationID":"EAbjVtrl","properties":{"formattedCitation":"The Associated Press, {\\i{}diabetes} {\\scaps The Associated Press Stylebook} (55th (2020 \\uc0\\u8211{} 2022) ed. 2020).","plainCitation":"The Associated Press, diabetes The Associated Press Stylebook (55th (2020 – 2022) ed. 2020).","noteIndex":55},"citationItems":[{"id":6065,"uris":["http://zotero.org/groups/2385044/items/SFVXETB3"],"itemData":{"id":6065,"type":"entry-dictionary","abstract":"\"Master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ISBN","title":"diabetes","title-short":"AP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diabetes</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57">
    <w:p w14:paraId="59E0BDAC" w14:textId="0F085BE5" w:rsidR="008707BD" w:rsidRDefault="008707BD">
      <w:pPr>
        <w:pStyle w:val="FootnoteText"/>
      </w:pPr>
      <w:r w:rsidRPr="00755452">
        <w:rPr>
          <w:rStyle w:val="FootnoteReference"/>
        </w:rPr>
        <w:footnoteRef/>
      </w:r>
      <w:r>
        <w:t xml:space="preserve"> </w:t>
      </w:r>
      <w:r>
        <w:fldChar w:fldCharType="begin"/>
      </w:r>
      <w:r w:rsidR="006223EF">
        <w:instrText xml:space="preserve"> ADDIN ZOTERO_ITEM CSL_CITATION {"citationID":"SG65GaEL","properties":{"formattedCitation":"disk, disc {\\scaps The Associated Press}, {\\i{}supra} note 22.","plainCitation":"disk, disc The Associated Press, supra note 22.","noteIndex":56},"citationItems":[{"id":5303,"uris":["http://zotero.org/users/515429/items/FGRT938L"],"itemData":{"id":5303,"type":"book","abstract":"\"Master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Press"}],"issued":{"date-parts":[["2020",5,31]]}},"prefix":"disk, disc"}],"schema":"https://github.com/citation-style-language/schema/raw/master/csl-citation.json"} </w:instrText>
      </w:r>
      <w:r>
        <w:fldChar w:fldCharType="separate"/>
      </w:r>
      <w:r w:rsidR="006223EF" w:rsidRPr="006223EF">
        <w:rPr>
          <w:rFonts w:ascii="Calibri" w:cs="Calibri"/>
        </w:rPr>
        <w:t xml:space="preserve">disk, disc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22.</w:t>
      </w:r>
      <w:r>
        <w:fldChar w:fldCharType="end"/>
      </w:r>
      <w:r>
        <w:t xml:space="preserve"> </w:t>
      </w:r>
      <w:r>
        <w:fldChar w:fldCharType="begin"/>
      </w:r>
      <w:r w:rsidR="006223EF">
        <w:instrText xml:space="preserve"> ADDIN ZOTERO_ITEM CSL_CITATION {"citationID":"Q0DEWEZ6","properties":{"formattedCitation":"disk, disc {\\i{}Id.}","plainCitation":"disk, disc Id.","noteIndex":56},"citationItems":[{"id":5303,"uris":["http://zotero.org/users/515429/items/FGRT938L"],"itemData":{"id":5303,"type":"book","abstract":"\"Master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Press"}],"issued":{"date-parts":[["2020",5,31]]}},"prefix":"disk, disc"}],"schema":"https://github.com/citation-style-language/schema/raw/master/csl-citation.json"} </w:instrText>
      </w:r>
      <w:r>
        <w:fldChar w:fldCharType="separate"/>
      </w:r>
      <w:r w:rsidR="006223EF" w:rsidRPr="006223EF">
        <w:rPr>
          <w:rFonts w:ascii="Calibri" w:cs="Calibri"/>
        </w:rPr>
        <w:t xml:space="preserve">disk, disc </w:t>
      </w:r>
      <w:r w:rsidR="006223EF" w:rsidRPr="006223EF">
        <w:rPr>
          <w:rFonts w:ascii="Calibri" w:cs="Calibri"/>
          <w:i/>
          <w:iCs/>
        </w:rPr>
        <w:t>Id.</w:t>
      </w:r>
      <w:r>
        <w:fldChar w:fldCharType="end"/>
      </w:r>
    </w:p>
  </w:footnote>
  <w:footnote w:id="58">
    <w:p w14:paraId="00243AB0" w14:textId="0E9C4FB4" w:rsidR="006C651C" w:rsidRDefault="006C651C">
      <w:pPr>
        <w:pStyle w:val="FootnoteText"/>
      </w:pPr>
      <w:r w:rsidRPr="00755452">
        <w:rPr>
          <w:rStyle w:val="FootnoteReference"/>
        </w:rPr>
        <w:footnoteRef/>
      </w:r>
      <w:r>
        <w:t xml:space="preserve"> </w:t>
      </w:r>
      <w:r>
        <w:fldChar w:fldCharType="begin"/>
      </w:r>
      <w:r w:rsidR="006223EF">
        <w:instrText xml:space="preserve"> ADDIN ZOTERO_ITEM CSL_CITATION {"citationID":"mJ68mL5B","properties":{"formattedCitation":"domicile, {\\scaps Black\\uc0\\u8217{}s Law Dictionary} (Bryan A. Garner ed., 10th ed.).","plainCitation":"domicile, Black’s Law Dictionary (Bryan A. Garner ed., 10th ed.).","noteIndex":57},"citationItems":[{"id":5493,"uris":["http://zotero.org/groups/2385044/items/S64Z6BN7"],"itemData":{"id":5493,"type":"entry-dictionary","container-title":"Black's Law Dictionary","edition":"10th","note":"1. The place at which a person has been physically present and that the person regards as home; a person's true, fixed, principal, and permanent home, to which that person intends to return and remain even though currently residing elsewhere. Domicile may be divided into (1) domicile of origin, (2) domicile of choice, and (3) domicile by operation of law. — Also termed permanent abode; habitancy.","title":"domicile","editor":[{"literal":"Bryan A. Garner"}]}}],"schema":"https://github.com/citation-style-language/schema/raw/master/csl-citation.json"} </w:instrText>
      </w:r>
      <w:r>
        <w:fldChar w:fldCharType="separate"/>
      </w:r>
      <w:r w:rsidR="006223EF" w:rsidRPr="006223EF">
        <w:rPr>
          <w:rFonts w:ascii="Calibri" w:cs="Calibri"/>
        </w:rPr>
        <w:t xml:space="preserve">domicile, </w:t>
      </w:r>
      <w:r w:rsidR="006223EF" w:rsidRPr="006223EF">
        <w:rPr>
          <w:rFonts w:ascii="Calibri" w:cs="Calibri"/>
          <w:smallCaps/>
        </w:rPr>
        <w:t>Black’s Law Dictionary</w:t>
      </w:r>
      <w:r w:rsidR="006223EF" w:rsidRPr="006223EF">
        <w:rPr>
          <w:rFonts w:ascii="Calibri" w:cs="Calibri"/>
        </w:rPr>
        <w:t xml:space="preserve"> (Bryan A. Garner ed., 10th ed.).</w:t>
      </w:r>
      <w:r>
        <w:fldChar w:fldCharType="end"/>
      </w:r>
    </w:p>
  </w:footnote>
  <w:footnote w:id="59">
    <w:p w14:paraId="0786C813" w14:textId="16F92E4C" w:rsidR="00AB18CF" w:rsidRDefault="00AB18CF">
      <w:pPr>
        <w:pStyle w:val="FootnoteText"/>
      </w:pPr>
      <w:r w:rsidRPr="00755452">
        <w:rPr>
          <w:rStyle w:val="FootnoteReference"/>
        </w:rPr>
        <w:footnoteRef/>
      </w:r>
      <w:r>
        <w:t xml:space="preserve"> </w:t>
      </w:r>
      <w:r>
        <w:fldChar w:fldCharType="begin"/>
      </w:r>
      <w:r w:rsidR="006223EF">
        <w:instrText xml:space="preserve"> ADDIN ZOTERO_ITEM CSL_CITATION {"citationID":"MXtJqwaY","properties":{"formattedCitation":"draw lots, {\\scaps Cambridge Advanced Learner\\uc0\\u8217{}s Dictionary &amp; Thesaurus} (2024), https://dictionary.cambridge.org/us/dictionary/english/draw-lots (last visited Oct 10, 2024).","plainCitation":"draw lots, Cambridge Advanced Learner’s Dictionary &amp; Thesaurus (2024), https://dictionary.cambridge.org/us/dictionary/english/draw-lots (last visited Oct 10, 2024).","noteIndex":58},"citationItems":[{"id":7399,"uris":["http://zotero.org/groups/2385044/items/F96HW86A"],"itemData":{"id":7399,"type":"webpage","abstract":"1. to make a decision by choosing from a set of objects such as pieces of paper…","container-title":"Cambridge Advanced Learner's Dictionary &amp; Thesaurus","language":"en-US","note":"leonard-leo-heritage-trump-2025","title":"draw lots","URL":"https://dictionary.cambridge.org/us/dictionary/english/draw-lots","accessed":{"date-parts":[["2024",10,10]]},"issued":{"date-parts":[["2024",10,9]]}}}],"schema":"https://github.com/citation-style-language/schema/raw/master/csl-citation.json"} </w:instrText>
      </w:r>
      <w:r>
        <w:fldChar w:fldCharType="separate"/>
      </w:r>
      <w:r w:rsidR="006223EF" w:rsidRPr="006223EF">
        <w:rPr>
          <w:rFonts w:ascii="Calibri" w:cs="Calibri"/>
        </w:rPr>
        <w:t xml:space="preserve">draw lots, </w:t>
      </w:r>
      <w:r w:rsidR="006223EF" w:rsidRPr="006223EF">
        <w:rPr>
          <w:rFonts w:ascii="Calibri" w:cs="Calibri"/>
          <w:smallCaps/>
        </w:rPr>
        <w:t>Cambridge Advanced Learner’s Dictionary &amp; Thesaurus</w:t>
      </w:r>
      <w:r w:rsidR="006223EF" w:rsidRPr="006223EF">
        <w:rPr>
          <w:rFonts w:ascii="Calibri" w:cs="Calibri"/>
        </w:rPr>
        <w:t xml:space="preserve"> (2024), https://dictionary.cambridge.org/us/dictionary/english/draw-lots (last visited Oct 10, 2024).</w:t>
      </w:r>
      <w:r>
        <w:fldChar w:fldCharType="end"/>
      </w:r>
    </w:p>
  </w:footnote>
  <w:footnote w:id="60">
    <w:p w14:paraId="40A1FCB1" w14:textId="69CF2411"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{"citationID":"ATnEEtdP","properties":{"formattedCitation":"The Difference Between Ex-Ante, Post Hoc, Ex Post, A Priori, and A Posteriori, {\\i{}supra} note 33.","plainCitation":"The Difference Between Ex-Ante, Post Hoc, Ex Post, A Priori, and A Posteriori, supra note 33.","noteIndex":59},"citationItems":[{"id":5632,"uris":["http://zotero.org/groups/2385044/items/BA33XABW"],"itemData":{"id":5632,"type":"webpage","abstract":"If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p>
  </w:footnote>
  <w:footnote w:id="61">
    <w:p w14:paraId="0A04DC74" w14:textId="347FFC39" w:rsidR="009F6A0B" w:rsidRDefault="009F6A0B">
      <w:pPr>
        <w:pStyle w:val="FootnoteText"/>
      </w:pPr>
      <w:r w:rsidRPr="00755452">
        <w:rPr>
          <w:rStyle w:val="FootnoteReference"/>
        </w:rPr>
        <w:footnoteRef/>
      </w:r>
      <w:r>
        <w:t xml:space="preserve"> “esports” from AP Stylebook 55 ed.</w:t>
      </w:r>
    </w:p>
  </w:footnote>
  <w:footnote w:id="62">
    <w:p w14:paraId="4FD918A2" w14:textId="75407E65"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{"citationID":"9gGjM3kE","properties":{"formattedCitation":"The Difference Between Ex-Ante, Post Hoc, Ex Post, A Priori, and A Posteriori, {\\i{}supra} note 33.","plainCitation":"The Difference Between Ex-Ante, Post Hoc, Ex Post, A Priori, and A Posteriori, supra note 33.","noteIndex":61},"citationItems":[{"id":5632,"uris":["http://zotero.org/groups/2385044/items/BA33XABW"],"itemData":{"id":5632,"type":"webpage","abstract":"If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r>
        <w:t xml:space="preserve"> </w:t>
      </w:r>
      <w:r>
        <w:fldChar w:fldCharType="begin"/>
      </w:r>
      <w:r w:rsidR="006223EF">
        <w:instrText xml:space="preserve"> ADDIN ZOTERO_ITEM CSL_CITATION {"citationID":"S6OjsKKe","properties":{"formattedCitation":"{\\i{}Id.}","plainCitation":"Id.","noteIndex":61},"citationItems":[{"id":5632,"uris":["http://zotero.org/groups/2385044/items/BA33XABW"],"itemData":{"id":5632,"type":"webpage","abstract":"If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i/>
          <w:iCs/>
        </w:rPr>
        <w:t>Id.</w:t>
      </w:r>
      <w:r>
        <w:fldChar w:fldCharType="end"/>
      </w:r>
    </w:p>
  </w:footnote>
  <w:footnote w:id="63">
    <w:p w14:paraId="5692E760" w14:textId="2F6008D5"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{"citationID":"30KMuTA2","properties":{"formattedCitation":"The Difference Between Ex-Ante, Post Hoc, Ex Post, A Priori, and A Posteriori, {\\i{}supra} note 33.","plainCitation":"The Difference Between Ex-Ante, Post Hoc, Ex Post, A Priori, and A Posteriori, supra note 33.","noteIndex":62},"citationItems":[{"id":5632,"uris":["http://zotero.org/groups/2385044/items/BA33XABW"],"itemData":{"id":5632,"type":"webpage","abstract":"If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r>
        <w:t xml:space="preserve"> </w:t>
      </w:r>
      <w:r>
        <w:fldChar w:fldCharType="begin"/>
      </w:r>
      <w:r w:rsidR="006223EF">
        <w:instrText xml:space="preserve"> ADDIN ZOTERO_ITEM CSL_CITATION {"citationID":"FpZHpcG0","properties":{"formattedCitation":"{\\i{}Id.}","plainCitation":"Id.","noteIndex":62},"citationItems":[{"id":5632,"uris":["http://zotero.org/groups/2385044/items/BA33XABW"],"itemData":{"id":5632,"type":"webpage","abstract":"If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i/>
          <w:iCs/>
        </w:rPr>
        <w:t>Id.</w:t>
      </w:r>
      <w:r>
        <w:fldChar w:fldCharType="end"/>
      </w:r>
    </w:p>
  </w:footnote>
  <w:footnote w:id="64">
    <w:p w14:paraId="0B1E7276" w14:textId="2CC732EE" w:rsidR="006223EF" w:rsidRDefault="006223EF">
      <w:pPr>
        <w:pStyle w:val="FootnoteText"/>
      </w:pPr>
      <w:r>
        <w:rPr>
          <w:rStyle w:val="FootnoteReference"/>
        </w:rPr>
        <w:footnoteRef/>
      </w:r>
      <w:r>
        <w:t xml:space="preserve"> </w:t>
      </w:r>
      <w:r>
        <w:fldChar w:fldCharType="begin"/>
      </w:r>
      <w:r>
        <w:instrText xml:space="preserve"> ADDIN ZOTERO_ITEM CSL_CITATION {"citationID":"esGd1Uct","properties":{"formattedCitation":"farther, further, {\\scaps The Associated Press Stylebook, 2024-2026} (Paula Froke et al. eds., 57th edition ed. 2024).","plainCitation":"farther, further, The Associated Press Stylebook, 2024-2026 (Paula Froke et al. eds., 57th edition ed. 2024).","noteIndex":63},"citationItems":[{"id":7984,"uris":["http://zotero.org/groups/2385044/items/84PW7Y2T"],"itemData":{"id":7984,"type":"entry-dictionary","abstract":"\"The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cover","container-title":"The Associated Press Stylebook, 2024-2026","edition":"57th edition","event-place":"New York, NY","ISBN":"978-1-5416-0511-4","language":"eng","note":"OCLC: 1408649651","publisher":"Basic Books","publisher-place":"New York, NY","source":"Open WorldCat","title":"farther, further","editor":[{"family":"Froke","given":"Paula"},{"family":"Bratton","given":"Anna Jo"},{"family":"Gross","given":"Andale"},{"family":"McMillan","given":"Jeff"},{"family":"Sarkar","given":"Pia"},{"family":"Schwartz","given":"Jerry"}],"issued":{"date-parts":[["2024"]]}}}],"schema":"https://github.com/citation-style-language/schema/raw/master/csl-citation.json"} </w:instrText>
      </w:r>
      <w:r>
        <w:fldChar w:fldCharType="separate"/>
      </w:r>
      <w:r w:rsidRPr="006223EF">
        <w:rPr>
          <w:rFonts w:ascii="Calibri" w:cs="Calibri"/>
        </w:rPr>
        <w:t xml:space="preserve">farther, further, </w:t>
      </w:r>
      <w:r w:rsidRPr="006223EF">
        <w:rPr>
          <w:rFonts w:ascii="Calibri" w:cs="Calibri"/>
          <w:smallCaps/>
        </w:rPr>
        <w:t>The Associated Press Stylebook, 2024-2026</w:t>
      </w:r>
      <w:r w:rsidRPr="006223EF">
        <w:rPr>
          <w:rFonts w:ascii="Calibri" w:cs="Calibri"/>
        </w:rPr>
        <w:t xml:space="preserve"> (Paula Froke et al. eds., 57th edition ed. 2024).</w:t>
      </w:r>
      <w:r>
        <w:fldChar w:fldCharType="end"/>
      </w:r>
    </w:p>
  </w:footnote>
  <w:footnote w:id="65">
    <w:p w14:paraId="034B42A6" w14:textId="63D81CFB" w:rsidR="006C54CE" w:rsidRDefault="006C54CE">
      <w:pPr>
        <w:pStyle w:val="FootnoteText"/>
      </w:pPr>
      <w:r w:rsidRPr="00755452">
        <w:rPr>
          <w:rStyle w:val="FootnoteReference"/>
        </w:rPr>
        <w:footnoteRef/>
      </w:r>
      <w:r>
        <w:t xml:space="preserve"> </w:t>
      </w:r>
      <w:r>
        <w:fldChar w:fldCharType="begin"/>
      </w:r>
      <w:r w:rsidR="006223EF">
        <w:instrText xml:space="preserve"> ADDIN ZOTERO_ITEM CSL_CITATION {"citationID":"Be6pXKFo","properties":{"formattedCitation":"The Associated Press, {\\i{}fewer, less} {\\scaps The Associated Press Stylebook} (55th (2020 \\uc0\\u8211{} 2022) ed. 2020).","plainCitation":"The Associated Press, fewer, less The Associated Press Stylebook (55th (2020 – 2022) ed. 2020).","noteIndex":64},"citationItems":[{"id":6491,"uris":["http://zotero.org/groups/2385044/items/CEK9AHBH"],"itemData":{"id":6491,"type":"entry-dictionary","abstract":"\"Master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ISBN","title":"fewer, less","title-short":"AP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fewer, less</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66">
    <w:p w14:paraId="7DF89F9E" w14:textId="694408BA" w:rsidR="0018763D" w:rsidRDefault="0018763D">
      <w:pPr>
        <w:pStyle w:val="FootnoteText"/>
      </w:pPr>
      <w:r w:rsidRPr="00755452">
        <w:rPr>
          <w:rStyle w:val="FootnoteReference"/>
        </w:rPr>
        <w:footnoteRef/>
      </w:r>
      <w:r>
        <w:t xml:space="preserve"> </w:t>
      </w:r>
      <w:r>
        <w:fldChar w:fldCharType="begin"/>
      </w:r>
      <w:r w:rsidR="006223EF">
        <w:instrText xml:space="preserve"> ADDIN ZOTERO_ITEM CSL_CITATION {"citationID":"yRld18lP","properties":{"formattedCitation":"{\\scaps The Chicago Manual of Style}, {\\i{}supra} note 39 at 203.","plainCitation":"The Chicago Manual of Style, supra note 39 at 203.","noteIndex":65},"citationItems":[{"id":5940,"uris":["http://zotero.org/groups/2385044/items/F5BXMW8A"],"itemData":{"id":5940,"type":"book","call-number":"Z253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Style","issued":{"date-parts":[["2010"]]}},"locator":"203"}],"schema":"https://github.com/citation-style-language/schema/raw/master/csl-citation.json"}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39 at 203.</w:t>
      </w:r>
      <w:r>
        <w:fldChar w:fldCharType="end"/>
      </w:r>
    </w:p>
  </w:footnote>
  <w:footnote w:id="67">
    <w:p w14:paraId="37601B91" w14:textId="35CE3281" w:rsidR="008A0433" w:rsidRDefault="008A0433">
      <w:pPr>
        <w:pStyle w:val="FootnoteText"/>
      </w:pPr>
      <w:r w:rsidRPr="00755452">
        <w:rPr>
          <w:rStyle w:val="FootnoteReference"/>
        </w:rPr>
        <w:footnoteRef/>
      </w:r>
      <w:r>
        <w:t xml:space="preserve"> </w:t>
      </w:r>
      <w:r>
        <w:fldChar w:fldCharType="begin"/>
      </w:r>
      <w:r w:rsidR="006223EF">
        <w:instrText xml:space="preserve"> ADDIN ZOTERO_ITEM CSL_CITATION {"citationID":"GF2IuYks","properties":{"formattedCitation":"Definition of HALFWAY, {\\scaps Merriam-Webster.com Dictionary}, https://www.merriam-webster.com/dictionary/halfway [https://perma.cc/74G9-64WM] (last visited May 27, 2021).","plainCitation":"Definition of HALFWAY, Merriam-Webster.com Dictionary, https://www.merriam-webster.com/dictionary/halfway [https://perma.cc/74G9-64WM] (last visited May 27, 2021).","noteIndex":66},"citationItems":[{"id":5879,"uris":["http://zotero.org/groups/2385044/items/DLMFXNZP"],"itemData":{"id":5879,"type":"webpage","abstract":"midway between two points; partial… See the full definition","container-title":"Merriam-Webster.com Dictionary","language":"en","title":"Definition of HALFWAY","URL":"https://www.merriam-webster.com/dictionary/halfway [https://perma.cc/74G9-64WM]","accessed":{"date-parts":[["2021",5,27]]}}}],"schema":"https://github.com/citation-style-language/schema/raw/master/csl-citation.json"} </w:instrText>
      </w:r>
      <w:r>
        <w:fldChar w:fldCharType="separate"/>
      </w:r>
      <w:r w:rsidR="006223EF" w:rsidRPr="006223EF">
        <w:rPr>
          <w:rFonts w:ascii="Calibri" w:cs="Calibri"/>
        </w:rPr>
        <w:t xml:space="preserve">Definition of HALFWAY, </w:t>
      </w:r>
      <w:r w:rsidR="006223EF" w:rsidRPr="006223EF">
        <w:rPr>
          <w:rFonts w:ascii="Calibri" w:cs="Calibri"/>
          <w:smallCaps/>
        </w:rPr>
        <w:t>Merriam-Webster.com Dictionary</w:t>
      </w:r>
      <w:r w:rsidR="006223EF" w:rsidRPr="006223EF">
        <w:rPr>
          <w:rFonts w:ascii="Calibri" w:cs="Calibri"/>
        </w:rPr>
        <w:t>, https://www.merriam-webster.com/dictionary/halfway [https://perma.cc/74G9-64WM] (last visited May 27, 2021).</w:t>
      </w:r>
      <w:r>
        <w:fldChar w:fldCharType="end"/>
      </w:r>
    </w:p>
  </w:footnote>
  <w:footnote w:id="68">
    <w:p w14:paraId="3A220E88" w14:textId="1340C091" w:rsidR="002A36CB" w:rsidRDefault="002A36CB">
      <w:pPr>
        <w:pStyle w:val="FootnoteText"/>
      </w:pPr>
      <w:r w:rsidRPr="00755452">
        <w:rPr>
          <w:rStyle w:val="FootnoteReference"/>
        </w:rPr>
        <w:footnoteRef/>
      </w:r>
      <w:r>
        <w:t xml:space="preserve"> </w:t>
      </w:r>
      <w:r>
        <w:fldChar w:fldCharType="begin"/>
      </w:r>
      <w:r w:rsidR="006223EF">
        <w:instrText xml:space="preserve"> ADDIN ZOTERO_ITEM CSL_CITATION {"citationID":"lXM3cjMA","properties":{"formattedCitation":"Vanessa C Forsberg &amp; Ryan J Rosso, {\\i{}Applicability of Federal Requirements to Selected Health Coverage Arrangements: An Overview},  3, 2.","plainCitation":"Vanessa C Forsberg &amp; Ryan J Rosso, Applicability of Federal Requirements to Selected Health Coverage Arrangements: An Overview,  3, 2.","noteIndex":67},"citationItems":[{"id":5232,"uris":["http://zotero.org/groups/2385044/items/Z3FLHW2R"],"itemData":{"id":5232,"type":"article-journal","language":"en","page":"3","source":"Zotero","title":"Applicability of Federal Requirements to Selected Health Coverage Arrangements: An Overview","author":[{"family":"Forsberg","given":"Vanessa C"},{"family":"Rosso","given":"Ryan J"}]},"locator":"2"}],"schema":"https://github.com/citation-style-language/schema/raw/master/csl-citation.json"} </w:instrText>
      </w:r>
      <w:r>
        <w:fldChar w:fldCharType="separate"/>
      </w:r>
      <w:r w:rsidR="006223EF" w:rsidRPr="006223EF">
        <w:rPr>
          <w:rFonts w:ascii="Calibri" w:cs="Calibri"/>
        </w:rPr>
        <w:t xml:space="preserve">Vanessa C Forsberg &amp; Ryan J Rosso, </w:t>
      </w:r>
      <w:r w:rsidR="006223EF" w:rsidRPr="006223EF">
        <w:rPr>
          <w:rFonts w:ascii="Calibri" w:cs="Calibri"/>
          <w:i/>
          <w:iCs/>
        </w:rPr>
        <w:t>Applicability of Federal Requirements to Selected Health Coverage Arrangements: An Overview</w:t>
      </w:r>
      <w:r w:rsidR="006223EF" w:rsidRPr="006223EF">
        <w:rPr>
          <w:rFonts w:ascii="Calibri" w:cs="Calibri"/>
        </w:rPr>
        <w:t>,  3, 2.</w:t>
      </w:r>
      <w:r>
        <w:fldChar w:fldCharType="end"/>
      </w:r>
      <w:r>
        <w:t xml:space="preserve"> </w:t>
      </w:r>
      <w:r>
        <w:fldChar w:fldCharType="begin"/>
      </w:r>
      <w:r w:rsidR="006223EF">
        <w:instrText xml:space="preserve"> ADDIN ZOTERO_ITEM CSL_CITATION {"citationID":"XVLpLlWo","properties":{"formattedCitation":"{\\i{}Id.} at 2.","plainCitation":"Id. at 2.","noteIndex":67},"citationItems":[{"id":5232,"uris":["http://zotero.org/groups/2385044/items/Z3FLHW2R"],"itemData":{"id":5232,"type":"article-journal","language":"en","page":"3","source":"Zotero","title":"Applicability of Federal Requirements to Selected Health Coverage Arrangements: An Overview","author":[{"family":"Forsberg","given":"Vanessa C"},{"family":"Rosso","given":"Ryan J"}]},"locator":"2"}],"schema":"https://github.com/citation-style-language/schema/raw/master/csl-citation.json"} </w:instrText>
      </w:r>
      <w:r>
        <w:fldChar w:fldCharType="separate"/>
      </w:r>
      <w:r w:rsidR="006223EF" w:rsidRPr="006223EF">
        <w:rPr>
          <w:rFonts w:ascii="Calibri" w:cs="Calibri"/>
          <w:i/>
          <w:iCs/>
        </w:rPr>
        <w:t>Id.</w:t>
      </w:r>
      <w:r w:rsidR="006223EF" w:rsidRPr="006223EF">
        <w:rPr>
          <w:rFonts w:ascii="Calibri" w:cs="Calibri"/>
        </w:rPr>
        <w:t xml:space="preserve"> at 2.</w:t>
      </w:r>
      <w:r>
        <w:fldChar w:fldCharType="end"/>
      </w:r>
    </w:p>
  </w:footnote>
  <w:footnote w:id="69">
    <w:p w14:paraId="75FA2F18" w14:textId="77777777" w:rsidR="003A081D" w:rsidRDefault="003A081D" w:rsidP="003A081D">
      <w:pPr>
        <w:pStyle w:val="FootnoteText"/>
      </w:pPr>
      <w:r w:rsidRPr="00755452">
        <w:rPr>
          <w:rStyle w:val="FootnoteReference"/>
        </w:rPr>
        <w:footnoteRef/>
      </w:r>
      <w:r>
        <w:t xml:space="preserve"> This decision came from my own usage patterns.</w:t>
      </w:r>
    </w:p>
  </w:footnote>
  <w:footnote w:id="70">
    <w:p w14:paraId="5B340AA3" w14:textId="197BE21B" w:rsidR="00725EBE" w:rsidRDefault="00725EBE">
      <w:pPr>
        <w:pStyle w:val="FootnoteText"/>
      </w:pPr>
      <w:r w:rsidRPr="00755452">
        <w:rPr>
          <w:rStyle w:val="FootnoteReference"/>
        </w:rPr>
        <w:footnoteRef/>
      </w:r>
      <w:r>
        <w:t xml:space="preserve"> My argument for disregarding this preference is two-fold. First, </w:t>
      </w:r>
      <w:r>
        <w:rPr>
          <w:i/>
          <w:iCs/>
        </w:rPr>
        <w:t>healthcare</w:t>
      </w:r>
      <w:r>
        <w:t xml:space="preserve"> appears to be more prevalent in use. Second, the distinction seems perfunctory: “healthcare” is a singular (albeit monolithic) concept in which the whole of the definition is distinct from the sum of its components (i.e., </w:t>
      </w:r>
      <w:r>
        <w:rPr>
          <w:i/>
          <w:iCs/>
        </w:rPr>
        <w:t>health</w:t>
      </w:r>
      <w:r>
        <w:t xml:space="preserve"> and </w:t>
      </w:r>
      <w:r>
        <w:rPr>
          <w:i/>
          <w:iCs/>
        </w:rPr>
        <w:t>care</w:t>
      </w:r>
      <w:r>
        <w:t xml:space="preserve">). We don’t use “… care” is not an interchangeable phrase that we use with other things — we don’t usually say “car care” except for alliteration, and the whole of the concept of “car care” is not distinct from the sum of its pieces: “caring for your car.” The concept of “caring for your car” is dwarfed in comparison to the sheer scale of what we mean when we talk about </w:t>
      </w:r>
      <w:r>
        <w:rPr>
          <w:i/>
          <w:iCs/>
        </w:rPr>
        <w:t>healthcare</w:t>
      </w:r>
      <w:r>
        <w:t xml:space="preserve">. The closest </w:t>
      </w:r>
      <w:r w:rsidR="00770070">
        <w:t>counterpoint</w:t>
      </w:r>
      <w:r>
        <w:t xml:space="preserve"> I can think of might be “veterinary care,” but I think as a concept, “veterinary care” is far more precise than what we mean when we say </w:t>
      </w:r>
      <w:r>
        <w:rPr>
          <w:i/>
          <w:iCs/>
        </w:rPr>
        <w:t>healthcare</w:t>
      </w:r>
      <w:r>
        <w:t xml:space="preserve">, which is why there is no question about creating the compound word, </w:t>
      </w:r>
      <w:proofErr w:type="spellStart"/>
      <w:r>
        <w:rPr>
          <w:i/>
          <w:iCs/>
        </w:rPr>
        <w:t>veterinarycare</w:t>
      </w:r>
      <w:proofErr w:type="spellEnd"/>
      <w:r>
        <w:t>.</w:t>
      </w:r>
    </w:p>
  </w:footnote>
  <w:footnote w:id="71">
    <w:p w14:paraId="2FC829D5" w14:textId="209B2980" w:rsidR="00531EFE" w:rsidRDefault="00531EFE" w:rsidP="00531EFE">
      <w:pPr>
        <w:pStyle w:val="FootnoteText"/>
      </w:pPr>
      <w:r w:rsidRPr="00755452">
        <w:rPr>
          <w:rStyle w:val="FootnoteReference"/>
        </w:rPr>
        <w:footnoteRef/>
      </w:r>
      <w:r>
        <w:t xml:space="preserve"> </w:t>
      </w:r>
      <w:r>
        <w:fldChar w:fldCharType="begin"/>
      </w:r>
      <w:r w:rsidR="006223EF">
        <w:instrText xml:space="preserve"> ADDIN ZOTERO_ITEM CSL_CITATION {"citationID":"zG2prhYT","properties":{"formattedCitation":"The Difference Between Ex-Ante, Post Hoc, Ex Post, A Priori, and A Posteriori, {\\i{}supra} note 33.","plainCitation":"The Difference Between Ex-Ante, Post Hoc, Ex Post, A Priori, and A Posteriori, supra note 33.","noteIndex":70},"citationItems":[{"id":5632,"uris":["http://zotero.org/groups/2385044/items/BA33XABW"],"itemData":{"id":5632,"type":"webpage","abstract":"If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r>
        <w:t xml:space="preserve"> </w:t>
      </w:r>
      <w:r>
        <w:fldChar w:fldCharType="begin"/>
      </w:r>
      <w:r w:rsidR="006223EF">
        <w:instrText xml:space="preserve"> ADDIN ZOTERO_ITEM CSL_CITATION {"citationID":"NK3fxAh0","properties":{"formattedCitation":"{\\i{}Id.}","plainCitation":"Id.","noteIndex":70},"citationItems":[{"id":5632,"uris":["http://zotero.org/groups/2385044/items/BA33XABW"],"itemData":{"id":5632,"type":"webpage","abstract":"If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i/>
          <w:iCs/>
        </w:rPr>
        <w:t>Id.</w:t>
      </w:r>
      <w:r>
        <w:fldChar w:fldCharType="end"/>
      </w:r>
    </w:p>
  </w:footnote>
  <w:footnote w:id="72">
    <w:p w14:paraId="7930A1A2" w14:textId="6718307B" w:rsidR="00F47754" w:rsidRDefault="00F47754">
      <w:pPr>
        <w:pStyle w:val="FootnoteText"/>
      </w:pPr>
      <w:r w:rsidRPr="00755452">
        <w:rPr>
          <w:rStyle w:val="FootnoteReference"/>
        </w:rPr>
        <w:footnoteRef/>
      </w:r>
      <w:r>
        <w:t xml:space="preserve"> </w:t>
      </w:r>
      <w:r>
        <w:fldChar w:fldCharType="begin"/>
      </w:r>
      <w:r w:rsidR="006223EF">
        <w:instrText xml:space="preserve"> ADDIN ZOTERO_ITEM CSL_CITATION {"citationID":"yLfqUlAX","properties":{"formattedCitation":"In Person vs. In-Person, {\\scaps Merriam-Webster.com Dictionary}, https://www.merriam-webster.com/grammar/in-person-vs-in-person-usage-are-they-interchangeable (last visited Oct 2, 2024).","plainCitation":"In Person vs. In-Person, Merriam-Webster.com Dictionary, https://www.merriam-webster.com/grammar/in-person-vs-in-person-usage-are-they-interchangeable (last visited Oct 2, 2024).","noteIndex":71},"citationItems":[{"id":7349,"uris":["http://zotero.org/groups/2385044/items/ZGI4AUJD"],"itemData":{"id":7349,"type":"webpage","abstract":"'In person' describes physical presence, while 'in-person' describes something done by someone physically present. Use 'in person' as an adverb and 'in-person' as an adjective.","container-title":"Merriam-Webster.com Dictionary","language":"en","note":"https://perma.cc/7X2T-LJAC","title":"In Person vs. In-Person","URL":"https://www.merriam-webster.com/grammar/in-person-vs-in-person-usage-are-they-interchangeable","accessed":{"date-parts":[["2024",10,2]]}}}],"schema":"https://github.com/citation-style-language/schema/raw/master/csl-citation.json"} </w:instrText>
      </w:r>
      <w:r>
        <w:fldChar w:fldCharType="separate"/>
      </w:r>
      <w:r w:rsidR="006223EF" w:rsidRPr="006223EF">
        <w:rPr>
          <w:rFonts w:ascii="Calibri" w:cs="Calibri"/>
        </w:rPr>
        <w:t xml:space="preserve">In Person vs. In-Person, </w:t>
      </w:r>
      <w:r w:rsidR="006223EF" w:rsidRPr="006223EF">
        <w:rPr>
          <w:rFonts w:ascii="Calibri" w:cs="Calibri"/>
          <w:smallCaps/>
        </w:rPr>
        <w:t>Merriam-Webster.com Dictionary</w:t>
      </w:r>
      <w:r w:rsidR="006223EF" w:rsidRPr="006223EF">
        <w:rPr>
          <w:rFonts w:ascii="Calibri" w:cs="Calibri"/>
        </w:rPr>
        <w:t>, https://www.merriam-webster.com/grammar/in-person-vs-in-person-usage-are-they-interchangeable (last visited Oct 2, 2024).</w:t>
      </w:r>
      <w:r>
        <w:fldChar w:fldCharType="end"/>
      </w:r>
    </w:p>
  </w:footnote>
  <w:footnote w:id="73">
    <w:p w14:paraId="24ECBFD3" w14:textId="6F393DA8" w:rsidR="00A22712" w:rsidRDefault="00A22712">
      <w:pPr>
        <w:pStyle w:val="FootnoteText"/>
      </w:pPr>
      <w:r w:rsidRPr="00755452">
        <w:rPr>
          <w:rStyle w:val="FootnoteReference"/>
        </w:rPr>
        <w:footnoteRef/>
      </w:r>
      <w:r>
        <w:t xml:space="preserve"> </w:t>
      </w:r>
      <w:r>
        <w:fldChar w:fldCharType="begin"/>
      </w:r>
      <w:r w:rsidR="006223EF">
        <w:instrText xml:space="preserve"> ADDIN ZOTERO_ITEM CSL_CITATION {"citationID":"UOHylKD3","properties":{"formattedCitation":"{\\i{}Id.}","plainCitation":"Id.","noteIndex":72},"citationItems":[{"id":7349,"uris":["http://zotero.org/groups/2385044/items/ZGI4AUJD"],"itemData":{"id":7349,"type":"webpage","abstract":"'In person' describes physical presence, while 'in-person' describes something done by someone physically present. Use 'in person' as an adverb and 'in-person' as an adjective.","container-title":"Merriam-Webster.com Dictionary","language":"en","note":"https://perma.cc/7X2T-LJAC","title":"In Person vs. In-Person","URL":"https://www.merriam-webster.com/grammar/in-person-vs-in-person-usage-are-they-interchangeable","accessed":{"date-parts":[["2024",10,2]]}}}],"schema":"https://github.com/citation-style-language/schema/raw/master/csl-citation.json"} </w:instrText>
      </w:r>
      <w:r>
        <w:fldChar w:fldCharType="separate"/>
      </w:r>
      <w:r w:rsidR="006223EF" w:rsidRPr="006223EF">
        <w:rPr>
          <w:rFonts w:ascii="Calibri" w:cs="Calibri"/>
          <w:i/>
          <w:iCs/>
        </w:rPr>
        <w:t>Id.</w:t>
      </w:r>
      <w:r>
        <w:fldChar w:fldCharType="end"/>
      </w:r>
    </w:p>
  </w:footnote>
  <w:footnote w:id="74">
    <w:p w14:paraId="5329ABC0" w14:textId="3306A947" w:rsidR="00A22712" w:rsidRDefault="00A22712">
      <w:pPr>
        <w:pStyle w:val="FootnoteText"/>
      </w:pPr>
      <w:r w:rsidRPr="00755452">
        <w:rPr>
          <w:rStyle w:val="FootnoteReference"/>
        </w:rPr>
        <w:footnoteRef/>
      </w:r>
      <w:r>
        <w:t xml:space="preserve"> </w:t>
      </w:r>
      <w:r>
        <w:fldChar w:fldCharType="begin"/>
      </w:r>
      <w:r w:rsidR="006223EF">
        <w:instrText xml:space="preserve"> ADDIN ZOTERO_ITEM CSL_CITATION {"citationID":"uMFN8ENi","properties":{"formattedCitation":"{\\i{}Id.}","plainCitation":"Id.","noteIndex":73},"citationItems":[{"id":7349,"uris":["http://zotero.org/groups/2385044/items/ZGI4AUJD"],"itemData":{"id":7349,"type":"webpage","abstract":"'In person' describes physical presence, while 'in-person' describes something done by someone physically present. Use 'in person' as an adverb and 'in-person' as an adjective.","container-title":"Merriam-Webster.com Dictionary","language":"en","note":"https://perma.cc/7X2T-LJAC","title":"In Person vs. In-Person","URL":"https://www.merriam-webster.com/grammar/in-person-vs-in-person-usage-are-they-interchangeable","accessed":{"date-parts":[["2024",10,2]]}}}],"schema":"https://github.com/citation-style-language/schema/raw/master/csl-citation.json"} </w:instrText>
      </w:r>
      <w:r>
        <w:fldChar w:fldCharType="separate"/>
      </w:r>
      <w:r w:rsidR="006223EF" w:rsidRPr="006223EF">
        <w:rPr>
          <w:rFonts w:ascii="Calibri" w:cs="Calibri"/>
          <w:i/>
          <w:iCs/>
        </w:rPr>
        <w:t>Id.</w:t>
      </w:r>
      <w:r>
        <w:fldChar w:fldCharType="end"/>
      </w:r>
    </w:p>
  </w:footnote>
  <w:footnote w:id="75">
    <w:p w14:paraId="70FEFC93" w14:textId="72873ADA" w:rsidR="006D3EDF" w:rsidRDefault="006D3EDF">
      <w:pPr>
        <w:pStyle w:val="FootnoteText"/>
      </w:pPr>
      <w:r w:rsidRPr="00755452">
        <w:rPr>
          <w:rStyle w:val="FootnoteReference"/>
        </w:rPr>
        <w:footnoteRef/>
      </w:r>
      <w:r>
        <w:t xml:space="preserve"> </w:t>
      </w:r>
      <w:r>
        <w:fldChar w:fldCharType="begin"/>
      </w:r>
      <w:r w:rsidR="006223EF">
        <w:instrText xml:space="preserve"> ADDIN ZOTERO_ITEM CSL_CITATION {"citationID":"MwkYo273","properties":{"formattedCitation":"\\uc0\\u8220{}in spite of\\uc0\\u8221{} {\\scaps The Associated Press}, {\\i{}supra} note 22.","plainCitation":"“in spite of” The Associated Press, supra note 22.","noteIndex":74},"citationItems":[{"id":5303,"uris":["http://zotero.org/users/515429/items/FGRT938L"],"itemData":{"id":5303,"type":"book","abstract":"\"Master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Press"}],"issued":{"date-parts":[["2020",5,31]]}},"prefix":"\"in spite of\""}],"schema":"https://github.com/citation-style-language/schema/raw/master/csl-citation.json"} </w:instrText>
      </w:r>
      <w:r>
        <w:fldChar w:fldCharType="separate"/>
      </w:r>
      <w:r w:rsidR="006223EF" w:rsidRPr="006223EF">
        <w:rPr>
          <w:rFonts w:ascii="Calibri" w:cs="Calibri"/>
        </w:rPr>
        <w:t xml:space="preserve">“in spite of”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22.</w:t>
      </w:r>
      <w:r>
        <w:fldChar w:fldCharType="end"/>
      </w:r>
      <w:r>
        <w:t xml:space="preserve"> </w:t>
      </w:r>
      <w:r>
        <w:fldChar w:fldCharType="begin"/>
      </w:r>
      <w:r w:rsidR="006223EF">
        <w:instrText xml:space="preserve"> ADDIN ZOTERO_ITEM CSL_CITATION {"citationID":"KRzzwIQ5","properties":{"formattedCitation":"\\uc0\\u8220{}in spite of\\uc0\\u8221{} {\\i{}Id.}","plainCitation":"“in spite of” Id.","noteIndex":74},"citationItems":[{"id":5303,"uris":["http://zotero.org/users/515429/items/FGRT938L"],"itemData":{"id":5303,"type":"book","abstract":"\"Master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Press"}],"issued":{"date-parts":[["2020",5,31]]}},"prefix":"\"in spite of\""}],"schema":"https://github.com/citation-style-language/schema/raw/master/csl-citation.json"} </w:instrText>
      </w:r>
      <w:r>
        <w:fldChar w:fldCharType="separate"/>
      </w:r>
      <w:r w:rsidR="006223EF" w:rsidRPr="006223EF">
        <w:rPr>
          <w:rFonts w:ascii="Calibri" w:cs="Calibri"/>
        </w:rPr>
        <w:t xml:space="preserve">“in spite of” </w:t>
      </w:r>
      <w:r w:rsidR="006223EF" w:rsidRPr="006223EF">
        <w:rPr>
          <w:rFonts w:ascii="Calibri" w:cs="Calibri"/>
          <w:i/>
          <w:iCs/>
        </w:rPr>
        <w:t>Id.</w:t>
      </w:r>
      <w:r>
        <w:fldChar w:fldCharType="end"/>
      </w:r>
    </w:p>
  </w:footnote>
  <w:footnote w:id="76">
    <w:p w14:paraId="55505E02" w14:textId="2F95BB51" w:rsidR="00774BEE" w:rsidRDefault="00774BEE">
      <w:pPr>
        <w:pStyle w:val="FootnoteText"/>
      </w:pPr>
      <w:r w:rsidRPr="00755452">
        <w:rPr>
          <w:rStyle w:val="FootnoteReference"/>
        </w:rPr>
        <w:footnoteRef/>
      </w:r>
      <w:r>
        <w:t xml:space="preserve"> </w:t>
      </w:r>
      <w:r>
        <w:fldChar w:fldCharType="begin"/>
      </w:r>
      <w:r w:rsidR="006223EF">
        <w:instrText xml:space="preserve"> ADDIN ZOTERO_ITEM CSL_CITATION {"citationID":"BJfKWJtn","properties":{"formattedCitation":"indemnitee, {\\scaps Black\\uc0\\u8217{}s Law Dictionary} (10th ed. 2014).","plainCitation":"indemnitee, Black’s Law Dictionary (10th ed. 2014).","noteIndex":75},"citationItems":[{"id":5642,"uris":["http://zotero.org/groups/2385044/items/YWB2IYL9"],"itemData":{"id":5642,"type":"entry-dictionary","container-title":"Black's Law Dictionary","edition":"10th","language":"en-US","title":"indemnitee","issued":{"date-parts":[["2014"]]}}}],"schema":"https://github.com/citation-style-language/schema/raw/master/csl-citation.json"} </w:instrText>
      </w:r>
      <w:r>
        <w:fldChar w:fldCharType="separate"/>
      </w:r>
      <w:r w:rsidR="006223EF" w:rsidRPr="006223EF">
        <w:rPr>
          <w:rFonts w:ascii="Calibri" w:cs="Calibri"/>
        </w:rPr>
        <w:t xml:space="preserve">indemnitee, </w:t>
      </w:r>
      <w:r w:rsidR="006223EF" w:rsidRPr="006223EF">
        <w:rPr>
          <w:rFonts w:ascii="Calibri" w:cs="Calibri"/>
          <w:smallCaps/>
        </w:rPr>
        <w:t>Black’s Law Dictionary</w:t>
      </w:r>
      <w:r w:rsidR="006223EF" w:rsidRPr="006223EF">
        <w:rPr>
          <w:rFonts w:ascii="Calibri" w:cs="Calibri"/>
        </w:rPr>
        <w:t xml:space="preserve"> (10th ed. 2014).</w:t>
      </w:r>
      <w:r>
        <w:fldChar w:fldCharType="end"/>
      </w:r>
      <w:r>
        <w:t xml:space="preserve"> </w:t>
      </w:r>
      <w:r>
        <w:fldChar w:fldCharType="begin"/>
      </w:r>
      <w:r w:rsidR="006223EF">
        <w:instrText xml:space="preserve"> ADDIN ZOTERO_ITEM CSL_CITATION {"citationID":"ZJkjr3Tc","properties":{"formattedCitation":"{\\i{}Id.}","plainCitation":"Id.","noteIndex":75},"citationItems":[{"id":5642,"uris":["http://zotero.org/groups/2385044/items/YWB2IYL9"],"itemData":{"id":5642,"type":"entry-dictionary","container-title":"Black's Law Dictionary","edition":"10th","language":"en-US","title":"indemnitee","issued":{"date-parts":[["2014"]]}}}],"schema":"https://github.com/citation-style-language/schema/raw/master/csl-citation.json"} </w:instrText>
      </w:r>
      <w:r>
        <w:fldChar w:fldCharType="separate"/>
      </w:r>
      <w:r w:rsidR="006223EF" w:rsidRPr="006223EF">
        <w:rPr>
          <w:rFonts w:ascii="Calibri" w:cs="Calibri"/>
          <w:i/>
          <w:iCs/>
        </w:rPr>
        <w:t>Id.</w:t>
      </w:r>
      <w:r>
        <w:fldChar w:fldCharType="end"/>
      </w:r>
    </w:p>
  </w:footnote>
  <w:footnote w:id="77">
    <w:p w14:paraId="3317B250" w14:textId="525F2937" w:rsidR="00AF2175" w:rsidRDefault="00AF2175">
      <w:pPr>
        <w:pStyle w:val="FootnoteText"/>
      </w:pPr>
      <w:r w:rsidRPr="00755452">
        <w:rPr>
          <w:rStyle w:val="FootnoteReference"/>
        </w:rPr>
        <w:footnoteRef/>
      </w:r>
      <w:r>
        <w:t xml:space="preserve"> </w:t>
      </w:r>
      <w:r>
        <w:fldChar w:fldCharType="begin"/>
      </w:r>
      <w:r w:rsidR="006223EF">
        <w:instrText xml:space="preserve"> ADDIN ZOTERO_ITEM CSL_CITATION {"citationID":"BjqooA3j","properties":{"formattedCitation":"indemnitor, {\\scaps Black\\uc0\\u8217{}s Law Dictionary} (10th ed. 2014).","plainCitation":"indemnitor, Black’s Law Dictionary (10th ed. 2014).","noteIndex":76},"citationItems":[{"id":5641,"uris":["http://zotero.org/groups/2385044/items/8W5LILYB"],"itemData":{"id":5641,"type":"entry-dictionary","container-title":"Black's Law Dictionary","edition":"10th","language":"en-US","title":"indemnitor","issued":{"date-parts":[["2014"]]}}}],"schema":"https://github.com/citation-style-language/schema/raw/master/csl-citation.json"} </w:instrText>
      </w:r>
      <w:r>
        <w:fldChar w:fldCharType="separate"/>
      </w:r>
      <w:r w:rsidR="006223EF" w:rsidRPr="006223EF">
        <w:rPr>
          <w:rFonts w:ascii="Calibri" w:cs="Calibri"/>
        </w:rPr>
        <w:t xml:space="preserve">indemnitor, </w:t>
      </w:r>
      <w:r w:rsidR="006223EF" w:rsidRPr="006223EF">
        <w:rPr>
          <w:rFonts w:ascii="Calibri" w:cs="Calibri"/>
          <w:smallCaps/>
        </w:rPr>
        <w:t>Black’s Law Dictionary</w:t>
      </w:r>
      <w:r w:rsidR="006223EF" w:rsidRPr="006223EF">
        <w:rPr>
          <w:rFonts w:ascii="Calibri" w:cs="Calibri"/>
        </w:rPr>
        <w:t xml:space="preserve"> (10th ed. 2014).</w:t>
      </w:r>
      <w:r>
        <w:fldChar w:fldCharType="end"/>
      </w:r>
      <w:r>
        <w:t xml:space="preserve"> </w:t>
      </w:r>
      <w:r>
        <w:fldChar w:fldCharType="begin"/>
      </w:r>
      <w:r w:rsidR="006223EF">
        <w:instrText xml:space="preserve"> ADDIN ZOTERO_ITEM CSL_CITATION {"citationID":"7k8zysFw","properties":{"formattedCitation":"{\\i{}Id.}","plainCitation":"Id.","noteIndex":76},"citationItems":[{"id":5641,"uris":["http://zotero.org/groups/2385044/items/8W5LILYB"],"itemData":{"id":5641,"type":"entry-dictionary","container-title":"Black's Law Dictionary","edition":"10th","language":"en-US","title":"indemnitor","issued":{"date-parts":[["2014"]]}}}],"schema":"https://github.com/citation-style-language/schema/raw/master/csl-citation.json"} </w:instrText>
      </w:r>
      <w:r>
        <w:fldChar w:fldCharType="separate"/>
      </w:r>
      <w:r w:rsidR="006223EF" w:rsidRPr="006223EF">
        <w:rPr>
          <w:rFonts w:ascii="Calibri" w:cs="Calibri"/>
          <w:i/>
          <w:iCs/>
        </w:rPr>
        <w:t>Id.</w:t>
      </w:r>
      <w:r>
        <w:fldChar w:fldCharType="end"/>
      </w:r>
    </w:p>
  </w:footnote>
  <w:footnote w:id="78">
    <w:p w14:paraId="4F05C218" w14:textId="602476D3" w:rsidR="00B92A6A" w:rsidRDefault="00B92A6A">
      <w:pPr>
        <w:pStyle w:val="FootnoteText"/>
      </w:pPr>
      <w:r w:rsidRPr="00755452">
        <w:rPr>
          <w:rStyle w:val="FootnoteReference"/>
        </w:rPr>
        <w:footnoteRef/>
      </w:r>
      <w:r>
        <w:t xml:space="preserve"> </w:t>
      </w:r>
      <w:r>
        <w:fldChar w:fldCharType="begin"/>
      </w:r>
      <w:r w:rsidR="006223EF">
        <w:instrText xml:space="preserve"> ADDIN ZOTERO_ITEM CSL_CITATION {"citationID":"JmV2hmz3","properties":{"formattedCitation":"The Associated Press, {\\i{}lady} {\\scaps The Associated Press Stylebook} (55th (2020 \\uc0\\u8211{} 2022) ed. 2020).","plainCitation":"The Associated Press, lady The Associated Press Stylebook (55th (2020 – 2022) ed. 2020).","noteIndex":77},"citationItems":[{"id":5943,"uris":["http://zotero.org/groups/2385044/items/Y39QHSR4"],"itemData":{"id":5943,"type":"entry-dictionary","abstract":"\"Master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ISBN","title":"lady","title-short":"AP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lady</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79">
    <w:p w14:paraId="7FAA4621" w14:textId="560C0311" w:rsidR="001C39C8" w:rsidRDefault="001C39C8">
      <w:pPr>
        <w:pStyle w:val="FootnoteText"/>
      </w:pPr>
      <w:r w:rsidRPr="00755452">
        <w:rPr>
          <w:rStyle w:val="FootnoteReference"/>
        </w:rPr>
        <w:footnoteRef/>
      </w:r>
      <w:r>
        <w:t xml:space="preserve"> </w:t>
      </w:r>
      <w:r>
        <w:fldChar w:fldCharType="begin"/>
      </w:r>
      <w:r w:rsidR="006223EF">
        <w:instrText xml:space="preserve"> ADDIN ZOTERO_ITEM CSL_CITATION {"citationID":"60Ne8BnW","properties":{"formattedCitation":"The Associated Press, {\\i{}lay, lie} {\\scaps The Associated Press Stylebook} (55th (2020 \\uc0\\u8211{} 2022) ed. 2020).","plainCitation":"The Associated Press, lay, lie The Associated Press Stylebook (55th (2020 – 2022) ed. 2020).","noteIndex":78},"citationItems":[{"id":5942,"uris":["http://zotero.org/groups/2385044/items/9MIUAQQX"],"itemData":{"id":5942,"type":"entry-dictionary","abstract":"\"Master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without\"--","container-title":"The Associated Press Stylebook","edition":"55th (2020 – 2022)","event-place":"New York","ISBN":"978-1-5416-4757-2","language":"English","publisher":"The Associated Press","publisher-place":"New York","source":"Library of Congress ISBN","title":"lay, lie","title-short":"AP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lay, lie</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80">
    <w:p w14:paraId="5648B63E" w14:textId="4824C617" w:rsidR="004F113A" w:rsidRPr="004F113A" w:rsidRDefault="004F113A" w:rsidP="004F113A">
      <w:pPr>
        <w:rPr>
          <w:rFonts w:ascii="Times New Roman" w:eastAsia="Times New Roman" w:hAnsi="Times New Roman" w:cs="Times New Roman"/>
        </w:rPr>
      </w:pPr>
      <w:r w:rsidRPr="00755452">
        <w:rPr>
          <w:rStyle w:val="FootnoteReference"/>
        </w:rPr>
        <w:footnoteRef/>
      </w:r>
      <w:r w:rsidRPr="00CE6ECD">
        <w:rPr>
          <w:rStyle w:val="FootnoteReference"/>
          <w:sz w:val="20"/>
          <w:szCs w:val="20"/>
        </w:rPr>
        <w:t xml:space="preserve"> </w:t>
      </w:r>
      <w:r w:rsidRPr="003200FA">
        <w:rPr>
          <w:rFonts w:ascii="Calibri" w:eastAsia="Times New Roman" w:hAnsi="Calibri" w:cs="Calibri"/>
          <w:color w:val="303336"/>
          <w:spacing w:val="2"/>
          <w:sz w:val="20"/>
          <w:szCs w:val="20"/>
          <w:shd w:val="clear" w:color="auto" w:fill="FFFFFF"/>
        </w:rPr>
        <w:t>“</w:t>
      </w:r>
      <w:proofErr w:type="gramStart"/>
      <w:r w:rsidRPr="003200FA">
        <w:rPr>
          <w:rFonts w:ascii="Calibri" w:eastAsia="Times New Roman" w:hAnsi="Calibri" w:cs="Calibri"/>
          <w:color w:val="303336"/>
          <w:spacing w:val="2"/>
          <w:sz w:val="20"/>
          <w:szCs w:val="20"/>
          <w:shd w:val="clear" w:color="auto" w:fill="FFFFFF"/>
        </w:rPr>
        <w:t>levelheaded</w:t>
      </w:r>
      <w:proofErr w:type="gramEnd"/>
      <w:r w:rsidRPr="003200FA">
        <w:rPr>
          <w:rFonts w:ascii="Calibri" w:eastAsia="Times New Roman" w:hAnsi="Calibri" w:cs="Calibri"/>
          <w:color w:val="303336"/>
          <w:spacing w:val="2"/>
          <w:sz w:val="20"/>
          <w:szCs w:val="20"/>
          <w:shd w:val="clear" w:color="auto" w:fill="FFFFFF"/>
        </w:rPr>
        <w:t>,” </w:t>
      </w:r>
      <w:r w:rsidRPr="003200FA">
        <w:rPr>
          <w:rFonts w:ascii="Calibri" w:eastAsia="Times New Roman" w:hAnsi="Calibri" w:cs="Calibri"/>
          <w:i/>
          <w:iCs/>
          <w:color w:val="303336"/>
          <w:spacing w:val="2"/>
          <w:sz w:val="20"/>
          <w:szCs w:val="20"/>
          <w:bdr w:val="none" w:sz="0" w:space="0" w:color="auto" w:frame="1"/>
        </w:rPr>
        <w:t>Merriam-Webster.com Dictionary</w:t>
      </w:r>
      <w:r w:rsidRPr="003200FA">
        <w:rPr>
          <w:rFonts w:ascii="Calibri" w:eastAsia="Times New Roman" w:hAnsi="Calibri" w:cs="Calibri"/>
          <w:color w:val="303336"/>
          <w:spacing w:val="2"/>
          <w:sz w:val="20"/>
          <w:szCs w:val="20"/>
          <w:shd w:val="clear" w:color="auto" w:fill="FFFFFF"/>
        </w:rPr>
        <w:t xml:space="preserve">, </w:t>
      </w:r>
      <w:hyperlink r:id="rId1" w:history="1">
        <w:r w:rsidR="003200FA" w:rsidRPr="002B6201">
          <w:rPr>
            <w:rStyle w:val="Hyperlink"/>
            <w:rFonts w:ascii="Calibri" w:eastAsia="Times New Roman" w:hAnsi="Calibri" w:cs="Calibri"/>
            <w:spacing w:val="2"/>
            <w:sz w:val="20"/>
            <w:szCs w:val="20"/>
            <w:shd w:val="clear" w:color="auto" w:fill="FFFFFF"/>
          </w:rPr>
          <w:t>https://www.merriam-webster.com/dictionary/levelheaded</w:t>
        </w:r>
      </w:hyperlink>
      <w:r w:rsidR="003200FA">
        <w:rPr>
          <w:rFonts w:ascii="Calibri" w:eastAsia="Times New Roman" w:hAnsi="Calibri" w:cs="Calibri"/>
          <w:color w:val="303336"/>
          <w:spacing w:val="2"/>
          <w:sz w:val="20"/>
          <w:szCs w:val="20"/>
          <w:shd w:val="clear" w:color="auto" w:fill="FFFFFF"/>
        </w:rPr>
        <w:t xml:space="preserve"> (archived at </w:t>
      </w:r>
      <w:r w:rsidR="003200FA" w:rsidRPr="003200FA">
        <w:rPr>
          <w:rFonts w:ascii="Calibri" w:eastAsia="Times New Roman" w:hAnsi="Calibri" w:cs="Calibri"/>
          <w:color w:val="303336"/>
          <w:spacing w:val="2"/>
          <w:sz w:val="20"/>
          <w:szCs w:val="20"/>
          <w:shd w:val="clear" w:color="auto" w:fill="FFFFFF"/>
        </w:rPr>
        <w:t>https://web.archive.org/web/20200507153000/https://www.merriam-webster.com/dictionary/levelheaded</w:t>
      </w:r>
      <w:r w:rsidR="003200FA">
        <w:rPr>
          <w:rFonts w:ascii="Calibri" w:eastAsia="Times New Roman" w:hAnsi="Calibri" w:cs="Calibri"/>
          <w:color w:val="303336"/>
          <w:spacing w:val="2"/>
          <w:sz w:val="20"/>
          <w:szCs w:val="20"/>
          <w:shd w:val="clear" w:color="auto" w:fill="FFFFFF"/>
        </w:rPr>
        <w:t>)</w:t>
      </w:r>
      <w:r w:rsidRPr="003200FA">
        <w:rPr>
          <w:rFonts w:ascii="Calibri" w:eastAsia="Times New Roman" w:hAnsi="Calibri" w:cs="Calibri"/>
          <w:color w:val="303336"/>
          <w:spacing w:val="2"/>
          <w:sz w:val="20"/>
          <w:szCs w:val="20"/>
          <w:shd w:val="clear" w:color="auto" w:fill="FFFFFF"/>
        </w:rPr>
        <w:t>. Accessed 5/7/2020.</w:t>
      </w:r>
    </w:p>
  </w:footnote>
  <w:footnote w:id="81">
    <w:p w14:paraId="3E517B93" w14:textId="23B08CCC" w:rsidR="00F601F3" w:rsidRPr="00F601F3" w:rsidRDefault="00F601F3" w:rsidP="00F601F3">
      <w:pPr>
        <w:rPr>
          <w:rFonts w:ascii="Times New Roman" w:eastAsia="Times New Roman" w:hAnsi="Times New Roman" w:cs="Times New Roman"/>
        </w:rPr>
      </w:pPr>
      <w:r w:rsidRPr="00755452">
        <w:rPr>
          <w:rStyle w:val="FootnoteReference"/>
        </w:rPr>
        <w:footnoteRef/>
      </w:r>
      <w:r w:rsidRPr="00CE6ECD">
        <w:rPr>
          <w:rStyle w:val="FootnoteReference"/>
          <w:sz w:val="20"/>
          <w:szCs w:val="20"/>
        </w:rPr>
        <w:t xml:space="preserve"> </w:t>
      </w:r>
      <w:r w:rsidRPr="00F601F3">
        <w:rPr>
          <w:rFonts w:ascii="Calibri" w:eastAsia="Times New Roman" w:hAnsi="Calibri" w:cs="Calibri"/>
          <w:color w:val="303336"/>
          <w:spacing w:val="2"/>
          <w:sz w:val="20"/>
          <w:szCs w:val="20"/>
          <w:shd w:val="clear" w:color="auto" w:fill="FFFFFF"/>
        </w:rPr>
        <w:t>“Keep a level head.” </w:t>
      </w:r>
      <w:r w:rsidRPr="00F601F3">
        <w:rPr>
          <w:rFonts w:ascii="Calibri" w:eastAsia="Times New Roman" w:hAnsi="Calibri" w:cs="Calibri"/>
          <w:i/>
          <w:iCs/>
          <w:color w:val="303336"/>
          <w:spacing w:val="2"/>
          <w:sz w:val="20"/>
          <w:szCs w:val="20"/>
          <w:bdr w:val="none" w:sz="0" w:space="0" w:color="auto" w:frame="1"/>
        </w:rPr>
        <w:t>Merriam-Webster.com Dictionary</w:t>
      </w:r>
      <w:r w:rsidRPr="00F601F3">
        <w:rPr>
          <w:rFonts w:ascii="Calibri" w:eastAsia="Times New Roman" w:hAnsi="Calibri" w:cs="Calibri"/>
          <w:color w:val="303336"/>
          <w:spacing w:val="2"/>
          <w:sz w:val="20"/>
          <w:szCs w:val="20"/>
          <w:shd w:val="clear" w:color="auto" w:fill="FFFFFF"/>
        </w:rPr>
        <w:t xml:space="preserve">, Merriam-Webster, </w:t>
      </w:r>
      <w:hyperlink r:id="rId2" w:history="1">
        <w:r w:rsidR="00865646" w:rsidRPr="002B6201">
          <w:rPr>
            <w:rStyle w:val="Hyperlink"/>
            <w:rFonts w:ascii="Calibri" w:eastAsia="Times New Roman" w:hAnsi="Calibri" w:cs="Calibri"/>
            <w:spacing w:val="2"/>
            <w:sz w:val="20"/>
            <w:szCs w:val="20"/>
            <w:shd w:val="clear" w:color="auto" w:fill="FFFFFF"/>
          </w:rPr>
          <w:t>https://www.merriam-webster.com/dictionary/keep%20a%20level%20head</w:t>
        </w:r>
      </w:hyperlink>
      <w:r w:rsidR="00865646">
        <w:rPr>
          <w:rFonts w:ascii="Calibri" w:eastAsia="Times New Roman" w:hAnsi="Calibri" w:cs="Calibri"/>
          <w:color w:val="303336"/>
          <w:spacing w:val="2"/>
          <w:sz w:val="20"/>
          <w:szCs w:val="20"/>
          <w:shd w:val="clear" w:color="auto" w:fill="FFFFFF"/>
        </w:rPr>
        <w:t xml:space="preserve"> (archived at </w:t>
      </w:r>
      <w:r w:rsidR="00865646" w:rsidRPr="00865646">
        <w:rPr>
          <w:rFonts w:ascii="Calibri" w:eastAsia="Times New Roman" w:hAnsi="Calibri" w:cs="Calibri"/>
          <w:color w:val="303336"/>
          <w:spacing w:val="2"/>
          <w:sz w:val="20"/>
          <w:szCs w:val="20"/>
          <w:shd w:val="clear" w:color="auto" w:fill="FFFFFF"/>
        </w:rPr>
        <w:t>https://web.archive.org/web/20200507153516/https://www.merriam-webster.com/dictionary/keep%20a%20level%20head</w:t>
      </w:r>
      <w:r w:rsidR="00865646">
        <w:rPr>
          <w:rFonts w:ascii="Calibri" w:eastAsia="Times New Roman" w:hAnsi="Calibri" w:cs="Calibri"/>
          <w:color w:val="303336"/>
          <w:spacing w:val="2"/>
          <w:sz w:val="20"/>
          <w:szCs w:val="20"/>
          <w:shd w:val="clear" w:color="auto" w:fill="FFFFFF"/>
        </w:rPr>
        <w:t>)</w:t>
      </w:r>
      <w:r w:rsidRPr="00F601F3">
        <w:rPr>
          <w:rFonts w:ascii="Calibri" w:eastAsia="Times New Roman" w:hAnsi="Calibri" w:cs="Calibri"/>
          <w:color w:val="303336"/>
          <w:spacing w:val="2"/>
          <w:sz w:val="20"/>
          <w:szCs w:val="20"/>
          <w:shd w:val="clear" w:color="auto" w:fill="FFFFFF"/>
        </w:rPr>
        <w:t>. Accessed 7 May. 2020.</w:t>
      </w:r>
    </w:p>
  </w:footnote>
  <w:footnote w:id="82">
    <w:p w14:paraId="4699376E" w14:textId="6E8212DF" w:rsidR="00014C63" w:rsidRDefault="00014C63">
      <w:pPr>
        <w:pStyle w:val="FootnoteText"/>
      </w:pPr>
      <w:r w:rsidRPr="00755452">
        <w:rPr>
          <w:rStyle w:val="FootnoteReference"/>
        </w:rPr>
        <w:footnoteRef/>
      </w:r>
      <w:r>
        <w:t xml:space="preserve"> </w:t>
      </w:r>
      <w:r>
        <w:fldChar w:fldCharType="begin"/>
      </w:r>
      <w:r w:rsidR="006223EF">
        <w:instrText xml:space="preserve"> ADDIN ZOTERO_ITEM CSL_CITATION {"citationID":"jSweVnbu","properties":{"formattedCitation":"Definition of MIGHT, , https://www.merriam-webster.com/dictionary/might [https://perma.cc/TP39-XBLC] (last visited Jun 29, 2021).","plainCitation":"Definition of MIGHT, , https://www.merriam-webster.com/dictionary/might [https://perma.cc/TP39-XBLC] (last visited Jun 29, 2021).","noteIndex":81},"citationItems":[{"id":5972,"uris":["http://zotero.org/groups/2385044/items/2CXXJ7G2"],"itemData":{"id":5972,"type":"webpage","abstract":"—used to express permission, liberty, probability, or possibility in the past; —used to say that something is possible; —used to express a present condition contrary to fact… See the full definition","language":"en","title":"Definition of MIGHT","URL":"https://www.merriam-webster.com/dictionary/might [https://perma.cc/TP39-XBLC]","accessed":{"date-parts":[["2021",6,29]]}}}],"schema":"https://github.com/citation-style-language/schema/raw/master/csl-citation.json"} </w:instrText>
      </w:r>
      <w:r>
        <w:fldChar w:fldCharType="separate"/>
      </w:r>
      <w:r w:rsidR="006223EF">
        <w:rPr>
          <w:rFonts w:ascii="Calibri" w:cs="Calibri"/>
          <w:i/>
          <w:iCs/>
        </w:rPr>
        <w:t>Definition of MIGHT, , https://www.merriam-webster.com/dictionary/might [https://perma.cc/TP39-XBLC] (last visited Jun 29, 2021).</w:t>
      </w:r>
      <w:r>
        <w:fldChar w:fldCharType="end"/>
      </w:r>
    </w:p>
  </w:footnote>
  <w:footnote w:id="83">
    <w:p w14:paraId="6E5BAA87" w14:textId="29FE89CC" w:rsidR="00014C63" w:rsidRDefault="00014C63">
      <w:pPr>
        <w:pStyle w:val="FootnoteText"/>
      </w:pPr>
      <w:r w:rsidRPr="00755452">
        <w:rPr>
          <w:rStyle w:val="FootnoteReference"/>
        </w:rPr>
        <w:footnoteRef/>
      </w:r>
      <w:r>
        <w:t xml:space="preserve"> </w:t>
      </w:r>
      <w:r>
        <w:fldChar w:fldCharType="begin"/>
      </w:r>
      <w:r w:rsidR="006223EF">
        <w:instrText xml:space="preserve"> ADDIN ZOTERO_ITEM CSL_CITATION {"citationID":"RHXpD00M","properties":{"formattedCitation":"\\uc0\\u8220{}Might\\uc0\\u8221{} vs. \\uc0\\u8220{}May\\uc0\\u8221{}: What\\uc0\\u8217{}s The Difference?, {\\scaps Dictionary.com} (2015), https://www.dictionary.com/e/may-vs-might/ [https://perma.cc/R2DC-LVQP] (last visited Jun 29, 2021).","plainCitation":"“Might” vs. “May”: What’s The Difference?, Dictionary.com (2015), https://www.dictionary.com/e/may-vs-might/ [https://perma.cc/R2DC-LVQP] (last visited Jun 29, 2021).","noteIndex":82},"citationItems":[{"id":5973,"uris":["http://zotero.org/groups/2385044/items/A9BLIUCJ"],"itemData":{"id":5973,"type":"post-weblog","abstract":"May expresses likelihood while might expresses a stronger sense of doubt or a contrary-to-fact hypothetical. The difference in degree between “You may be right” and “You might be right” is slight but not insignificant: if I say you may be right about something, there is a higher degree of probability that you are right about it than if I say you might be right about something. Example: You think Einstein is the most brilliant physicist who …","container-title":"Dictionary.com","language":"en-US","note":"section: Mixed-up Meanings","title":"\"Might\" vs. \"May\": What's The Difference?","title-short":"\"Might\" vs. \"May\"","URL":"https://www.dictionary.com/e/may-vs-might/ [https://perma.cc/R2DC-LVQP]","accessed":{"date-parts":[["2021",6,29]]},"issued":{"date-parts":[["2015",10,7]]}}}],"schema":"https://github.com/citation-style-language/schema/raw/master/csl-citation.json"} </w:instrText>
      </w:r>
      <w:r>
        <w:fldChar w:fldCharType="separate"/>
      </w:r>
      <w:r w:rsidR="006223EF" w:rsidRPr="006223EF">
        <w:rPr>
          <w:rFonts w:ascii="Calibri" w:cs="Calibri"/>
        </w:rPr>
        <w:t xml:space="preserve">“Might” vs. “May”: What’s The Difference?, </w:t>
      </w:r>
      <w:r w:rsidR="006223EF" w:rsidRPr="006223EF">
        <w:rPr>
          <w:rFonts w:ascii="Calibri" w:cs="Calibri"/>
          <w:smallCaps/>
        </w:rPr>
        <w:t>Dictionary.com</w:t>
      </w:r>
      <w:r w:rsidR="006223EF" w:rsidRPr="006223EF">
        <w:rPr>
          <w:rFonts w:ascii="Calibri" w:cs="Calibri"/>
        </w:rPr>
        <w:t xml:space="preserve"> (2015), https://www.dictionary.com/e/may-vs-might/ [https://perma.cc/R2DC-LVQP] (last visited Jun 29, 2021).</w:t>
      </w:r>
      <w:r>
        <w:fldChar w:fldCharType="end"/>
      </w:r>
    </w:p>
  </w:footnote>
  <w:footnote w:id="84">
    <w:p w14:paraId="3D802D8C" w14:textId="5702BFF2" w:rsidR="006927FB" w:rsidRDefault="006927FB">
      <w:pPr>
        <w:pStyle w:val="FootnoteText"/>
      </w:pPr>
      <w:r w:rsidRPr="00755452">
        <w:rPr>
          <w:rStyle w:val="FootnoteReference"/>
        </w:rPr>
        <w:footnoteRef/>
      </w:r>
      <w:r>
        <w:t xml:space="preserve"> </w:t>
      </w:r>
      <w:r>
        <w:fldChar w:fldCharType="begin"/>
      </w:r>
      <w:r w:rsidR="006223EF">
        <w:instrText xml:space="preserve"> ADDIN ZOTERO_ITEM CSL_CITATION {"citationID":"GvNQ3zTC","properties":{"formattedCitation":"May vs. Might: What\\uc0\\u8217{}s the Difference?, {\\scaps Writing Explained} (2014), https://writingexplained.org/may-vs-might-difference [https://perma.cc/FU9G-ASDP] (last visited Jun 29, 2021).","plainCitation":"May vs. Might: What’s the Difference?, Writing Explained (2014), https://writingexplained.org/may-vs-might-difference [https://perma.cc/FU9G-ASDP] (last visited Jun 29, 2021).","noteIndex":83},"citationItems":[{"id":5974,"uris":["http://zotero.org/groups/2385044/items/NY3JDWTI"],"itemData":{"id":5974,"type":"post-weblog","abstract":"Learn the definition of might and may with example sentences and quizzes at Writing Explained.","container-title":"Writing Explained","language":"en-US","title":"May vs. Might: What’s the Difference?","title-short":"May vs. Might","URL":"https://writingexplained.org/may-vs-might-difference [https://perma.cc/FU9G-ASDP]","accessed":{"date-parts":[["2021",6,29]]},"issued":{"date-parts":[["2014",9,8]]}}}],"schema":"https://github.com/citation-style-language/schema/raw/master/csl-citation.json"} </w:instrText>
      </w:r>
      <w:r>
        <w:fldChar w:fldCharType="separate"/>
      </w:r>
      <w:r w:rsidR="006223EF" w:rsidRPr="006223EF">
        <w:rPr>
          <w:rFonts w:ascii="Calibri" w:cs="Calibri"/>
        </w:rPr>
        <w:t xml:space="preserve">May vs. Might: What’s the Difference?, </w:t>
      </w:r>
      <w:r w:rsidR="006223EF" w:rsidRPr="006223EF">
        <w:rPr>
          <w:rFonts w:ascii="Calibri" w:cs="Calibri"/>
          <w:smallCaps/>
        </w:rPr>
        <w:t>Writing Explained</w:t>
      </w:r>
      <w:r w:rsidR="006223EF" w:rsidRPr="006223EF">
        <w:rPr>
          <w:rFonts w:ascii="Calibri" w:cs="Calibri"/>
        </w:rPr>
        <w:t xml:space="preserve"> (2014), https://writingexplained.org/may-vs-might-difference [https://perma.cc/FU9G-ASDP] (last visited Jun 29, 2021).</w:t>
      </w:r>
      <w:r>
        <w:fldChar w:fldCharType="end"/>
      </w:r>
    </w:p>
  </w:footnote>
  <w:footnote w:id="85">
    <w:p w14:paraId="72DEB5EC" w14:textId="6753F0B0" w:rsidR="005432F7" w:rsidRDefault="005432F7">
      <w:pPr>
        <w:pStyle w:val="FootnoteText"/>
      </w:pPr>
      <w:r w:rsidRPr="00755452">
        <w:rPr>
          <w:rStyle w:val="FootnoteReference"/>
        </w:rPr>
        <w:footnoteRef/>
      </w:r>
      <w:r>
        <w:t xml:space="preserve"> This decision came from my own usage patterns.</w:t>
      </w:r>
    </w:p>
  </w:footnote>
  <w:footnote w:id="86">
    <w:p w14:paraId="3F801610" w14:textId="31DA2F47" w:rsidR="00625651" w:rsidRDefault="00625651">
      <w:pPr>
        <w:pStyle w:val="FootnoteText"/>
      </w:pPr>
      <w:r w:rsidRPr="00755452">
        <w:rPr>
          <w:rStyle w:val="FootnoteReference"/>
        </w:rPr>
        <w:footnoteRef/>
      </w:r>
      <w:r>
        <w:t xml:space="preserve"> This is as of the </w:t>
      </w:r>
      <w:r w:rsidR="00E5561A">
        <w:t>55</w:t>
      </w:r>
      <w:r w:rsidR="00E5561A" w:rsidRPr="00E5561A">
        <w:rPr>
          <w:vertAlign w:val="superscript"/>
        </w:rPr>
        <w:t>th</w:t>
      </w:r>
      <w:r w:rsidR="00E5561A">
        <w:t xml:space="preserve"> Edition of the Associated Press Stylebook.</w:t>
      </w:r>
    </w:p>
  </w:footnote>
  <w:footnote w:id="87">
    <w:p w14:paraId="362B1E3D" w14:textId="0ECEDFF3" w:rsidR="000714FB" w:rsidRDefault="000714FB">
      <w:pPr>
        <w:pStyle w:val="FootnoteText"/>
      </w:pPr>
      <w:r w:rsidRPr="00755452">
        <w:rPr>
          <w:rStyle w:val="FootnoteReference"/>
        </w:rPr>
        <w:footnoteRef/>
      </w:r>
      <w:r>
        <w:t xml:space="preserve"> </w:t>
      </w:r>
      <w:r>
        <w:fldChar w:fldCharType="begin"/>
      </w:r>
      <w:r w:rsidR="006223EF">
        <w:instrText xml:space="preserve"> ADDIN ZOTERO_ITEM CSL_CITATION {"citationID":"UXnqGwOz","properties":{"formattedCitation":"Bryan A. Garner, {\\i{}Notwithstanding} {\\scaps Garner\\uc0\\u8217{}s Modern English Usage} (Fourth edition ed. 2016).","plainCitation":"Bryan A. Garner, Notwithstanding Garner’s Modern English Usage (Fourth edition ed. 2016).","noteIndex":86},"citationItems":[{"id":6584,"uris":["http://zotero.org/groups/2385044/items/5IPHG4IH"],"itemData":{"id":6584,"type":"entry-dictionary","abstract":"A “formal word used in the sense ‘despite,’ ‘in spite of,’ or ‘although.’ In general English-language contexts, it has experienced a steady decline in use since about 1760. E.g.: ‘Notwithstanding an outpouring of editorial opinion on either side of this issue, there are no easy answers.’ Richard Baum, ‘Perspective on China,’ L.A. Times, 30 Nov. 1997, at M5.\nThe question that literalists ask is, What doesn't withstand what else? Is the outpouring of opinion ‘not withstanding’ (i.e., subordinated to) the lack of easy answers, or is the lack of easy answers ‘not withstanding’ (subordinated to) the outpouring of editorial opinion? Because the former is the correct reading, some believe that notwithstanding should be sent to the end of the phrase in which it appears: The family's objection to the marriage notwithstanding, as opposed to Notwithstanding the family's objection to the marriage.\nBut the literalist argument is very much in vain, as the OED attests with a 14th-century example of notwithstanding as a sentence-starter. This usage has been constant from the 1300s to the present day. In fact, the construction with notwithstanding following the noun first appeared more than a century later, and has never been as frequent. The Century Dictionary explains: ‘As the noun usually follows [the word notwithstanding], the [word] came to be regarded as a prep. (as also with during, ppr.), and is now usually so construed.’ 3 Century Dictionary and Cyclopedia 4029 (1914). The word is not a dangler because it does not function as a participle.”","call-number":"PE2827 .G37 2016","container-title":"Garner's Modern English Usage","edition":"Fourth edition","event-place":"New York, NY","ISBN":"978-0-19-049148-2","note":"OCLC: ocn922726594","publisher":"Oxford University Press","publisher-place":"New York, NY","source":"Library of Congress ISBN","title":"Notwithstanding","author":[{"family":"Garner","given":"Bryan A."}],"issued":{"date-parts":[["2016"]]}}}],"schema":"https://github.com/citation-style-language/schema/raw/master/csl-citation.json"} </w:instrText>
      </w:r>
      <w:r>
        <w:fldChar w:fldCharType="separate"/>
      </w:r>
      <w:r w:rsidR="006223EF" w:rsidRPr="006223EF">
        <w:rPr>
          <w:rFonts w:ascii="Calibri" w:cs="Calibri"/>
        </w:rPr>
        <w:t xml:space="preserve">Bryan A. Garner, </w:t>
      </w:r>
      <w:r w:rsidR="006223EF" w:rsidRPr="006223EF">
        <w:rPr>
          <w:rFonts w:ascii="Calibri" w:cs="Calibri"/>
          <w:i/>
          <w:iCs/>
        </w:rPr>
        <w:t>Notwithstanding</w:t>
      </w:r>
      <w:r w:rsidR="006223EF" w:rsidRPr="006223EF">
        <w:rPr>
          <w:rFonts w:ascii="Calibri" w:cs="Calibri"/>
        </w:rPr>
        <w:t xml:space="preserve"> </w:t>
      </w:r>
      <w:r w:rsidR="006223EF" w:rsidRPr="006223EF">
        <w:rPr>
          <w:rFonts w:ascii="Calibri" w:cs="Calibri"/>
          <w:smallCaps/>
        </w:rPr>
        <w:t>Garner’s Modern English Usage</w:t>
      </w:r>
      <w:r w:rsidR="006223EF" w:rsidRPr="006223EF">
        <w:rPr>
          <w:rFonts w:ascii="Calibri" w:cs="Calibri"/>
        </w:rPr>
        <w:t xml:space="preserve"> (Fourth edition ed. 2016).</w:t>
      </w:r>
      <w:r>
        <w:fldChar w:fldCharType="end"/>
      </w:r>
    </w:p>
  </w:footnote>
  <w:footnote w:id="88">
    <w:p w14:paraId="0A2FE5F5" w14:textId="0C0A8C55" w:rsidR="0043584E" w:rsidRDefault="0043584E">
      <w:pPr>
        <w:pStyle w:val="FootnoteText"/>
      </w:pPr>
      <w:r w:rsidRPr="00755452">
        <w:rPr>
          <w:rStyle w:val="FootnoteReference"/>
        </w:rPr>
        <w:footnoteRef/>
      </w:r>
      <w:r>
        <w:t xml:space="preserve"> </w:t>
      </w:r>
      <w:r>
        <w:fldChar w:fldCharType="begin"/>
      </w:r>
      <w:r w:rsidR="006223EF">
        <w:instrText xml:space="preserve"> ADDIN ZOTERO_ITEM CSL_CITATION {"citationID":"4esSXbeS","properties":{"formattedCitation":"operating agreement, {\\scaps Black\\uc0\\u8217{}s Law Dictionary} (10th ed. 2014).","plainCitation":"operating agreement, Black’s Law Dictionary (10th ed. 2014).","noteIndex":87},"citationItems":[{"id":5758,"uris":["http://zotero.org/groups/2385044/items/8Y34GMAI"],"itemData":{"id":5758,"type":"entry-dictionary","container-title":"Black's Law Dictionary","edition":"10th","language":"en-US","note":"1. Oil &amp; gas. A contract among owners of the working interest in a producing oil or gas well setting forth the parties' agreements about drilling, development, operations, and accounting.\n\n2. Corporations. A limited-liability company's governing document that sets out the financial and managerial rights of the company's members.","title":"operating agreement","issued":{"date-parts":[["2014"]]}}}],"schema":"https://github.com/citation-style-language/schema/raw/master/csl-citation.json"} </w:instrText>
      </w:r>
      <w:r>
        <w:fldChar w:fldCharType="separate"/>
      </w:r>
      <w:r w:rsidR="006223EF" w:rsidRPr="006223EF">
        <w:rPr>
          <w:rFonts w:ascii="Calibri" w:cs="Calibri"/>
        </w:rPr>
        <w:t xml:space="preserve">operating agreement, </w:t>
      </w:r>
      <w:r w:rsidR="006223EF" w:rsidRPr="006223EF">
        <w:rPr>
          <w:rFonts w:ascii="Calibri" w:cs="Calibri"/>
          <w:smallCaps/>
        </w:rPr>
        <w:t>Black’s Law Dictionary</w:t>
      </w:r>
      <w:r w:rsidR="006223EF" w:rsidRPr="006223EF">
        <w:rPr>
          <w:rFonts w:ascii="Calibri" w:cs="Calibri"/>
        </w:rPr>
        <w:t xml:space="preserve"> (10th ed. 2014).</w:t>
      </w:r>
      <w:r>
        <w:fldChar w:fldCharType="end"/>
      </w:r>
    </w:p>
  </w:footnote>
  <w:footnote w:id="89">
    <w:p w14:paraId="6719544A" w14:textId="4EC95433" w:rsidR="00A245EA" w:rsidRPr="00A245EA" w:rsidRDefault="00A245EA">
      <w:pPr>
        <w:pStyle w:val="FootnoteText"/>
      </w:pPr>
      <w:r>
        <w:rPr>
          <w:rStyle w:val="FootnoteReference"/>
        </w:rPr>
        <w:footnoteRef/>
      </w:r>
      <w:r>
        <w:t xml:space="preserve"> </w:t>
      </w:r>
      <w:r>
        <w:rPr>
          <w:i/>
          <w:iCs/>
        </w:rPr>
        <w:t xml:space="preserve">See </w:t>
      </w:r>
      <w:r>
        <w:rPr>
          <w:i/>
          <w:iCs/>
        </w:rPr>
        <w:fldChar w:fldCharType="begin"/>
      </w:r>
      <w:r>
        <w:rPr>
          <w:i/>
          <w:iCs/>
        </w:rPr>
        <w:instrText xml:space="preserve"> ADDIN ZOTERO_ITEM CSL_CITATION {"citationID":"pqpKAidI","properties":{"formattedCitation":"PO Boxes | USPS, {\\scaps USPS.com} (2025), https://www.usps.com/manage/po-boxes.htm (last visited May 28, 2025).","plainCitation":"PO Boxes | USPS, USPS.com (2025), https://www.usps.com/manage/po-boxes.htm (last visited May 28, 2025).","noteIndex":88},"citationItems":[{"id":7998,"uris":["http://zotero.org/groups/2385044/items/VFSIY2AJ"],"itemData":{"id":7998,"type":"webpage","abstract":"Use USPS PO Boxes for business or personal use. Learn how to reserve, rent, renew, and manage a PO Box online, as well as how much a PO Box costs.","container-title":"USPS.com","note":"https://perma.cc/5FZE-597E","title":"PO Boxes | USPS","URL":"https://www.usps.com/manage/po-boxes.htm","accessed":{"date-parts":[["2025",5,28]]},"issued":{"date-parts":[["2025",5,28]]}}}],"schema":"https://github.com/citation-style-language/schema/raw/master/csl-citation.json"} </w:instrText>
      </w:r>
      <w:r>
        <w:rPr>
          <w:i/>
          <w:iCs/>
        </w:rPr>
        <w:fldChar w:fldCharType="separate"/>
      </w:r>
      <w:r w:rsidRPr="00A245EA">
        <w:rPr>
          <w:rFonts w:ascii="Calibri" w:cs="Calibri"/>
        </w:rPr>
        <w:t xml:space="preserve">PO Boxes | USPS, </w:t>
      </w:r>
      <w:r w:rsidRPr="00A245EA">
        <w:rPr>
          <w:rFonts w:ascii="Calibri" w:cs="Calibri"/>
          <w:smallCaps/>
        </w:rPr>
        <w:t>USPS.com</w:t>
      </w:r>
      <w:r w:rsidRPr="00A245EA">
        <w:rPr>
          <w:rFonts w:ascii="Calibri" w:cs="Calibri"/>
        </w:rPr>
        <w:t xml:space="preserve"> (2025), https://www.usps.com/manage/po-boxes.htm (last visited May 28, 2025).</w:t>
      </w:r>
      <w:r>
        <w:rPr>
          <w:i/>
          <w:iCs/>
        </w:rPr>
        <w:fldChar w:fldCharType="end"/>
      </w:r>
    </w:p>
  </w:footnote>
  <w:footnote w:id="90">
    <w:p w14:paraId="7A478E7A" w14:textId="5C89F5A8" w:rsidR="00450740" w:rsidRDefault="00450740">
      <w:pPr>
        <w:pStyle w:val="FootnoteText"/>
      </w:pPr>
      <w:r w:rsidRPr="00755452">
        <w:rPr>
          <w:rStyle w:val="FootnoteReference"/>
        </w:rPr>
        <w:footnoteRef/>
      </w:r>
      <w:r>
        <w:t xml:space="preserve"> </w:t>
      </w:r>
      <w:r w:rsidR="00A51D8D">
        <w:fldChar w:fldCharType="begin"/>
      </w:r>
      <w:r w:rsidR="00A245EA">
        <w:instrText xml:space="preserve"> ADDIN ZOTERO_ITEM CSL_CITATION {"citationID":"gHjhNrPz","properties":{"formattedCitation":"See Electronic pollbook security raises concerns going into 2024, {\\scaps AP News} (2023), https://apnews.com/article/arizona-united-states-government-2022-midterm-elections-donald-trump-los-angeles-651d0e923973daf28ff3b9d6105b4d74 (last visited Aug 8, 2023).","plainCitation":"See Electronic pollbook security raises concerns going into 2024, AP News (2023), https://apnews.com/article/arizona-united-states-government-2022-midterm-elections-donald-trump-los-angeles-651d0e923973daf28ff3b9d6105b4d74 (last visited Aug 8, 2023).","noteIndex":89},"citationItems":[{"id":6752,"uris":["http://zotero.org/groups/2385044/items/CSZP4R3F"],"itemData":{"id":6752,"type":"webpage","abstract":"High-profile problems involving electronic pollbooks in recent years have opened the door for those peddling election conspiracies.","container-title":"AP News","language":"en","title":"Electronic pollbook security raises concerns going into 2024","URL":"https://apnews.com/article/arizona-united-states-government-2022-midterm-elections-donald-trump-los-angeles-651d0e923973daf28ff3b9d6105b4d74","accessed":{"date-parts":[["2023",8,8]]},"issued":{"date-parts":[["2023",2,4]]}},"label":"page","prefix":"See"}],"schema":"https://github.com/citation-style-language/schema/raw/master/csl-citation.json"} </w:instrText>
      </w:r>
      <w:r w:rsidR="00A51D8D">
        <w:fldChar w:fldCharType="separate"/>
      </w:r>
      <w:r w:rsidR="006223EF" w:rsidRPr="006223EF">
        <w:rPr>
          <w:rFonts w:ascii="Calibri" w:cs="Calibri"/>
        </w:rPr>
        <w:t xml:space="preserve">See Electronic pollbook security raises concerns going into 2024, </w:t>
      </w:r>
      <w:r w:rsidR="006223EF" w:rsidRPr="006223EF">
        <w:rPr>
          <w:rFonts w:ascii="Calibri" w:cs="Calibri"/>
          <w:smallCaps/>
        </w:rPr>
        <w:t>AP News</w:t>
      </w:r>
      <w:r w:rsidR="006223EF" w:rsidRPr="006223EF">
        <w:rPr>
          <w:rFonts w:ascii="Calibri" w:cs="Calibri"/>
        </w:rPr>
        <w:t xml:space="preserve"> (2023), https://apnews.com/article/arizona-united-states-government-2022-midterm-elections-donald-trump-los-angeles-651d0e923973daf28ff3b9d6105b4d74 (last visited Aug 8, 2023).</w:t>
      </w:r>
      <w:r w:rsidR="00A51D8D">
        <w:fldChar w:fldCharType="end"/>
      </w:r>
    </w:p>
  </w:footnote>
  <w:footnote w:id="91">
    <w:p w14:paraId="147E9B91" w14:textId="566BBB5C" w:rsidR="00531EFE" w:rsidRDefault="00531EFE" w:rsidP="00531EFE">
      <w:pPr>
        <w:pStyle w:val="FootnoteText"/>
      </w:pPr>
      <w:r w:rsidRPr="00755452">
        <w:rPr>
          <w:rStyle w:val="FootnoteReference"/>
        </w:rPr>
        <w:footnoteRef/>
      </w:r>
      <w:r>
        <w:fldChar w:fldCharType="begin"/>
      </w:r>
      <w:r w:rsidR="00A245EA">
        <w:instrText xml:space="preserve"> ADDIN ZOTERO_ITEM CSL_CITATION {"citationID":"5RolmPvT","properties":{"formattedCitation":"The Difference Between Ex-Ante, Post Hoc, Ex Post, A Priori, and A Posteriori, {\\i{}supra} note 33.","plainCitation":"The Difference Between Ex-Ante, Post Hoc, Ex Post, A Priori, and A Posteriori, supra note 33.","noteIndex":90},"citationItems":[{"id":5632,"uris":["http://zotero.org/groups/2385044/items/BA33XABW"],"itemData":{"id":5632,"type":"webpage","abstract":"If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rPr>
        <w:t xml:space="preserve">The Difference Between Ex-Ante, Post Hoc, Ex Post, A Priori, and A Posteriori, </w:t>
      </w:r>
      <w:r w:rsidR="006223EF" w:rsidRPr="006223EF">
        <w:rPr>
          <w:rFonts w:ascii="Calibri" w:cs="Calibri"/>
          <w:i/>
          <w:iCs/>
        </w:rPr>
        <w:t>supra</w:t>
      </w:r>
      <w:r w:rsidR="006223EF" w:rsidRPr="006223EF">
        <w:rPr>
          <w:rFonts w:ascii="Calibri" w:cs="Calibri"/>
        </w:rPr>
        <w:t xml:space="preserve"> note 33.</w:t>
      </w:r>
      <w:r>
        <w:fldChar w:fldCharType="end"/>
      </w:r>
      <w:r>
        <w:t xml:space="preserve"> </w:t>
      </w:r>
      <w:r>
        <w:fldChar w:fldCharType="begin"/>
      </w:r>
      <w:r w:rsidR="00A245EA">
        <w:instrText xml:space="preserve"> ADDIN ZOTERO_ITEM CSL_CITATION {"citationID":"J5FdqTHz","properties":{"formattedCitation":"{\\i{}Id.}","plainCitation":"Id.","noteIndex":90},"citationItems":[{"id":5632,"uris":["http://zotero.org/groups/2385044/items/BA33XABW"],"itemData":{"id":5632,"type":"webpage","abstract":"If you do a lot of (good) reading you have probably run into a few highbrow, Latiney sounding phrases like those in the title of this post. I'm guessing","container-title":"Daniel Miessler","language":"en-US","title":"The Difference Between Ex-Ante, Post Hoc, Ex Post, A Priori, and A Posteriori","URL":"https://danielmiessler.com/blog/the-difference-between-ex-ante-post-hoc-ex-post-a-priori-a-posteriori/ [https://perma.cc/9VXJ-HNM6]","accessed":{"date-parts":[["2021",3,6]]},"issued":{"date-parts":[["2018",7,11]]}}}],"schema":"https://github.com/citation-style-language/schema/raw/master/csl-citation.json"} </w:instrText>
      </w:r>
      <w:r>
        <w:fldChar w:fldCharType="separate"/>
      </w:r>
      <w:r w:rsidR="006223EF" w:rsidRPr="006223EF">
        <w:rPr>
          <w:rFonts w:ascii="Calibri" w:cs="Calibri"/>
          <w:i/>
          <w:iCs/>
        </w:rPr>
        <w:t>Id.</w:t>
      </w:r>
      <w:r>
        <w:fldChar w:fldCharType="end"/>
      </w:r>
    </w:p>
  </w:footnote>
  <w:footnote w:id="92">
    <w:p w14:paraId="7A29E0F5" w14:textId="1FB878D1" w:rsidR="007C366E" w:rsidRDefault="007C366E">
      <w:pPr>
        <w:pStyle w:val="FootnoteText"/>
      </w:pPr>
      <w:r w:rsidRPr="00755452">
        <w:rPr>
          <w:rStyle w:val="FootnoteReference"/>
        </w:rPr>
        <w:footnoteRef/>
      </w:r>
      <w:r>
        <w:t xml:space="preserve"> </w:t>
      </w:r>
      <w:r>
        <w:fldChar w:fldCharType="begin"/>
      </w:r>
      <w:r w:rsidR="00A245EA">
        <w:instrText xml:space="preserve"> ADDIN ZOTERO_ITEM CSL_CITATION {"citationID":"sLOJsY88","properties":{"formattedCitation":"principal, principle, {\\scaps The Associated Press Stylebook, 2024-2026} (Paula Froke et al. eds., 57th edition ed. 2024).","plainCitation":"principal, principle, The Associated Press Stylebook, 2024-2026 (Paula Froke et al. eds., 57th edition ed. 2024).","noteIndex":91},"citationItems":[{"id":7387,"uris":["http://zotero.org/groups/2385044/items/2LVKKLZS"],"itemData":{"id":7387,"type":"entry-dictionary","abstract":"\"The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 This edition contains more than 300 new and revised entries, including: A new chapter on inclusive storytelling: its importance and how to achieve it; Detailed guidance on writing about people with disabilities and disabled people; Many updates on immigration, the coronavirus, gender and race-related coverage, including the capitalization of Black and expanded use of singular they; A revised chapter on religion, with guidance on when Catholic rather than Roman Catholic should be used on first reference; A thoroughly updated chapter on using social media for reporting.\"--Back cover","container-title":"The Associated Press Stylebook, 2024-2026","edition":"57th edition","event-place":"New York, NY","ISBN":"978-1-5416-0511-4","language":"eng","note":"OCLC: 1408649651","publisher":"Basic Books","publisher-place":"New York, NY","source":"Open WorldCat","title":"principal, principle","editor":[{"family":"Froke","given":"Paula"},{"family":"Bratton","given":"Anna Jo"},{"family":"Gross","given":"Andale"},{"family":"McMillan","given":"Jeff"},{"family":"Sarkar","given":"Pia"},{"family":"Schwartz","given":"Jerry"}],"issued":{"date-parts":[["2024"]]}}}],"schema":"https://github.com/citation-style-language/schema/raw/master/csl-citation.json"} </w:instrText>
      </w:r>
      <w:r>
        <w:fldChar w:fldCharType="separate"/>
      </w:r>
      <w:r w:rsidR="006223EF" w:rsidRPr="006223EF">
        <w:rPr>
          <w:rFonts w:ascii="Calibri" w:cs="Calibri"/>
        </w:rPr>
        <w:t xml:space="preserve">principal, principle, </w:t>
      </w:r>
      <w:r w:rsidR="006223EF" w:rsidRPr="006223EF">
        <w:rPr>
          <w:rFonts w:ascii="Calibri" w:cs="Calibri"/>
          <w:smallCaps/>
        </w:rPr>
        <w:t>The Associated Press Stylebook, 2024-2026</w:t>
      </w:r>
      <w:r w:rsidR="006223EF" w:rsidRPr="006223EF">
        <w:rPr>
          <w:rFonts w:ascii="Calibri" w:cs="Calibri"/>
        </w:rPr>
        <w:t xml:space="preserve"> (Paula Froke et al. eds., 57th edition ed. 2024).</w:t>
      </w:r>
      <w:r>
        <w:fldChar w:fldCharType="end"/>
      </w:r>
    </w:p>
  </w:footnote>
  <w:footnote w:id="93">
    <w:p w14:paraId="552CD842" w14:textId="16A5B59A" w:rsidR="00EA32A9" w:rsidRDefault="00EA32A9">
      <w:pPr>
        <w:pStyle w:val="FootnoteText"/>
      </w:pPr>
      <w:r w:rsidRPr="00755452">
        <w:rPr>
          <w:rStyle w:val="FootnoteReference"/>
        </w:rPr>
        <w:footnoteRef/>
      </w:r>
      <w:r>
        <w:t xml:space="preserve"> </w:t>
      </w:r>
      <w:r>
        <w:fldChar w:fldCharType="begin"/>
      </w:r>
      <w:r w:rsidR="00A245EA">
        <w:instrText xml:space="preserve"> ADDIN ZOTERO_ITEM CSL_CITATION {"citationID":"pKF0faiX","properties":{"formattedCitation":"quantum meruit, {\\scaps Black\\uc0\\u8217{}s Law Dictionary} (Bryan A. Garner ed., 10th ed. 2014).","plainCitation":"quantum meruit, Black’s Law Dictionary (Bryan A. Garner ed., 10th ed. 2014).","noteIndex":92},"citationItems":[{"id":5382,"uris":["http://zotero.org/groups/2385044/items/TB3JLIMX"],"itemData":{"id":5382,"type":"entry-dictionary","container-title":"Black's Law Dictionary","edition":"10th","language":"en-US","title":"quantum meruit","editor":[{"literal":"Bryan A. Garner"}],"issued":{"date-parts":[["2014"]]}}}],"schema":"https://github.com/citation-style-language/schema/raw/master/csl-citation.json"} </w:instrText>
      </w:r>
      <w:r>
        <w:fldChar w:fldCharType="separate"/>
      </w:r>
      <w:r w:rsidR="006223EF" w:rsidRPr="006223EF">
        <w:rPr>
          <w:rFonts w:ascii="Calibri" w:cs="Calibri"/>
        </w:rPr>
        <w:t xml:space="preserve">quantum meruit, </w:t>
      </w:r>
      <w:r w:rsidR="006223EF" w:rsidRPr="006223EF">
        <w:rPr>
          <w:rFonts w:ascii="Calibri" w:cs="Calibri"/>
          <w:smallCaps/>
        </w:rPr>
        <w:t>Black’s Law Dictionary</w:t>
      </w:r>
      <w:r w:rsidR="006223EF" w:rsidRPr="006223EF">
        <w:rPr>
          <w:rFonts w:ascii="Calibri" w:cs="Calibri"/>
        </w:rPr>
        <w:t xml:space="preserve"> (Bryan A. Garner ed., 10th ed. 2014).</w:t>
      </w:r>
      <w:r>
        <w:fldChar w:fldCharType="end"/>
      </w:r>
      <w:r>
        <w:t xml:space="preserve"> </w:t>
      </w:r>
      <w:r>
        <w:fldChar w:fldCharType="begin"/>
      </w:r>
      <w:r w:rsidR="00A245EA">
        <w:instrText xml:space="preserve"> ADDIN ZOTERO_ITEM CSL_CITATION {"citationID":"sHS7Yt11","properties":{"formattedCitation":"{\\i{}Id.}","plainCitation":"Id.","noteIndex":92},"citationItems":[{"id":5382,"uris":["http://zotero.org/groups/2385044/items/TB3JLIMX"],"itemData":{"id":5382,"type":"entry-dictionary","container-title":"Black's Law Dictionary","edition":"10th","language":"en-US","title":"quantum meruit","editor":[{"literal":"Bryan A. Garner"}],"issued":{"date-parts":[["2014"]]}}}],"schema":"https://github.com/citation-style-language/schema/raw/master/csl-citation.json"} </w:instrText>
      </w:r>
      <w:r>
        <w:fldChar w:fldCharType="separate"/>
      </w:r>
      <w:r w:rsidR="006223EF" w:rsidRPr="006223EF">
        <w:rPr>
          <w:rFonts w:ascii="Calibri" w:cs="Calibri"/>
          <w:i/>
          <w:iCs/>
        </w:rPr>
        <w:t>Id.</w:t>
      </w:r>
      <w:r>
        <w:fldChar w:fldCharType="end"/>
      </w:r>
    </w:p>
  </w:footnote>
  <w:footnote w:id="94">
    <w:p w14:paraId="0162CF8D" w14:textId="2847093B" w:rsidR="00A81E1D" w:rsidRDefault="00A81E1D">
      <w:pPr>
        <w:pStyle w:val="FootnoteText"/>
      </w:pPr>
      <w:r w:rsidRPr="00755452">
        <w:rPr>
          <w:rStyle w:val="FootnoteReference"/>
        </w:rPr>
        <w:footnoteRef/>
      </w:r>
      <w:r>
        <w:t xml:space="preserve"> </w:t>
      </w:r>
      <w:r>
        <w:fldChar w:fldCharType="begin"/>
      </w:r>
      <w:r w:rsidR="00A245EA">
        <w:instrText xml:space="preserve"> ADDIN ZOTERO_ITEM CSL_CITATION {"citationID":"YBPLvpPH","properties":{"formattedCitation":"Definition of RUNOFF, {\\scaps Merriam-Webster}, https://www.merriam-webster.com/dictionary/runoff [https://perma.cc/7SMF-WZYE] (last visited Nov 16, 2020).","plainCitation":"Definition of RUNOFF, Merriam-Webster, https://www.merriam-webster.com/dictionary/runoff [https://perma.cc/7SMF-WZYE] (last visited Nov 16, 2020).","noteIndex":93},"citationItems":[{"id":5525,"uris":["http://zotero.org/groups/2385044/items/SSU2SZ6A"],"itemData":{"id":5525,"type":"webpage","abstract":"a final race, contest, or election to decide an earlier one that has not resulted in a decision in favor of any one competitor; the portion of precipitation on land that ultimately reaches streams often with dissolved or suspended material… See the full definition","container-title":"Merriam-Webster","language":"en","title":"Definition of RUNOFF","URL":"https://www.merriam-webster.com/dictionary/runoff [https://perma.cc/7SMF-WZYE]","accessed":{"date-parts":[["2020",11,16]]}}}],"schema":"https://github.com/citation-style-language/schema/raw/master/csl-citation.json"} </w:instrText>
      </w:r>
      <w:r>
        <w:fldChar w:fldCharType="separate"/>
      </w:r>
      <w:r w:rsidR="006223EF" w:rsidRPr="006223EF">
        <w:rPr>
          <w:rFonts w:ascii="Calibri" w:cs="Calibri"/>
        </w:rPr>
        <w:t xml:space="preserve">Definition of RUNOFF, </w:t>
      </w:r>
      <w:r w:rsidR="006223EF" w:rsidRPr="006223EF">
        <w:rPr>
          <w:rFonts w:ascii="Calibri" w:cs="Calibri"/>
          <w:smallCaps/>
        </w:rPr>
        <w:t>Merriam-Webster</w:t>
      </w:r>
      <w:r w:rsidR="006223EF" w:rsidRPr="006223EF">
        <w:rPr>
          <w:rFonts w:ascii="Calibri" w:cs="Calibri"/>
        </w:rPr>
        <w:t>, https://www.merriam-webster.com/dictionary/runoff [https://perma.cc/7SMF-WZYE] (last visited Nov 16, 2020).</w:t>
      </w:r>
      <w:r>
        <w:fldChar w:fldCharType="end"/>
      </w:r>
      <w:r>
        <w:t xml:space="preserve"> </w:t>
      </w:r>
      <w:r>
        <w:fldChar w:fldCharType="begin"/>
      </w:r>
      <w:r w:rsidR="00A245EA">
        <w:instrText xml:space="preserve"> ADDIN ZOTERO_ITEM CSL_CITATION {"citationID":"QYFUCc1p","properties":{"formattedCitation":"{\\i{}Id.}","plainCitation":"Id.","noteIndex":93},"citationItems":[{"id":5525,"uris":["http://zotero.org/groups/2385044/items/SSU2SZ6A"],"itemData":{"id":5525,"type":"webpage","abstract":"a final race, contest, or election to decide an earlier one that has not resulted in a decision in favor of any one competitor; the portion of precipitation on land that ultimately reaches streams often with dissolved or suspended material… See the full definition","container-title":"Merriam-Webster","language":"en","title":"Definition of RUNOFF","URL":"https://www.merriam-webster.com/dictionary/runoff [https://perma.cc/7SMF-WZYE]","accessed":{"date-parts":[["2020",11,16]]}}}],"schema":"https://github.com/citation-style-language/schema/raw/master/csl-citation.json"} </w:instrText>
      </w:r>
      <w:r>
        <w:fldChar w:fldCharType="separate"/>
      </w:r>
      <w:r w:rsidR="006223EF" w:rsidRPr="006223EF">
        <w:rPr>
          <w:rFonts w:ascii="Calibri" w:cs="Calibri"/>
          <w:i/>
          <w:iCs/>
        </w:rPr>
        <w:t>Id.</w:t>
      </w:r>
      <w:r>
        <w:fldChar w:fldCharType="end"/>
      </w:r>
    </w:p>
  </w:footnote>
  <w:footnote w:id="95">
    <w:p w14:paraId="321A40F6" w14:textId="1268B134" w:rsidR="00AE734E" w:rsidRDefault="00AE734E">
      <w:pPr>
        <w:pStyle w:val="FootnoteText"/>
      </w:pPr>
      <w:r w:rsidRPr="00755452">
        <w:rPr>
          <w:rStyle w:val="FootnoteReference"/>
        </w:rPr>
        <w:footnoteRef/>
      </w:r>
      <w:r>
        <w:t xml:space="preserve"> </w:t>
      </w:r>
      <w:r>
        <w:fldChar w:fldCharType="begin"/>
      </w:r>
      <w:r w:rsidR="00A245EA">
        <w:instrText xml:space="preserve"> ADDIN ZOTERO_ITEM CSL_CITATION {"citationID":"dyhql38l","properties":{"formattedCitation":"residence, {\\scaps Black\\uc0\\u8217{}s Law Dictionary} (Bryan A. Garner ed., 10th ed. 2014).","plainCitation":"residence, Black’s Law Dictionary (Bryan A. Garner ed., 10th ed. 2014).","noteIndex":94},"citationItems":[{"id":5916,"uris":["http://zotero.org/groups/2385044/items/U8ADR5KT"],"itemData":{"id":5916,"type":"entry-dictionary","container-title":"Black's Law Dictionary","edition":"10th","language":"en-US","note":"The place where one actually lives, as distinguished from a domicile &lt;she made her residence in Oregon&gt; . • Residence usu. just means bodily presence as an inhabitant in a given place; domicile usu. requires bodily presence plus an intention to make the place one's home. A person thus may have more than one residence at a time but only one domicile.","title":"residence","editor":[{"literal":"Bryan A. Garner"}],"issued":{"date-parts":[["2014"]]}}}],"schema":"https://github.com/citation-style-language/schema/raw/master/csl-citation.json"} </w:instrText>
      </w:r>
      <w:r>
        <w:fldChar w:fldCharType="separate"/>
      </w:r>
      <w:r w:rsidR="006223EF" w:rsidRPr="006223EF">
        <w:rPr>
          <w:rFonts w:ascii="Calibri" w:cs="Calibri"/>
        </w:rPr>
        <w:t xml:space="preserve">residence, </w:t>
      </w:r>
      <w:r w:rsidR="006223EF" w:rsidRPr="006223EF">
        <w:rPr>
          <w:rFonts w:ascii="Calibri" w:cs="Calibri"/>
          <w:smallCaps/>
        </w:rPr>
        <w:t>Black’s Law Dictionary</w:t>
      </w:r>
      <w:r w:rsidR="006223EF" w:rsidRPr="006223EF">
        <w:rPr>
          <w:rFonts w:ascii="Calibri" w:cs="Calibri"/>
        </w:rPr>
        <w:t xml:space="preserve"> (Bryan A. Garner ed., 10th ed. 2014).</w:t>
      </w:r>
      <w:r>
        <w:fldChar w:fldCharType="end"/>
      </w:r>
    </w:p>
  </w:footnote>
  <w:footnote w:id="96">
    <w:p w14:paraId="7FAB09C7" w14:textId="0E032367" w:rsidR="00AD595F" w:rsidRDefault="00AD595F">
      <w:pPr>
        <w:pStyle w:val="FootnoteText"/>
      </w:pPr>
      <w:r w:rsidRPr="00755452">
        <w:rPr>
          <w:rStyle w:val="FootnoteReference"/>
        </w:rPr>
        <w:footnoteRef/>
      </w:r>
      <w:r>
        <w:t xml:space="preserve"> </w:t>
      </w:r>
      <w:r>
        <w:fldChar w:fldCharType="begin"/>
      </w:r>
      <w:r w:rsidR="00A245EA">
        <w:instrText xml:space="preserve"> ADDIN ZOTERO_ITEM CSL_CITATION {"citationID":"zGPz9zC3","properties":{"formattedCitation":"What is \\uc0\\u8220{}Sealioning\\uc0\\u8221{}?, {\\scaps Merriam-Webster.com Dictionary}, https://www.merriam-webster.com/wordplay/sealioning-internet-trolling (last visited Aug 27, 2024).","plainCitation":"What is “Sealioning”?, Merriam-Webster.com Dictionary, https://www.merriam-webster.com/wordplay/sealioning-internet-trolling (last visited Aug 27, 2024).","noteIndex":95},"citationItems":[{"id":7267,"uris":["http://zotero.org/groups/2385044/items/PQRXF7RD"],"itemData":{"id":7267,"type":"webpage","abstract":"Sea lions can be real trolls sometimes","container-title":"Merriam-Webster.com Dictionary","language":"en","note":"https://perma.cc/MK9G-RXGZ","title":"What is 'Sealioning'?","URL":"https://www.merriam-webster.com/wordplay/sealioning-internet-trolling","accessed":{"date-parts":[["2024",8,27]]}}}],"schema":"https://github.com/citation-style-language/schema/raw/master/csl-citation.json"} </w:instrText>
      </w:r>
      <w:r>
        <w:fldChar w:fldCharType="separate"/>
      </w:r>
      <w:r w:rsidR="006223EF" w:rsidRPr="006223EF">
        <w:rPr>
          <w:rFonts w:ascii="Calibri" w:cs="Calibri"/>
          <w:sz w:val="24"/>
        </w:rPr>
        <w:t xml:space="preserve">What is “Sealioning”?, </w:t>
      </w:r>
      <w:r w:rsidR="006223EF" w:rsidRPr="006223EF">
        <w:rPr>
          <w:rFonts w:ascii="Calibri" w:cs="Calibri"/>
          <w:smallCaps/>
          <w:sz w:val="24"/>
        </w:rPr>
        <w:t>Merriam-Webster.com Dictionary</w:t>
      </w:r>
      <w:r w:rsidR="006223EF" w:rsidRPr="006223EF">
        <w:rPr>
          <w:rFonts w:ascii="Calibri" w:cs="Calibri"/>
          <w:sz w:val="24"/>
        </w:rPr>
        <w:t>, https://www.merriam-webster.com/wordplay/sealioning-internet-trolling (last visited Aug 27, 2024).</w:t>
      </w:r>
      <w:r>
        <w:fldChar w:fldCharType="end"/>
      </w:r>
    </w:p>
  </w:footnote>
  <w:footnote w:id="97">
    <w:p w14:paraId="3DB42211" w14:textId="2E8AE03D" w:rsidR="00C741C1" w:rsidRDefault="00C741C1">
      <w:pPr>
        <w:pStyle w:val="FootnoteText"/>
      </w:pPr>
      <w:r w:rsidRPr="00755452">
        <w:rPr>
          <w:rStyle w:val="FootnoteReference"/>
        </w:rPr>
        <w:footnoteRef/>
      </w:r>
      <w:r>
        <w:t xml:space="preserve"> </w:t>
      </w:r>
      <w:r>
        <w:fldChar w:fldCharType="begin"/>
      </w:r>
      <w:r w:rsidR="00A245EA">
        <w:instrText xml:space="preserve"> ADDIN ZOTERO_ITEM CSL_CITATION {"citationID":"4w2WG5rL","properties":{"formattedCitation":"{\\scaps The Associated Press}, {\\i{}The Associated Press Stylebook (2020 \\uc0\\u8211{} 2022)} (55th (2020 \\uc0\\u8211{} 2022) ed. 2020).","plainCitation":"The Associated Press, The Associated Press Stylebook (2020 – 2022) (55th (2020 – 2022) ed. 2020).","noteIndex":96},"citationItems":[{"id":5524,"uris":["http://zotero.org/groups/2385044/items/LTH3M9NQ"],"itemData":{"id":5524,"type":"book","abstract":"\"Master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 (2020 – 2022)","title-short":"AP Stylebook","author":[{"literal":"The Associated Press"}],"issued":{"date-parts":[["2020",5,31]]}}}],"schema":"https://github.com/citation-style-language/schema/raw/master/csl-citation.json"} </w:instrText>
      </w:r>
      <w:r>
        <w:fldChar w:fldCharType="separate"/>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The Associated Press Stylebook (2020 – 2022)</w:t>
      </w:r>
      <w:r w:rsidR="006223EF" w:rsidRPr="006223EF">
        <w:rPr>
          <w:rFonts w:ascii="Calibri" w:cs="Calibri"/>
        </w:rPr>
        <w:t xml:space="preserve"> (55th (2020 – 2022) ed. 2020).</w:t>
      </w:r>
      <w:r>
        <w:fldChar w:fldCharType="end"/>
      </w:r>
      <w:r>
        <w:t xml:space="preserve"> </w:t>
      </w:r>
      <w:r>
        <w:fldChar w:fldCharType="begin"/>
      </w:r>
      <w:r w:rsidR="00A245EA">
        <w:instrText xml:space="preserve"> ADDIN ZOTERO_ITEM CSL_CITATION {"citationID":"fwoAKMqm","properties":{"formattedCitation":"{\\i{}Id.}","plainCitation":"Id.","noteIndex":96},"citationItems":[{"id":5524,"uris":["http://zotero.org/groups/2385044/items/LTH3M9NQ"],"itemData":{"id":5524,"type":"book","abstract":"\"Master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 (2020 – 2022)","title-short":"AP Stylebook","author":[{"literal":"The Associated Press"}],"issued":{"date-parts":[["2020",5,31]]}}}],"schema":"https://github.com/citation-style-language/schema/raw/master/csl-citation.json"} </w:instrText>
      </w:r>
      <w:r>
        <w:fldChar w:fldCharType="separate"/>
      </w:r>
      <w:r w:rsidR="006223EF" w:rsidRPr="006223EF">
        <w:rPr>
          <w:rFonts w:ascii="Calibri" w:cs="Calibri"/>
          <w:i/>
          <w:iCs/>
        </w:rPr>
        <w:t>Id.</w:t>
      </w:r>
      <w:r>
        <w:fldChar w:fldCharType="end"/>
      </w:r>
    </w:p>
  </w:footnote>
  <w:footnote w:id="98">
    <w:p w14:paraId="6B45F3ED" w14:textId="7CD7981D" w:rsidR="00FC4DB1" w:rsidRDefault="00FC4DB1">
      <w:pPr>
        <w:pStyle w:val="FootnoteText"/>
      </w:pPr>
      <w:r w:rsidRPr="00755452">
        <w:rPr>
          <w:rStyle w:val="FootnoteReference"/>
        </w:rPr>
        <w:footnoteRef/>
      </w:r>
      <w:r>
        <w:t xml:space="preserve"> </w:t>
      </w:r>
      <w:r>
        <w:fldChar w:fldCharType="begin"/>
      </w:r>
      <w:r w:rsidR="00A245EA">
        <w:instrText xml:space="preserve"> ADDIN ZOTERO_ITEM CSL_CITATION {"citationID":"hvFXAKIv","properties":{"formattedCitation":"The Associated Press, {\\i{}statewide} {\\scaps The Associated Press Stylebook} (55th (2020 \\uc0\\u8211{} 2022) ed. 2020).","plainCitation":"The Associated Press, statewide The Associated Press Stylebook (55th (2020 – 2022) ed. 2020).","noteIndex":97},"citationItems":[{"id":7206,"uris":["http://zotero.org/groups/2385044/items/X5UYTE37"],"itemData":{"id":7206,"type":"entry-dictionary","abstract":"Who’s is a contraction for who is, not a possessive: Who’s there?\n\nWhose is the possessive: I do not know whose coat it is.","container-title":"The Associated Press Stylebook","edition":"55th (2020 – 2022)","event-place":"New York","ISBN":"978-1-5416-4757-2","language":"English","publisher":"The Associated Press","publisher-place":"New York","source":"Library of Congress ISBN","title":"statewide","title-short":"AP Stylebook","author":[{"literal":"The Associated Press"}],"issued":{"date-parts":[["2020",5,31]]}}}],"schema":"https://github.com/citation-style-language/schema/raw/master/csl-citation.json"} </w:instrText>
      </w:r>
      <w:r>
        <w:fldChar w:fldCharType="separate"/>
      </w:r>
      <w:r w:rsidR="006223EF" w:rsidRPr="006223EF">
        <w:rPr>
          <w:rFonts w:ascii="Calibri" w:cs="Calibri"/>
        </w:rPr>
        <w:t xml:space="preserve">The Associated Press, </w:t>
      </w:r>
      <w:r w:rsidR="006223EF" w:rsidRPr="006223EF">
        <w:rPr>
          <w:rFonts w:ascii="Calibri" w:cs="Calibri"/>
          <w:i/>
          <w:iCs/>
        </w:rPr>
        <w:t>statewide</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fldChar w:fldCharType="end"/>
      </w:r>
    </w:p>
  </w:footnote>
  <w:footnote w:id="99">
    <w:p w14:paraId="15AFB5DF" w14:textId="1E3FFD1A" w:rsidR="00906ECB" w:rsidRDefault="00906ECB">
      <w:pPr>
        <w:pStyle w:val="FootnoteText"/>
      </w:pPr>
      <w:r w:rsidRPr="00755452">
        <w:rPr>
          <w:rStyle w:val="FootnoteReference"/>
        </w:rPr>
        <w:footnoteRef/>
      </w:r>
      <w:r>
        <w:t xml:space="preserve"> </w:t>
      </w:r>
      <w:r w:rsidR="006C130C">
        <w:fldChar w:fldCharType="begin"/>
      </w:r>
      <w:r w:rsidR="00A245EA">
        <w:instrText xml:space="preserve"> ADDIN ZOTERO_ITEM CSL_CITATION {"citationID":"XS9lrQ3B","properties":{"formattedCitation":"Forsberg and Rosso, {\\i{}supra} note 67 at 2.","plainCitation":"Forsberg and Rosso, supra note 67 at 2.","noteIndex":98},"citationItems":[{"id":5232,"uris":["http://zotero.org/groups/2385044/items/Z3FLHW2R"],"itemData":{"id":5232,"type":"article-journal","language":"en","page":"3","source":"Zotero","title":"Applicability of Federal Requirements to Selected Health Coverage Arrangements: An Overview","author":[{"family":"Forsberg","given":"Vanessa C"},{"family":"Rosso","given":"Ryan J"}]},"locator":"2"}],"schema":"https://github.com/citation-style-language/schema/raw/master/csl-citation.json"} </w:instrText>
      </w:r>
      <w:r w:rsidR="006C130C">
        <w:fldChar w:fldCharType="separate"/>
      </w:r>
      <w:r w:rsidR="006223EF" w:rsidRPr="006223EF">
        <w:rPr>
          <w:rFonts w:ascii="Calibri" w:cs="Calibri"/>
        </w:rPr>
        <w:t xml:space="preserve">Forsberg and Rosso, </w:t>
      </w:r>
      <w:r w:rsidR="006223EF" w:rsidRPr="006223EF">
        <w:rPr>
          <w:rFonts w:ascii="Calibri" w:cs="Calibri"/>
          <w:i/>
          <w:iCs/>
        </w:rPr>
        <w:t>supra</w:t>
      </w:r>
      <w:r w:rsidR="006223EF" w:rsidRPr="006223EF">
        <w:rPr>
          <w:rFonts w:ascii="Calibri" w:cs="Calibri"/>
        </w:rPr>
        <w:t xml:space="preserve"> note 67 at 2.</w:t>
      </w:r>
      <w:r w:rsidR="006C130C">
        <w:fldChar w:fldCharType="end"/>
      </w:r>
      <w:r>
        <w:t xml:space="preserve"> </w:t>
      </w:r>
      <w:r w:rsidR="006C130C">
        <w:fldChar w:fldCharType="begin"/>
      </w:r>
      <w:r w:rsidR="00A245EA">
        <w:instrText xml:space="preserve"> ADDIN ZOTERO_ITEM CSL_CITATION {"citationID":"XZicCzPd","properties":{"formattedCitation":"{\\i{}Id.} at 2.","plainCitation":"Id. at 2.","noteIndex":98},"citationItems":[{"id":5232,"uris":["http://zotero.org/groups/2385044/items/Z3FLHW2R"],"itemData":{"id":5232,"type":"article-journal","language":"en","page":"3","source":"Zotero","title":"Applicability of Federal Requirements to Selected Health Coverage Arrangements: An Overview","author":[{"family":"Forsberg","given":"Vanessa C"},{"family":"Rosso","given":"Ryan J"}]},"locator":"2"}],"schema":"https://github.com/citation-style-language/schema/raw/master/csl-citation.json"} </w:instrText>
      </w:r>
      <w:r w:rsidR="006C130C">
        <w:fldChar w:fldCharType="separate"/>
      </w:r>
      <w:r w:rsidR="006223EF" w:rsidRPr="006223EF">
        <w:rPr>
          <w:rFonts w:ascii="Calibri" w:cs="Calibri"/>
          <w:i/>
          <w:iCs/>
        </w:rPr>
        <w:t>Id.</w:t>
      </w:r>
      <w:r w:rsidR="006223EF" w:rsidRPr="006223EF">
        <w:rPr>
          <w:rFonts w:ascii="Calibri" w:cs="Calibri"/>
        </w:rPr>
        <w:t xml:space="preserve"> at 2.</w:t>
      </w:r>
      <w:r w:rsidR="006C130C">
        <w:fldChar w:fldCharType="end"/>
      </w:r>
    </w:p>
  </w:footnote>
  <w:footnote w:id="100">
    <w:p w14:paraId="0E184362" w14:textId="1EBBB7E5" w:rsidR="00547AE1" w:rsidRDefault="00547AE1">
      <w:pPr>
        <w:pStyle w:val="FootnoteText"/>
      </w:pPr>
      <w:r w:rsidRPr="00755452">
        <w:rPr>
          <w:rStyle w:val="FootnoteReference"/>
        </w:rPr>
        <w:footnoteRef/>
      </w:r>
      <w:r>
        <w:t xml:space="preserve"> </w:t>
      </w:r>
      <w:r w:rsidR="00EF7005">
        <w:fldChar w:fldCharType="begin"/>
      </w:r>
      <w:r w:rsidR="00A245EA">
        <w:instrText xml:space="preserve"> ADDIN ZOTERO_ITEM CSL_CITATION {"citationID":"xsESkKQs","properties":{"formattedCitation":"sub judice, {\\scaps Black\\uc0\\u8217{}s Law Dictionary} (Bryan A. Garner ed., 10th ed. 2014).","plainCitation":"sub judice, Black’s Law Dictionary (Bryan A. Garner ed., 10th ed. 2014).","noteIndex":99},"citationItems":[{"id":5381,"uris":["http://zotero.org/groups/2385044/items/XZ4LCLNF"],"itemData":{"id":5381,"type":"entry-dictionary","container-title":"Black's Law Dictionary","edition":"10th","language":"en-US","note":"“Before the court or judge for determination; at bar &lt;in the case sub judice, there have been no out of court settlements&gt;. Legal writers sometimes use case sub judice where the present case would be more comprehensible.”","title":"sub judice","editor":[{"literal":"Bryan A. Garner"}],"issued":{"date-parts":[["2014"]]}}}],"schema":"https://github.com/citation-style-language/schema/raw/master/csl-citation.json"} </w:instrText>
      </w:r>
      <w:r w:rsidR="00EF7005">
        <w:fldChar w:fldCharType="separate"/>
      </w:r>
      <w:r w:rsidR="006223EF" w:rsidRPr="006223EF">
        <w:rPr>
          <w:rFonts w:ascii="Calibri" w:cs="Calibri"/>
        </w:rPr>
        <w:t xml:space="preserve">sub judice, </w:t>
      </w:r>
      <w:r w:rsidR="006223EF" w:rsidRPr="006223EF">
        <w:rPr>
          <w:rFonts w:ascii="Calibri" w:cs="Calibri"/>
          <w:smallCaps/>
        </w:rPr>
        <w:t>Black’s Law Dictionary</w:t>
      </w:r>
      <w:r w:rsidR="006223EF" w:rsidRPr="006223EF">
        <w:rPr>
          <w:rFonts w:ascii="Calibri" w:cs="Calibri"/>
        </w:rPr>
        <w:t xml:space="preserve"> (Bryan A. Garner ed., 10th ed. 2014).</w:t>
      </w:r>
      <w:r w:rsidR="00EF7005">
        <w:fldChar w:fldCharType="end"/>
      </w:r>
      <w:r>
        <w:t xml:space="preserve"> </w:t>
      </w:r>
      <w:r w:rsidR="00EF7005">
        <w:fldChar w:fldCharType="begin"/>
      </w:r>
      <w:r w:rsidR="00A245EA">
        <w:instrText xml:space="preserve"> ADDIN ZOTERO_ITEM CSL_CITATION {"citationID":"m6LpD2mr","properties":{"formattedCitation":"{\\i{}Id.}","plainCitation":"Id.","noteIndex":99},"citationItems":[{"id":5381,"uris":["http://zotero.org/groups/2385044/items/XZ4LCLNF"],"itemData":{"id":5381,"type":"entry-dictionary","container-title":"Black's Law Dictionary","edition":"10th","language":"en-US","note":"“Before the court or judge for determination; at bar &lt;in the case sub judice, there have been no out of court settlements&gt;. Legal writers sometimes use case sub judice where the present case would be more comprehensible.”","title":"sub judice","editor":[{"literal":"Bryan A. Garner"}],"issued":{"date-parts":[["2014"]]}}}],"schema":"https://github.com/citation-style-language/schema/raw/master/csl-citation.json"} </w:instrText>
      </w:r>
      <w:r w:rsidR="00EF7005">
        <w:fldChar w:fldCharType="separate"/>
      </w:r>
      <w:r w:rsidR="006223EF" w:rsidRPr="006223EF">
        <w:rPr>
          <w:rFonts w:ascii="Calibri" w:cs="Calibri"/>
          <w:i/>
          <w:iCs/>
        </w:rPr>
        <w:t>Id.</w:t>
      </w:r>
      <w:r w:rsidR="00EF7005">
        <w:fldChar w:fldCharType="end"/>
      </w:r>
    </w:p>
  </w:footnote>
  <w:footnote w:id="101">
    <w:p w14:paraId="7403A762" w14:textId="6E5C7B59" w:rsidR="00451FBE" w:rsidRDefault="00451FBE">
      <w:pPr>
        <w:pStyle w:val="FootnoteText"/>
      </w:pPr>
      <w:r w:rsidRPr="00755452">
        <w:rPr>
          <w:rStyle w:val="FootnoteReference"/>
        </w:rPr>
        <w:footnoteRef/>
      </w:r>
      <w:r>
        <w:t xml:space="preserve"> </w:t>
      </w:r>
      <w:r>
        <w:fldChar w:fldCharType="begin"/>
      </w:r>
      <w:r w:rsidR="00A245EA">
        <w:instrText xml:space="preserve"> ADDIN ZOTERO_ITEM CSL_CITATION {"citationID":"HdHpLPpT","properties":{"formattedCitation":"{\\scaps The Chicago Manual of Style}, {\\i{}supra} note 39 at 215 \\uc0\\u8211{} 16.","plainCitation":"The Chicago Manual of Style, supra note 39 at 215 – 16.","noteIndex":100},"citationItems":[{"id":5940,"uris":["http://zotero.org/groups/2385044/items/F5BXMW8A"],"itemData":{"id":5940,"type":"book","call-number":"Z253 .U69 2010","edition":"16th","event-place":"Chicago","ISBN":"978-0-226-10420-1","number-of-pages":"1","publisher":"The University of Chicago Press","publisher-place":"Chicago","source":"Library of Congress ISBN","title":"The Chicago Manual of Style","issued":{"date-parts":[["2010"]]}},"locator":"215 – 16"}],"schema":"https://github.com/citation-style-language/schema/raw/master/csl-citation.json"} </w:instrText>
      </w:r>
      <w:r>
        <w:fldChar w:fldCharType="separate"/>
      </w:r>
      <w:r w:rsidR="006223EF" w:rsidRPr="006223EF">
        <w:rPr>
          <w:rFonts w:ascii="Calibri" w:cs="Calibri"/>
          <w:smallCaps/>
        </w:rPr>
        <w:t>The Chicago Manual of Style</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39 at 215 – 16.</w:t>
      </w:r>
      <w:r>
        <w:fldChar w:fldCharType="end"/>
      </w:r>
    </w:p>
  </w:footnote>
  <w:footnote w:id="102">
    <w:p w14:paraId="4A11CA86" w14:textId="765B53DB" w:rsidR="000E1586" w:rsidRDefault="000E1586">
      <w:pPr>
        <w:pStyle w:val="FootnoteText"/>
      </w:pPr>
      <w:r w:rsidRPr="00755452">
        <w:rPr>
          <w:rStyle w:val="FootnoteReference"/>
        </w:rPr>
        <w:footnoteRef/>
      </w:r>
      <w:r>
        <w:t xml:space="preserve"> </w:t>
      </w:r>
      <w:r w:rsidR="002E02F4">
        <w:t>This decision came from my own usage patterns.</w:t>
      </w:r>
    </w:p>
  </w:footnote>
  <w:footnote w:id="103">
    <w:p w14:paraId="0F229816" w14:textId="562072D5" w:rsidR="00367FCB" w:rsidRDefault="00367FCB">
      <w:pPr>
        <w:pStyle w:val="FootnoteText"/>
      </w:pPr>
      <w:r w:rsidRPr="00755452">
        <w:rPr>
          <w:rStyle w:val="FootnoteReference"/>
        </w:rPr>
        <w:footnoteRef/>
      </w:r>
      <w:r w:rsidR="00ED6D4F">
        <w:fldChar w:fldCharType="begin"/>
      </w:r>
      <w:r w:rsidR="00A245EA">
        <w:instrText xml:space="preserve"> ADDIN ZOTERO_ITEM CSL_CITATION {"citationID":"H6gX5iW6","properties":{"formattedCitation":"\\uc0\\u8220{}white paper\\uc0\\u8221{} {\\scaps The Associated Press}, {\\i{}supra} note 22.","plainCitation":"“white paper” The Associated Press, supra note 22.","noteIndex":102},"citationItems":[{"id":5303,"uris":["http://zotero.org/users/515429/items/FGRT938L"],"itemData":{"id":5303,"type":"book","abstract":"\"Master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Press"}],"issued":{"date-parts":[["2020",5,31]]}},"prefix":"\"white paper\""}],"schema":"https://github.com/citation-style-language/schema/raw/master/csl-citation.json"} </w:instrText>
      </w:r>
      <w:r w:rsidR="00ED6D4F">
        <w:fldChar w:fldCharType="separate"/>
      </w:r>
      <w:r w:rsidR="006223EF" w:rsidRPr="006223EF">
        <w:rPr>
          <w:rFonts w:ascii="Calibri" w:cs="Calibri"/>
        </w:rPr>
        <w:t xml:space="preserve">“white paper” </w:t>
      </w:r>
      <w:r w:rsidR="006223EF" w:rsidRPr="006223EF">
        <w:rPr>
          <w:rFonts w:ascii="Calibri" w:cs="Calibri"/>
          <w:smallCaps/>
        </w:rPr>
        <w:t>The Associated Press</w:t>
      </w:r>
      <w:r w:rsidR="006223EF" w:rsidRPr="006223EF">
        <w:rPr>
          <w:rFonts w:ascii="Calibri" w:cs="Calibri"/>
        </w:rPr>
        <w:t xml:space="preserve">, </w:t>
      </w:r>
      <w:r w:rsidR="006223EF" w:rsidRPr="006223EF">
        <w:rPr>
          <w:rFonts w:ascii="Calibri" w:cs="Calibri"/>
          <w:i/>
          <w:iCs/>
        </w:rPr>
        <w:t>supra</w:t>
      </w:r>
      <w:r w:rsidR="006223EF" w:rsidRPr="006223EF">
        <w:rPr>
          <w:rFonts w:ascii="Calibri" w:cs="Calibri"/>
        </w:rPr>
        <w:t xml:space="preserve"> note 22.</w:t>
      </w:r>
      <w:r w:rsidR="00ED6D4F">
        <w:fldChar w:fldCharType="end"/>
      </w:r>
      <w:r>
        <w:t xml:space="preserve"> </w:t>
      </w:r>
      <w:r w:rsidR="00ED6D4F">
        <w:fldChar w:fldCharType="begin"/>
      </w:r>
      <w:r w:rsidR="00A245EA">
        <w:instrText xml:space="preserve"> ADDIN ZOTERO_ITEM CSL_CITATION {"citationID":"jXCSH4r5","properties":{"formattedCitation":"\\uc0\\u8220{}white paper\\uc0\\u8221{} {\\i{}Id.}","plainCitation":"“white paper” Id.","noteIndex":102},"citationItems":[{"id":5303,"uris":["http://zotero.org/users/515429/items/FGRT938L"],"itemData":{"id":5303,"type":"book","abstract":"\"Master the style guidelines of news writing, editing, and common usage with this indispensable guide perfect for students and professional writers everywhere. The style of The Associated Press is the gold standard for news writing. With the AP Stylebook in hand, you can learn how to write and edit with the clarity and professionalism for which their writers and editors are famous. The AP Stylebook will help you master the AP's rules on grammar, spelling, punctuation, capitalization, abbreviation, word and numeral usage, and when to use \"more than\" instead of \"over.\" To make navigating these specialty chapters even easier, the Stylebook includes a comprehensive index. Fully revised and updated to keep pace with world events, common usage, and AP procedures, The AP Stylebook is the one reference that all writers, editors and students cannot afford to be without\"--","edition":"55th (2020 – 2022)","event-place":"New York","ISBN":"978-1-5416-4757-2","language":"English","publisher":"The Associated Press","publisher-place":"New York","source":"Library of Congress ISBN","title":"The Associated Press Stylebook","title-short":"AP Stylebook","author":[{"literal":"The Associated Press"}],"issued":{"date-parts":[["2020",5,31]]}},"prefix":"\"white paper\""}],"schema":"https://github.com/citation-style-language/schema/raw/master/csl-citation.json"} </w:instrText>
      </w:r>
      <w:r w:rsidR="00ED6D4F">
        <w:fldChar w:fldCharType="separate"/>
      </w:r>
      <w:r w:rsidR="006223EF" w:rsidRPr="006223EF">
        <w:rPr>
          <w:rFonts w:ascii="Calibri" w:cs="Calibri"/>
        </w:rPr>
        <w:t xml:space="preserve">“white paper” </w:t>
      </w:r>
      <w:r w:rsidR="006223EF" w:rsidRPr="006223EF">
        <w:rPr>
          <w:rFonts w:ascii="Calibri" w:cs="Calibri"/>
          <w:i/>
          <w:iCs/>
        </w:rPr>
        <w:t>Id.</w:t>
      </w:r>
      <w:r w:rsidR="00ED6D4F">
        <w:fldChar w:fldCharType="end"/>
      </w:r>
    </w:p>
  </w:footnote>
  <w:footnote w:id="104">
    <w:p w14:paraId="099F6A1F" w14:textId="756771C9" w:rsidR="000C154A" w:rsidRDefault="000C154A">
      <w:pPr>
        <w:pStyle w:val="FootnoteText"/>
      </w:pPr>
      <w:r w:rsidRPr="00755452">
        <w:rPr>
          <w:rStyle w:val="FootnoteReference"/>
        </w:rPr>
        <w:footnoteRef/>
      </w:r>
      <w:r>
        <w:t xml:space="preserve"> </w:t>
      </w:r>
      <w:r w:rsidR="00EA3022">
        <w:fldChar w:fldCharType="begin"/>
      </w:r>
      <w:r w:rsidR="00A245EA">
        <w:instrText xml:space="preserve"> ADDIN ZOTERO_ITEM CSL_CITATION {"citationID":"9A3lQrvS","properties":{"formattedCitation":"The Associated Press, {\\i{}who\\uc0\\u8217{}s, whose} {\\scaps The Associated Press Stylebook} (55th (2020 \\uc0\\u8211{} 2022) ed. 2020).","plainCitation":"The Associated Press, who’s, whose The Associated Press Stylebook (55th (2020 – 2022) ed. 2020).","noteIndex":103},"citationItems":[{"id":6586,"uris":["http://zotero.org/groups/2385044/items/ZML6B3MG"],"itemData":{"id":6586,"type":"entry-dictionary","abstract":"Who’s is a contraction for who is, not a possessive: Who’s there?\n\nWhose is the possessive: I do not know whose coat it is.","container-title":"The Associated Press Stylebook","edition":"55th (2020 – 2022)","event-place":"New York","ISBN":"978-1-5416-4757-2","language":"English","publisher":"The Associated Press","publisher-place":"New York","source":"Library of Congress ISBN","title":"who's, whose","title-short":"AP Stylebook","author":[{"literal":"The Associated Press"}],"issued":{"date-parts":[["2020",5,31]]}}}],"schema":"https://github.com/citation-style-language/schema/raw/master/csl-citation.json"} </w:instrText>
      </w:r>
      <w:r w:rsidR="00EA3022">
        <w:fldChar w:fldCharType="separate"/>
      </w:r>
      <w:r w:rsidR="006223EF" w:rsidRPr="006223EF">
        <w:rPr>
          <w:rFonts w:ascii="Calibri" w:cs="Calibri"/>
        </w:rPr>
        <w:t xml:space="preserve">The Associated Press, </w:t>
      </w:r>
      <w:r w:rsidR="006223EF" w:rsidRPr="006223EF">
        <w:rPr>
          <w:rFonts w:ascii="Calibri" w:cs="Calibri"/>
          <w:i/>
          <w:iCs/>
        </w:rPr>
        <w:t>who’s, whose</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rsidR="00EA3022">
        <w:fldChar w:fldCharType="end"/>
      </w:r>
    </w:p>
  </w:footnote>
  <w:footnote w:id="105">
    <w:p w14:paraId="10AF6350" w14:textId="72A195A0" w:rsidR="002639F0" w:rsidRDefault="002639F0">
      <w:pPr>
        <w:pStyle w:val="FootnoteText"/>
      </w:pPr>
      <w:r w:rsidRPr="00755452">
        <w:rPr>
          <w:rStyle w:val="FootnoteReference"/>
        </w:rPr>
        <w:footnoteRef/>
      </w:r>
      <w:r>
        <w:t xml:space="preserve"> </w:t>
      </w:r>
      <w:r w:rsidR="00EA3022">
        <w:fldChar w:fldCharType="begin"/>
      </w:r>
      <w:r w:rsidR="00A245EA">
        <w:instrText xml:space="preserve"> ADDIN ZOTERO_ITEM CSL_CITATION {"citationID":"eVwOk6tU","properties":{"formattedCitation":"The Associated Press, {\\i{}who, whom} {\\scaps The Associated Press Stylebook} (55th (2020 \\uc0\\u8211{} 2022) ed. 2020).","plainCitation":"The Associated Press, who, whom The Associated Press Stylebook (55th (2020 – 2022) ed. 2020).","noteIndex":104},"citationItems":[{"id":6585,"uris":["http://zotero.org/groups/2385044/items/52EVEDIS"],"itemData":{"id":6585,"type":"entry-dictionary","abstract":"Who’s is a contraction for who is, not a possessive: Who’s there?\n\nWhose is the possessive: I do not know whose coat it is.","container-title":"The Associated Press Stylebook","edition":"55th (2020 – 2022)","event-place":"New York","ISBN":"978-1-5416-4757-2","language":"English","publisher":"The Associated Press","publisher-place":"New York","source":"Library of Congress ISBN","title":"who, whom","title-short":"AP Stylebook","author":[{"literal":"The Associated Press"}],"issued":{"date-parts":[["2020",5,31]]}}}],"schema":"https://github.com/citation-style-language/schema/raw/master/csl-citation.json"} </w:instrText>
      </w:r>
      <w:r w:rsidR="00EA3022">
        <w:fldChar w:fldCharType="separate"/>
      </w:r>
      <w:r w:rsidR="006223EF" w:rsidRPr="006223EF">
        <w:rPr>
          <w:rFonts w:ascii="Calibri" w:cs="Calibri"/>
        </w:rPr>
        <w:t xml:space="preserve">The Associated Press, </w:t>
      </w:r>
      <w:r w:rsidR="006223EF" w:rsidRPr="006223EF">
        <w:rPr>
          <w:rFonts w:ascii="Calibri" w:cs="Calibri"/>
          <w:i/>
          <w:iCs/>
        </w:rPr>
        <w:t>who, whom</w:t>
      </w:r>
      <w:r w:rsidR="006223EF" w:rsidRPr="006223EF">
        <w:rPr>
          <w:rFonts w:ascii="Calibri" w:cs="Calibri"/>
        </w:rPr>
        <w:t xml:space="preserve"> </w:t>
      </w:r>
      <w:r w:rsidR="006223EF" w:rsidRPr="006223EF">
        <w:rPr>
          <w:rFonts w:ascii="Calibri" w:cs="Calibri"/>
          <w:smallCaps/>
        </w:rPr>
        <w:t>The Associated Press Stylebook</w:t>
      </w:r>
      <w:r w:rsidR="006223EF" w:rsidRPr="006223EF">
        <w:rPr>
          <w:rFonts w:ascii="Calibri" w:cs="Calibri"/>
        </w:rPr>
        <w:t xml:space="preserve"> (55th (2020 – 2022) ed. 2020).</w:t>
      </w:r>
      <w:r w:rsidR="00EA3022">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9661" w14:textId="77777777" w:rsidR="000058CC" w:rsidRDefault="00005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B5F0F"/>
    <w:multiLevelType w:val="multilevel"/>
    <w:tmpl w:val="3FE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866D9"/>
    <w:multiLevelType w:val="hybridMultilevel"/>
    <w:tmpl w:val="01E85948"/>
    <w:lvl w:ilvl="0" w:tplc="921CDC7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626F4"/>
    <w:multiLevelType w:val="multilevel"/>
    <w:tmpl w:val="117A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D4F5D"/>
    <w:multiLevelType w:val="hybridMultilevel"/>
    <w:tmpl w:val="D004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876613">
    <w:abstractNumId w:val="3"/>
  </w:num>
  <w:num w:numId="2" w16cid:durableId="150524397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44391387">
    <w:abstractNumId w:val="0"/>
  </w:num>
  <w:num w:numId="4" w16cid:durableId="8616297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stin Berger">
    <w15:presenceInfo w15:providerId="AD" w15:userId="S::justin@thebergerlaw.onmicrosoft.com::a707c915-a491-4f93-aa70-9b44c758796b"/>
  </w15:person>
  <w15:person w15:author="Justin C. Berger">
    <w15:presenceInfo w15:providerId="None" w15:userId="Justin C. 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63"/>
    <w:rsid w:val="000058CC"/>
    <w:rsid w:val="000077F4"/>
    <w:rsid w:val="00010D9D"/>
    <w:rsid w:val="00012F4F"/>
    <w:rsid w:val="00014C63"/>
    <w:rsid w:val="000231F3"/>
    <w:rsid w:val="0002504D"/>
    <w:rsid w:val="00025DA7"/>
    <w:rsid w:val="000306D1"/>
    <w:rsid w:val="0003116F"/>
    <w:rsid w:val="00032FE0"/>
    <w:rsid w:val="00037E61"/>
    <w:rsid w:val="00040DD9"/>
    <w:rsid w:val="00041EDF"/>
    <w:rsid w:val="0004227C"/>
    <w:rsid w:val="00042DE6"/>
    <w:rsid w:val="000524F2"/>
    <w:rsid w:val="0005534A"/>
    <w:rsid w:val="00057C45"/>
    <w:rsid w:val="0006017F"/>
    <w:rsid w:val="00065976"/>
    <w:rsid w:val="00065F6E"/>
    <w:rsid w:val="000714FB"/>
    <w:rsid w:val="000776CF"/>
    <w:rsid w:val="00080F76"/>
    <w:rsid w:val="00081975"/>
    <w:rsid w:val="00087AB4"/>
    <w:rsid w:val="000905BA"/>
    <w:rsid w:val="00091E83"/>
    <w:rsid w:val="00097FE6"/>
    <w:rsid w:val="000A2337"/>
    <w:rsid w:val="000A2774"/>
    <w:rsid w:val="000A3771"/>
    <w:rsid w:val="000A4EE4"/>
    <w:rsid w:val="000C154A"/>
    <w:rsid w:val="000C2AB5"/>
    <w:rsid w:val="000C6BCF"/>
    <w:rsid w:val="000D472D"/>
    <w:rsid w:val="000D5F5F"/>
    <w:rsid w:val="000E1586"/>
    <w:rsid w:val="000E31A7"/>
    <w:rsid w:val="000F2147"/>
    <w:rsid w:val="000F2D2A"/>
    <w:rsid w:val="000F6C5E"/>
    <w:rsid w:val="000F767C"/>
    <w:rsid w:val="00102A63"/>
    <w:rsid w:val="0011110C"/>
    <w:rsid w:val="0011565A"/>
    <w:rsid w:val="00120449"/>
    <w:rsid w:val="001210F9"/>
    <w:rsid w:val="00121834"/>
    <w:rsid w:val="001311CA"/>
    <w:rsid w:val="00134A4B"/>
    <w:rsid w:val="0014057E"/>
    <w:rsid w:val="00140675"/>
    <w:rsid w:val="001411C4"/>
    <w:rsid w:val="00146B7D"/>
    <w:rsid w:val="00150C98"/>
    <w:rsid w:val="001538ED"/>
    <w:rsid w:val="0015597C"/>
    <w:rsid w:val="001579E1"/>
    <w:rsid w:val="00162B8A"/>
    <w:rsid w:val="00164055"/>
    <w:rsid w:val="00164A5A"/>
    <w:rsid w:val="00167AB3"/>
    <w:rsid w:val="001704EE"/>
    <w:rsid w:val="00172186"/>
    <w:rsid w:val="001743F0"/>
    <w:rsid w:val="001779FE"/>
    <w:rsid w:val="00177C3C"/>
    <w:rsid w:val="0018763D"/>
    <w:rsid w:val="001A2E8F"/>
    <w:rsid w:val="001A44B1"/>
    <w:rsid w:val="001B173B"/>
    <w:rsid w:val="001B1D46"/>
    <w:rsid w:val="001C3546"/>
    <w:rsid w:val="001C39C8"/>
    <w:rsid w:val="001D06C6"/>
    <w:rsid w:val="001D12A3"/>
    <w:rsid w:val="001D1938"/>
    <w:rsid w:val="001E02C8"/>
    <w:rsid w:val="001E421E"/>
    <w:rsid w:val="001E5185"/>
    <w:rsid w:val="001E7BD7"/>
    <w:rsid w:val="001F0B3B"/>
    <w:rsid w:val="001F70CB"/>
    <w:rsid w:val="00201F9B"/>
    <w:rsid w:val="00220B12"/>
    <w:rsid w:val="00226B39"/>
    <w:rsid w:val="002276A6"/>
    <w:rsid w:val="00230221"/>
    <w:rsid w:val="00231510"/>
    <w:rsid w:val="002449E2"/>
    <w:rsid w:val="00247E11"/>
    <w:rsid w:val="00251C2F"/>
    <w:rsid w:val="002555FE"/>
    <w:rsid w:val="00255F15"/>
    <w:rsid w:val="002639F0"/>
    <w:rsid w:val="0026724A"/>
    <w:rsid w:val="002734D8"/>
    <w:rsid w:val="0027655D"/>
    <w:rsid w:val="00297AA2"/>
    <w:rsid w:val="00297E9C"/>
    <w:rsid w:val="002A36CB"/>
    <w:rsid w:val="002B49D2"/>
    <w:rsid w:val="002B5ED0"/>
    <w:rsid w:val="002B7650"/>
    <w:rsid w:val="002C26FA"/>
    <w:rsid w:val="002C7DF6"/>
    <w:rsid w:val="002D42B7"/>
    <w:rsid w:val="002D6736"/>
    <w:rsid w:val="002E02F4"/>
    <w:rsid w:val="002E03CF"/>
    <w:rsid w:val="002E0E5D"/>
    <w:rsid w:val="002E138F"/>
    <w:rsid w:val="002E2D51"/>
    <w:rsid w:val="002F38D3"/>
    <w:rsid w:val="002F52E2"/>
    <w:rsid w:val="002F6D10"/>
    <w:rsid w:val="00304FB6"/>
    <w:rsid w:val="003200FA"/>
    <w:rsid w:val="00324E2A"/>
    <w:rsid w:val="0032504C"/>
    <w:rsid w:val="003260B2"/>
    <w:rsid w:val="003302C1"/>
    <w:rsid w:val="00330411"/>
    <w:rsid w:val="00330497"/>
    <w:rsid w:val="003366ED"/>
    <w:rsid w:val="00337EDC"/>
    <w:rsid w:val="003417FF"/>
    <w:rsid w:val="0034216B"/>
    <w:rsid w:val="003471F7"/>
    <w:rsid w:val="00350F4E"/>
    <w:rsid w:val="00353424"/>
    <w:rsid w:val="00357220"/>
    <w:rsid w:val="00357A00"/>
    <w:rsid w:val="0036369F"/>
    <w:rsid w:val="00365A60"/>
    <w:rsid w:val="00366461"/>
    <w:rsid w:val="003678EA"/>
    <w:rsid w:val="00367FCB"/>
    <w:rsid w:val="0037510B"/>
    <w:rsid w:val="00375CAD"/>
    <w:rsid w:val="00377649"/>
    <w:rsid w:val="00380502"/>
    <w:rsid w:val="003807AB"/>
    <w:rsid w:val="00381327"/>
    <w:rsid w:val="00381CDB"/>
    <w:rsid w:val="00383797"/>
    <w:rsid w:val="0039082A"/>
    <w:rsid w:val="003914B0"/>
    <w:rsid w:val="00393789"/>
    <w:rsid w:val="003A081D"/>
    <w:rsid w:val="003A37E4"/>
    <w:rsid w:val="003A3B6D"/>
    <w:rsid w:val="003A5155"/>
    <w:rsid w:val="003B47E4"/>
    <w:rsid w:val="003D65AA"/>
    <w:rsid w:val="003E3087"/>
    <w:rsid w:val="003E30A4"/>
    <w:rsid w:val="003F5076"/>
    <w:rsid w:val="00404C6C"/>
    <w:rsid w:val="00405687"/>
    <w:rsid w:val="0040575E"/>
    <w:rsid w:val="004076C4"/>
    <w:rsid w:val="00412121"/>
    <w:rsid w:val="00412BC9"/>
    <w:rsid w:val="0041324C"/>
    <w:rsid w:val="00416D62"/>
    <w:rsid w:val="004223CA"/>
    <w:rsid w:val="004253C1"/>
    <w:rsid w:val="00427ABB"/>
    <w:rsid w:val="004300B2"/>
    <w:rsid w:val="00430EA0"/>
    <w:rsid w:val="00431AA0"/>
    <w:rsid w:val="0043584E"/>
    <w:rsid w:val="00441244"/>
    <w:rsid w:val="00441BB6"/>
    <w:rsid w:val="004468C9"/>
    <w:rsid w:val="00450740"/>
    <w:rsid w:val="00451B44"/>
    <w:rsid w:val="00451DB4"/>
    <w:rsid w:val="00451FBE"/>
    <w:rsid w:val="00460BFF"/>
    <w:rsid w:val="0046401A"/>
    <w:rsid w:val="004748A0"/>
    <w:rsid w:val="004759DF"/>
    <w:rsid w:val="00483B1B"/>
    <w:rsid w:val="00486007"/>
    <w:rsid w:val="00486236"/>
    <w:rsid w:val="004870BF"/>
    <w:rsid w:val="00490889"/>
    <w:rsid w:val="00497AF3"/>
    <w:rsid w:val="004A1994"/>
    <w:rsid w:val="004A3F66"/>
    <w:rsid w:val="004B2E54"/>
    <w:rsid w:val="004B4D63"/>
    <w:rsid w:val="004B5483"/>
    <w:rsid w:val="004C11A1"/>
    <w:rsid w:val="004C33CB"/>
    <w:rsid w:val="004D3B43"/>
    <w:rsid w:val="004D3B7F"/>
    <w:rsid w:val="004D6FE1"/>
    <w:rsid w:val="004E0BBF"/>
    <w:rsid w:val="004E0D84"/>
    <w:rsid w:val="004E2AF6"/>
    <w:rsid w:val="004F113A"/>
    <w:rsid w:val="00500AA1"/>
    <w:rsid w:val="00501ADB"/>
    <w:rsid w:val="00502789"/>
    <w:rsid w:val="005038E5"/>
    <w:rsid w:val="00506962"/>
    <w:rsid w:val="005134F8"/>
    <w:rsid w:val="00516D37"/>
    <w:rsid w:val="0052035A"/>
    <w:rsid w:val="00521ACC"/>
    <w:rsid w:val="00531EFE"/>
    <w:rsid w:val="005321E7"/>
    <w:rsid w:val="00542041"/>
    <w:rsid w:val="005432F7"/>
    <w:rsid w:val="005447C5"/>
    <w:rsid w:val="00547AE1"/>
    <w:rsid w:val="00547CB2"/>
    <w:rsid w:val="0055054E"/>
    <w:rsid w:val="00551F3C"/>
    <w:rsid w:val="00554548"/>
    <w:rsid w:val="00555B0E"/>
    <w:rsid w:val="0055702E"/>
    <w:rsid w:val="00557204"/>
    <w:rsid w:val="00561D4C"/>
    <w:rsid w:val="00565503"/>
    <w:rsid w:val="005713AD"/>
    <w:rsid w:val="005773D7"/>
    <w:rsid w:val="005851BF"/>
    <w:rsid w:val="00586322"/>
    <w:rsid w:val="00594EEA"/>
    <w:rsid w:val="005A54B3"/>
    <w:rsid w:val="005A769B"/>
    <w:rsid w:val="005B04B0"/>
    <w:rsid w:val="005B433C"/>
    <w:rsid w:val="005B5CDB"/>
    <w:rsid w:val="005C150F"/>
    <w:rsid w:val="005C6C3C"/>
    <w:rsid w:val="005D2879"/>
    <w:rsid w:val="005D287D"/>
    <w:rsid w:val="005D5724"/>
    <w:rsid w:val="005E133F"/>
    <w:rsid w:val="005E318F"/>
    <w:rsid w:val="005E7449"/>
    <w:rsid w:val="005E7F50"/>
    <w:rsid w:val="005F2625"/>
    <w:rsid w:val="005F58F3"/>
    <w:rsid w:val="00604148"/>
    <w:rsid w:val="006057A0"/>
    <w:rsid w:val="0062194E"/>
    <w:rsid w:val="00621BAA"/>
    <w:rsid w:val="006223EF"/>
    <w:rsid w:val="006229F2"/>
    <w:rsid w:val="00625388"/>
    <w:rsid w:val="00625651"/>
    <w:rsid w:val="006309C3"/>
    <w:rsid w:val="00634147"/>
    <w:rsid w:val="00636907"/>
    <w:rsid w:val="006504FD"/>
    <w:rsid w:val="00650FA7"/>
    <w:rsid w:val="006655E2"/>
    <w:rsid w:val="00666F52"/>
    <w:rsid w:val="0066718B"/>
    <w:rsid w:val="006720D2"/>
    <w:rsid w:val="0067577F"/>
    <w:rsid w:val="006769E5"/>
    <w:rsid w:val="006927FB"/>
    <w:rsid w:val="00695751"/>
    <w:rsid w:val="006959E9"/>
    <w:rsid w:val="0069796D"/>
    <w:rsid w:val="006A400F"/>
    <w:rsid w:val="006A60E9"/>
    <w:rsid w:val="006B118A"/>
    <w:rsid w:val="006B1666"/>
    <w:rsid w:val="006C130C"/>
    <w:rsid w:val="006C4726"/>
    <w:rsid w:val="006C54CE"/>
    <w:rsid w:val="006C651C"/>
    <w:rsid w:val="006C76D4"/>
    <w:rsid w:val="006D0FC7"/>
    <w:rsid w:val="006D381E"/>
    <w:rsid w:val="006D3EDF"/>
    <w:rsid w:val="006D461E"/>
    <w:rsid w:val="006D4C27"/>
    <w:rsid w:val="006D6BF1"/>
    <w:rsid w:val="006E3DED"/>
    <w:rsid w:val="006E7BB0"/>
    <w:rsid w:val="006F47C0"/>
    <w:rsid w:val="006F4FDC"/>
    <w:rsid w:val="00705880"/>
    <w:rsid w:val="00705949"/>
    <w:rsid w:val="00711E26"/>
    <w:rsid w:val="00712A78"/>
    <w:rsid w:val="00713990"/>
    <w:rsid w:val="00714657"/>
    <w:rsid w:val="007213B6"/>
    <w:rsid w:val="007249E5"/>
    <w:rsid w:val="007250E5"/>
    <w:rsid w:val="00725EBE"/>
    <w:rsid w:val="00733058"/>
    <w:rsid w:val="007337F6"/>
    <w:rsid w:val="00736084"/>
    <w:rsid w:val="007364AD"/>
    <w:rsid w:val="0073749C"/>
    <w:rsid w:val="00737B66"/>
    <w:rsid w:val="00741478"/>
    <w:rsid w:val="007505DA"/>
    <w:rsid w:val="00751198"/>
    <w:rsid w:val="00751B54"/>
    <w:rsid w:val="0075220C"/>
    <w:rsid w:val="0075300A"/>
    <w:rsid w:val="00755452"/>
    <w:rsid w:val="00761EC9"/>
    <w:rsid w:val="00762421"/>
    <w:rsid w:val="007624A5"/>
    <w:rsid w:val="00767726"/>
    <w:rsid w:val="00770070"/>
    <w:rsid w:val="007706DA"/>
    <w:rsid w:val="007745C7"/>
    <w:rsid w:val="00774BEE"/>
    <w:rsid w:val="007772C5"/>
    <w:rsid w:val="0078030A"/>
    <w:rsid w:val="007820EA"/>
    <w:rsid w:val="00786D19"/>
    <w:rsid w:val="00787BFD"/>
    <w:rsid w:val="00792BC1"/>
    <w:rsid w:val="007934AF"/>
    <w:rsid w:val="007A2990"/>
    <w:rsid w:val="007B1523"/>
    <w:rsid w:val="007B1955"/>
    <w:rsid w:val="007B3D16"/>
    <w:rsid w:val="007B6C71"/>
    <w:rsid w:val="007B75BA"/>
    <w:rsid w:val="007B79CE"/>
    <w:rsid w:val="007B7C7B"/>
    <w:rsid w:val="007C2362"/>
    <w:rsid w:val="007C28B3"/>
    <w:rsid w:val="007C3069"/>
    <w:rsid w:val="007C366E"/>
    <w:rsid w:val="007C4259"/>
    <w:rsid w:val="007D0A82"/>
    <w:rsid w:val="007D2AAC"/>
    <w:rsid w:val="007E2663"/>
    <w:rsid w:val="007E5514"/>
    <w:rsid w:val="007E7AF5"/>
    <w:rsid w:val="007E7BD0"/>
    <w:rsid w:val="007F095B"/>
    <w:rsid w:val="007F199C"/>
    <w:rsid w:val="008018F7"/>
    <w:rsid w:val="008024B2"/>
    <w:rsid w:val="0080292C"/>
    <w:rsid w:val="00805ABE"/>
    <w:rsid w:val="00807076"/>
    <w:rsid w:val="00810710"/>
    <w:rsid w:val="00814AE4"/>
    <w:rsid w:val="008207CB"/>
    <w:rsid w:val="00824882"/>
    <w:rsid w:val="0083124A"/>
    <w:rsid w:val="00831624"/>
    <w:rsid w:val="00832A5A"/>
    <w:rsid w:val="0084013D"/>
    <w:rsid w:val="00843F06"/>
    <w:rsid w:val="008459A2"/>
    <w:rsid w:val="00852AAD"/>
    <w:rsid w:val="00853FEE"/>
    <w:rsid w:val="00854887"/>
    <w:rsid w:val="0086081E"/>
    <w:rsid w:val="00865646"/>
    <w:rsid w:val="008707BD"/>
    <w:rsid w:val="00873405"/>
    <w:rsid w:val="0087438F"/>
    <w:rsid w:val="008859D6"/>
    <w:rsid w:val="00887F7C"/>
    <w:rsid w:val="008938D7"/>
    <w:rsid w:val="008A0433"/>
    <w:rsid w:val="008A457B"/>
    <w:rsid w:val="008A50BC"/>
    <w:rsid w:val="008A6106"/>
    <w:rsid w:val="008B47F5"/>
    <w:rsid w:val="008B4AE6"/>
    <w:rsid w:val="008C2D0E"/>
    <w:rsid w:val="008C4263"/>
    <w:rsid w:val="008C54D9"/>
    <w:rsid w:val="008C57DB"/>
    <w:rsid w:val="008D48E7"/>
    <w:rsid w:val="008D654F"/>
    <w:rsid w:val="008E5D40"/>
    <w:rsid w:val="008F4D12"/>
    <w:rsid w:val="00906ECB"/>
    <w:rsid w:val="00911628"/>
    <w:rsid w:val="00913DFE"/>
    <w:rsid w:val="00916A8F"/>
    <w:rsid w:val="00926721"/>
    <w:rsid w:val="0094184B"/>
    <w:rsid w:val="00943F41"/>
    <w:rsid w:val="0094797C"/>
    <w:rsid w:val="009521DA"/>
    <w:rsid w:val="00952742"/>
    <w:rsid w:val="00953B1D"/>
    <w:rsid w:val="00960964"/>
    <w:rsid w:val="00961755"/>
    <w:rsid w:val="00962755"/>
    <w:rsid w:val="00962D7D"/>
    <w:rsid w:val="009667C0"/>
    <w:rsid w:val="00973994"/>
    <w:rsid w:val="00977CC2"/>
    <w:rsid w:val="009812E8"/>
    <w:rsid w:val="00982F4D"/>
    <w:rsid w:val="0099252B"/>
    <w:rsid w:val="0099765D"/>
    <w:rsid w:val="009978AA"/>
    <w:rsid w:val="009A4AA2"/>
    <w:rsid w:val="009A4B4D"/>
    <w:rsid w:val="009B67C3"/>
    <w:rsid w:val="009B6C9C"/>
    <w:rsid w:val="009C6CDB"/>
    <w:rsid w:val="009C7536"/>
    <w:rsid w:val="009C76F5"/>
    <w:rsid w:val="009C7E63"/>
    <w:rsid w:val="009D06B9"/>
    <w:rsid w:val="009D3516"/>
    <w:rsid w:val="009D686A"/>
    <w:rsid w:val="009D7330"/>
    <w:rsid w:val="009E2A55"/>
    <w:rsid w:val="009F0512"/>
    <w:rsid w:val="009F0FEC"/>
    <w:rsid w:val="009F2366"/>
    <w:rsid w:val="009F3AD6"/>
    <w:rsid w:val="009F40A6"/>
    <w:rsid w:val="009F6A0B"/>
    <w:rsid w:val="009F7574"/>
    <w:rsid w:val="00A0031F"/>
    <w:rsid w:val="00A0263F"/>
    <w:rsid w:val="00A06757"/>
    <w:rsid w:val="00A179D4"/>
    <w:rsid w:val="00A20970"/>
    <w:rsid w:val="00A22541"/>
    <w:rsid w:val="00A22712"/>
    <w:rsid w:val="00A245EA"/>
    <w:rsid w:val="00A300B0"/>
    <w:rsid w:val="00A340CF"/>
    <w:rsid w:val="00A34ACA"/>
    <w:rsid w:val="00A34B04"/>
    <w:rsid w:val="00A470CE"/>
    <w:rsid w:val="00A51295"/>
    <w:rsid w:val="00A51D8D"/>
    <w:rsid w:val="00A536DA"/>
    <w:rsid w:val="00A5564E"/>
    <w:rsid w:val="00A615DD"/>
    <w:rsid w:val="00A62131"/>
    <w:rsid w:val="00A67753"/>
    <w:rsid w:val="00A679BA"/>
    <w:rsid w:val="00A70475"/>
    <w:rsid w:val="00A743F7"/>
    <w:rsid w:val="00A74440"/>
    <w:rsid w:val="00A77362"/>
    <w:rsid w:val="00A810B5"/>
    <w:rsid w:val="00A81E1D"/>
    <w:rsid w:val="00A82016"/>
    <w:rsid w:val="00A8521D"/>
    <w:rsid w:val="00A85A14"/>
    <w:rsid w:val="00A90123"/>
    <w:rsid w:val="00A901C2"/>
    <w:rsid w:val="00A911CF"/>
    <w:rsid w:val="00A93E2E"/>
    <w:rsid w:val="00AA1ECD"/>
    <w:rsid w:val="00AA6312"/>
    <w:rsid w:val="00AB18CF"/>
    <w:rsid w:val="00AB3DA6"/>
    <w:rsid w:val="00AB759D"/>
    <w:rsid w:val="00AB78CE"/>
    <w:rsid w:val="00AD353E"/>
    <w:rsid w:val="00AD595F"/>
    <w:rsid w:val="00AE1504"/>
    <w:rsid w:val="00AE5484"/>
    <w:rsid w:val="00AE734E"/>
    <w:rsid w:val="00AF0EC1"/>
    <w:rsid w:val="00AF16EF"/>
    <w:rsid w:val="00AF2175"/>
    <w:rsid w:val="00AF6E42"/>
    <w:rsid w:val="00B064F4"/>
    <w:rsid w:val="00B10F52"/>
    <w:rsid w:val="00B20E52"/>
    <w:rsid w:val="00B25350"/>
    <w:rsid w:val="00B32EA9"/>
    <w:rsid w:val="00B37687"/>
    <w:rsid w:val="00B40E40"/>
    <w:rsid w:val="00B47779"/>
    <w:rsid w:val="00B51284"/>
    <w:rsid w:val="00B63F53"/>
    <w:rsid w:val="00B74232"/>
    <w:rsid w:val="00B74A55"/>
    <w:rsid w:val="00B77598"/>
    <w:rsid w:val="00B85230"/>
    <w:rsid w:val="00B879BE"/>
    <w:rsid w:val="00B929D7"/>
    <w:rsid w:val="00B92A6A"/>
    <w:rsid w:val="00B93C82"/>
    <w:rsid w:val="00B93D8A"/>
    <w:rsid w:val="00B9480C"/>
    <w:rsid w:val="00B94ED1"/>
    <w:rsid w:val="00B97AC6"/>
    <w:rsid w:val="00BA130C"/>
    <w:rsid w:val="00BA5EC2"/>
    <w:rsid w:val="00BB4852"/>
    <w:rsid w:val="00BB59A9"/>
    <w:rsid w:val="00BB74C7"/>
    <w:rsid w:val="00BC0B98"/>
    <w:rsid w:val="00BC2C66"/>
    <w:rsid w:val="00BC440A"/>
    <w:rsid w:val="00BD2466"/>
    <w:rsid w:val="00BD6DFF"/>
    <w:rsid w:val="00BD7328"/>
    <w:rsid w:val="00BD7C97"/>
    <w:rsid w:val="00BE6C2B"/>
    <w:rsid w:val="00BF4EDD"/>
    <w:rsid w:val="00BF5BA1"/>
    <w:rsid w:val="00C00011"/>
    <w:rsid w:val="00C02248"/>
    <w:rsid w:val="00C05EA2"/>
    <w:rsid w:val="00C0699C"/>
    <w:rsid w:val="00C17732"/>
    <w:rsid w:val="00C245FC"/>
    <w:rsid w:val="00C246CA"/>
    <w:rsid w:val="00C32C34"/>
    <w:rsid w:val="00C33576"/>
    <w:rsid w:val="00C33F8F"/>
    <w:rsid w:val="00C35927"/>
    <w:rsid w:val="00C37434"/>
    <w:rsid w:val="00C41FA9"/>
    <w:rsid w:val="00C45151"/>
    <w:rsid w:val="00C473CB"/>
    <w:rsid w:val="00C6004C"/>
    <w:rsid w:val="00C61283"/>
    <w:rsid w:val="00C6252D"/>
    <w:rsid w:val="00C627BE"/>
    <w:rsid w:val="00C62D8B"/>
    <w:rsid w:val="00C741C1"/>
    <w:rsid w:val="00C80555"/>
    <w:rsid w:val="00C813E0"/>
    <w:rsid w:val="00C922BD"/>
    <w:rsid w:val="00C9626E"/>
    <w:rsid w:val="00CA2339"/>
    <w:rsid w:val="00CA680D"/>
    <w:rsid w:val="00CB0488"/>
    <w:rsid w:val="00CB1780"/>
    <w:rsid w:val="00CB38D0"/>
    <w:rsid w:val="00CC3340"/>
    <w:rsid w:val="00CC48FD"/>
    <w:rsid w:val="00CC5198"/>
    <w:rsid w:val="00CC584A"/>
    <w:rsid w:val="00CC58FE"/>
    <w:rsid w:val="00CE0898"/>
    <w:rsid w:val="00CE176C"/>
    <w:rsid w:val="00CE2C7E"/>
    <w:rsid w:val="00CE3359"/>
    <w:rsid w:val="00CE593D"/>
    <w:rsid w:val="00CE6998"/>
    <w:rsid w:val="00CE6ECD"/>
    <w:rsid w:val="00CE787F"/>
    <w:rsid w:val="00CF095E"/>
    <w:rsid w:val="00CF62A2"/>
    <w:rsid w:val="00D023BE"/>
    <w:rsid w:val="00D0767A"/>
    <w:rsid w:val="00D179EE"/>
    <w:rsid w:val="00D213FC"/>
    <w:rsid w:val="00D216A0"/>
    <w:rsid w:val="00D23E57"/>
    <w:rsid w:val="00D2610E"/>
    <w:rsid w:val="00D31C1E"/>
    <w:rsid w:val="00D31DC0"/>
    <w:rsid w:val="00D35155"/>
    <w:rsid w:val="00D35A92"/>
    <w:rsid w:val="00D36FD8"/>
    <w:rsid w:val="00D37AAD"/>
    <w:rsid w:val="00D40AC7"/>
    <w:rsid w:val="00D41AC8"/>
    <w:rsid w:val="00D4688F"/>
    <w:rsid w:val="00D5049D"/>
    <w:rsid w:val="00D52BA4"/>
    <w:rsid w:val="00D53A80"/>
    <w:rsid w:val="00D5732A"/>
    <w:rsid w:val="00D5765A"/>
    <w:rsid w:val="00D62A87"/>
    <w:rsid w:val="00D63DF9"/>
    <w:rsid w:val="00D73DFB"/>
    <w:rsid w:val="00D7512F"/>
    <w:rsid w:val="00D82AE8"/>
    <w:rsid w:val="00D8449B"/>
    <w:rsid w:val="00D86DCA"/>
    <w:rsid w:val="00D9617B"/>
    <w:rsid w:val="00DA2B92"/>
    <w:rsid w:val="00DA48CF"/>
    <w:rsid w:val="00DA4CCD"/>
    <w:rsid w:val="00DB5EAB"/>
    <w:rsid w:val="00DB6D12"/>
    <w:rsid w:val="00DC0111"/>
    <w:rsid w:val="00DC015F"/>
    <w:rsid w:val="00DC18B5"/>
    <w:rsid w:val="00DC6B5B"/>
    <w:rsid w:val="00DC7748"/>
    <w:rsid w:val="00DC7F49"/>
    <w:rsid w:val="00DD0D49"/>
    <w:rsid w:val="00DD26E0"/>
    <w:rsid w:val="00DE0F49"/>
    <w:rsid w:val="00DE5484"/>
    <w:rsid w:val="00DF098F"/>
    <w:rsid w:val="00DF35EB"/>
    <w:rsid w:val="00DF6FDE"/>
    <w:rsid w:val="00E008A9"/>
    <w:rsid w:val="00E028E4"/>
    <w:rsid w:val="00E02C8D"/>
    <w:rsid w:val="00E0362A"/>
    <w:rsid w:val="00E06BA1"/>
    <w:rsid w:val="00E12284"/>
    <w:rsid w:val="00E13DE8"/>
    <w:rsid w:val="00E15F65"/>
    <w:rsid w:val="00E22F3F"/>
    <w:rsid w:val="00E2367B"/>
    <w:rsid w:val="00E30776"/>
    <w:rsid w:val="00E31386"/>
    <w:rsid w:val="00E33EC3"/>
    <w:rsid w:val="00E34A2E"/>
    <w:rsid w:val="00E35EA1"/>
    <w:rsid w:val="00E37C94"/>
    <w:rsid w:val="00E43F6E"/>
    <w:rsid w:val="00E45BBD"/>
    <w:rsid w:val="00E45FF5"/>
    <w:rsid w:val="00E472D1"/>
    <w:rsid w:val="00E513B8"/>
    <w:rsid w:val="00E535F5"/>
    <w:rsid w:val="00E54659"/>
    <w:rsid w:val="00E54E54"/>
    <w:rsid w:val="00E5561A"/>
    <w:rsid w:val="00E55DF6"/>
    <w:rsid w:val="00E62F9C"/>
    <w:rsid w:val="00E6618A"/>
    <w:rsid w:val="00E67EC9"/>
    <w:rsid w:val="00E71EFA"/>
    <w:rsid w:val="00E74F10"/>
    <w:rsid w:val="00E755EF"/>
    <w:rsid w:val="00E86BD5"/>
    <w:rsid w:val="00E87B64"/>
    <w:rsid w:val="00E87E45"/>
    <w:rsid w:val="00E90124"/>
    <w:rsid w:val="00E94542"/>
    <w:rsid w:val="00EA3022"/>
    <w:rsid w:val="00EA32A9"/>
    <w:rsid w:val="00EA435C"/>
    <w:rsid w:val="00EA490B"/>
    <w:rsid w:val="00EB17D2"/>
    <w:rsid w:val="00EC7E3F"/>
    <w:rsid w:val="00ED11D9"/>
    <w:rsid w:val="00ED6313"/>
    <w:rsid w:val="00ED6D4F"/>
    <w:rsid w:val="00ED71AF"/>
    <w:rsid w:val="00EE5446"/>
    <w:rsid w:val="00EE6230"/>
    <w:rsid w:val="00EE70F0"/>
    <w:rsid w:val="00EF2FC9"/>
    <w:rsid w:val="00EF3530"/>
    <w:rsid w:val="00EF3B9D"/>
    <w:rsid w:val="00EF60EF"/>
    <w:rsid w:val="00EF68C4"/>
    <w:rsid w:val="00EF7005"/>
    <w:rsid w:val="00F0092C"/>
    <w:rsid w:val="00F0114C"/>
    <w:rsid w:val="00F11C9A"/>
    <w:rsid w:val="00F1389C"/>
    <w:rsid w:val="00F21EDA"/>
    <w:rsid w:val="00F223DE"/>
    <w:rsid w:val="00F233F2"/>
    <w:rsid w:val="00F26852"/>
    <w:rsid w:val="00F277F9"/>
    <w:rsid w:val="00F3231C"/>
    <w:rsid w:val="00F34E7E"/>
    <w:rsid w:val="00F370F4"/>
    <w:rsid w:val="00F37106"/>
    <w:rsid w:val="00F4010A"/>
    <w:rsid w:val="00F43E51"/>
    <w:rsid w:val="00F43EC1"/>
    <w:rsid w:val="00F44FBE"/>
    <w:rsid w:val="00F47754"/>
    <w:rsid w:val="00F539AB"/>
    <w:rsid w:val="00F5755D"/>
    <w:rsid w:val="00F57D63"/>
    <w:rsid w:val="00F57E8D"/>
    <w:rsid w:val="00F60170"/>
    <w:rsid w:val="00F601F3"/>
    <w:rsid w:val="00F608D6"/>
    <w:rsid w:val="00F61E2C"/>
    <w:rsid w:val="00F646E5"/>
    <w:rsid w:val="00F649BA"/>
    <w:rsid w:val="00F70EA0"/>
    <w:rsid w:val="00F71956"/>
    <w:rsid w:val="00F818EE"/>
    <w:rsid w:val="00F9525A"/>
    <w:rsid w:val="00FA1E9E"/>
    <w:rsid w:val="00FA3935"/>
    <w:rsid w:val="00FA3E65"/>
    <w:rsid w:val="00FA50D2"/>
    <w:rsid w:val="00FA6C18"/>
    <w:rsid w:val="00FB0D02"/>
    <w:rsid w:val="00FC343F"/>
    <w:rsid w:val="00FC4DB1"/>
    <w:rsid w:val="00FC5688"/>
    <w:rsid w:val="00FD178A"/>
    <w:rsid w:val="00FD2026"/>
    <w:rsid w:val="00FD4AC0"/>
    <w:rsid w:val="00FD65AB"/>
    <w:rsid w:val="00FD7D04"/>
    <w:rsid w:val="00FE169D"/>
    <w:rsid w:val="00FE2C2A"/>
    <w:rsid w:val="00FE3EC6"/>
    <w:rsid w:val="00FE54EF"/>
    <w:rsid w:val="00FE5CF2"/>
    <w:rsid w:val="00FE7EC3"/>
    <w:rsid w:val="00FF2E94"/>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0B5E"/>
  <w14:defaultImageDpi w14:val="330"/>
  <w15:chartTrackingRefBased/>
  <w15:docId w15:val="{081EB54C-54BC-674F-ADE0-5DDD2001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2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F21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evel1">
    <w:name w:val="Heading Level 1"/>
    <w:link w:val="HeadingLevel1Char"/>
    <w:qFormat/>
    <w:rsid w:val="006B118A"/>
    <w:pPr>
      <w:spacing w:before="120" w:after="240"/>
      <w:outlineLvl w:val="0"/>
    </w:pPr>
    <w:rPr>
      <w:b/>
      <w:color w:val="000000"/>
      <w:sz w:val="28"/>
      <w:szCs w:val="22"/>
    </w:rPr>
  </w:style>
  <w:style w:type="character" w:customStyle="1" w:styleId="HeadingLevel1Char">
    <w:name w:val="Heading Level 1 Char"/>
    <w:basedOn w:val="DefaultParagraphFont"/>
    <w:link w:val="HeadingLevel1"/>
    <w:rsid w:val="006B118A"/>
    <w:rPr>
      <w:b/>
      <w:color w:val="000000"/>
      <w:sz w:val="28"/>
      <w:szCs w:val="22"/>
    </w:rPr>
  </w:style>
  <w:style w:type="character" w:styleId="Hyperlink">
    <w:name w:val="Hyperlink"/>
    <w:basedOn w:val="DefaultParagraphFont"/>
    <w:uiPriority w:val="99"/>
    <w:rsid w:val="006B118A"/>
    <w:rPr>
      <w:rFonts w:cs="Times New Roman"/>
      <w:color w:val="0432FF"/>
      <w:u w:val="single"/>
    </w:rPr>
  </w:style>
  <w:style w:type="character" w:customStyle="1" w:styleId="Heading1Char">
    <w:name w:val="Heading 1 Char"/>
    <w:basedOn w:val="DefaultParagraphFont"/>
    <w:link w:val="Heading1"/>
    <w:uiPriority w:val="9"/>
    <w:rsid w:val="00042DE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755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5EF"/>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F113A"/>
    <w:rPr>
      <w:sz w:val="20"/>
      <w:szCs w:val="20"/>
    </w:rPr>
  </w:style>
  <w:style w:type="character" w:customStyle="1" w:styleId="FootnoteTextChar">
    <w:name w:val="Footnote Text Char"/>
    <w:basedOn w:val="DefaultParagraphFont"/>
    <w:link w:val="FootnoteText"/>
    <w:uiPriority w:val="99"/>
    <w:semiHidden/>
    <w:rsid w:val="004F113A"/>
    <w:rPr>
      <w:sz w:val="20"/>
      <w:szCs w:val="20"/>
    </w:rPr>
  </w:style>
  <w:style w:type="character" w:styleId="FootnoteReference">
    <w:name w:val="footnote reference"/>
    <w:basedOn w:val="DefaultParagraphFont"/>
    <w:uiPriority w:val="99"/>
    <w:semiHidden/>
    <w:unhideWhenUsed/>
    <w:rsid w:val="004F113A"/>
    <w:rPr>
      <w:vertAlign w:val="superscript"/>
    </w:rPr>
  </w:style>
  <w:style w:type="character" w:customStyle="1" w:styleId="apple-converted-space">
    <w:name w:val="apple-converted-space"/>
    <w:basedOn w:val="DefaultParagraphFont"/>
    <w:rsid w:val="004F113A"/>
  </w:style>
  <w:style w:type="character" w:styleId="Emphasis">
    <w:name w:val="Emphasis"/>
    <w:basedOn w:val="DefaultParagraphFont"/>
    <w:uiPriority w:val="20"/>
    <w:qFormat/>
    <w:rsid w:val="004F113A"/>
    <w:rPr>
      <w:i/>
      <w:iCs/>
    </w:rPr>
  </w:style>
  <w:style w:type="character" w:styleId="UnresolvedMention">
    <w:name w:val="Unresolved Mention"/>
    <w:basedOn w:val="DefaultParagraphFont"/>
    <w:uiPriority w:val="99"/>
    <w:semiHidden/>
    <w:unhideWhenUsed/>
    <w:rsid w:val="003200FA"/>
    <w:rPr>
      <w:color w:val="605E5C"/>
      <w:shd w:val="clear" w:color="auto" w:fill="E1DFDD"/>
    </w:rPr>
  </w:style>
  <w:style w:type="character" w:customStyle="1" w:styleId="Heading2Char">
    <w:name w:val="Heading 2 Char"/>
    <w:basedOn w:val="DefaultParagraphFont"/>
    <w:link w:val="Heading2"/>
    <w:uiPriority w:val="9"/>
    <w:rsid w:val="00547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23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F214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B433C"/>
    <w:pPr>
      <w:tabs>
        <w:tab w:val="center" w:pos="4680"/>
        <w:tab w:val="right" w:pos="9360"/>
      </w:tabs>
    </w:pPr>
  </w:style>
  <w:style w:type="character" w:customStyle="1" w:styleId="HeaderChar">
    <w:name w:val="Header Char"/>
    <w:basedOn w:val="DefaultParagraphFont"/>
    <w:link w:val="Header"/>
    <w:uiPriority w:val="99"/>
    <w:rsid w:val="005B433C"/>
  </w:style>
  <w:style w:type="paragraph" w:styleId="Footer">
    <w:name w:val="footer"/>
    <w:basedOn w:val="Normal"/>
    <w:link w:val="FooterChar"/>
    <w:uiPriority w:val="99"/>
    <w:unhideWhenUsed/>
    <w:rsid w:val="005B433C"/>
    <w:pPr>
      <w:tabs>
        <w:tab w:val="center" w:pos="4680"/>
        <w:tab w:val="right" w:pos="9360"/>
      </w:tabs>
    </w:pPr>
  </w:style>
  <w:style w:type="character" w:customStyle="1" w:styleId="FooterChar">
    <w:name w:val="Footer Char"/>
    <w:basedOn w:val="DefaultParagraphFont"/>
    <w:link w:val="Footer"/>
    <w:uiPriority w:val="99"/>
    <w:rsid w:val="005B433C"/>
  </w:style>
  <w:style w:type="character" w:styleId="EndnoteReference">
    <w:name w:val="endnote reference"/>
    <w:basedOn w:val="DefaultParagraphFont"/>
    <w:uiPriority w:val="99"/>
    <w:semiHidden/>
    <w:unhideWhenUsed/>
    <w:rsid w:val="009B6C9C"/>
    <w:rPr>
      <w:vertAlign w:val="superscript"/>
    </w:rPr>
  </w:style>
  <w:style w:type="paragraph" w:styleId="ListParagraph">
    <w:name w:val="List Paragraph"/>
    <w:basedOn w:val="Normal"/>
    <w:uiPriority w:val="34"/>
    <w:qFormat/>
    <w:rsid w:val="00E13DE8"/>
    <w:pPr>
      <w:ind w:left="720"/>
      <w:contextualSpacing/>
    </w:pPr>
  </w:style>
  <w:style w:type="table" w:styleId="TableGrid">
    <w:name w:val="Table Grid"/>
    <w:basedOn w:val="TableNormal"/>
    <w:uiPriority w:val="39"/>
    <w:rsid w:val="00EF2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617B"/>
    <w:rPr>
      <w:sz w:val="16"/>
      <w:szCs w:val="16"/>
    </w:rPr>
  </w:style>
  <w:style w:type="paragraph" w:styleId="CommentText">
    <w:name w:val="annotation text"/>
    <w:basedOn w:val="Normal"/>
    <w:link w:val="CommentTextChar"/>
    <w:uiPriority w:val="99"/>
    <w:semiHidden/>
    <w:unhideWhenUsed/>
    <w:rsid w:val="00D9617B"/>
    <w:rPr>
      <w:sz w:val="20"/>
      <w:szCs w:val="20"/>
    </w:rPr>
  </w:style>
  <w:style w:type="character" w:customStyle="1" w:styleId="CommentTextChar">
    <w:name w:val="Comment Text Char"/>
    <w:basedOn w:val="DefaultParagraphFont"/>
    <w:link w:val="CommentText"/>
    <w:uiPriority w:val="99"/>
    <w:semiHidden/>
    <w:rsid w:val="00D9617B"/>
    <w:rPr>
      <w:sz w:val="20"/>
      <w:szCs w:val="20"/>
    </w:rPr>
  </w:style>
  <w:style w:type="paragraph" w:styleId="CommentSubject">
    <w:name w:val="annotation subject"/>
    <w:basedOn w:val="CommentText"/>
    <w:next w:val="CommentText"/>
    <w:link w:val="CommentSubjectChar"/>
    <w:uiPriority w:val="99"/>
    <w:semiHidden/>
    <w:unhideWhenUsed/>
    <w:rsid w:val="00D9617B"/>
    <w:rPr>
      <w:b/>
      <w:bCs/>
    </w:rPr>
  </w:style>
  <w:style w:type="character" w:customStyle="1" w:styleId="CommentSubjectChar">
    <w:name w:val="Comment Subject Char"/>
    <w:basedOn w:val="CommentTextChar"/>
    <w:link w:val="CommentSubject"/>
    <w:uiPriority w:val="99"/>
    <w:semiHidden/>
    <w:rsid w:val="00D9617B"/>
    <w:rPr>
      <w:b/>
      <w:bCs/>
      <w:sz w:val="20"/>
      <w:szCs w:val="20"/>
    </w:rPr>
  </w:style>
  <w:style w:type="paragraph" w:styleId="TOCHeading">
    <w:name w:val="TOC Heading"/>
    <w:basedOn w:val="Heading1"/>
    <w:next w:val="Normal"/>
    <w:uiPriority w:val="39"/>
    <w:unhideWhenUsed/>
    <w:qFormat/>
    <w:rsid w:val="009B67C3"/>
    <w:pPr>
      <w:spacing w:before="480" w:line="276" w:lineRule="auto"/>
      <w:outlineLvl w:val="9"/>
    </w:pPr>
    <w:rPr>
      <w:b/>
      <w:bCs/>
      <w:sz w:val="28"/>
      <w:szCs w:val="28"/>
    </w:rPr>
  </w:style>
  <w:style w:type="paragraph" w:styleId="TOC1">
    <w:name w:val="toc 1"/>
    <w:basedOn w:val="Normal"/>
    <w:next w:val="Normal"/>
    <w:autoRedefine/>
    <w:uiPriority w:val="39"/>
    <w:unhideWhenUsed/>
    <w:rsid w:val="009B67C3"/>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9B67C3"/>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9B67C3"/>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9B67C3"/>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9B67C3"/>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9B67C3"/>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9B67C3"/>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9B67C3"/>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9B67C3"/>
    <w:pPr>
      <w:pBdr>
        <w:between w:val="double" w:sz="6" w:space="0" w:color="auto"/>
      </w:pBdr>
      <w:spacing w:before="120" w:after="120"/>
      <w:ind w:left="1680"/>
      <w:jc w:val="center"/>
    </w:pPr>
    <w:rPr>
      <w:rFonts w:cstheme="minorHAnsi"/>
      <w:sz w:val="20"/>
      <w:szCs w:val="20"/>
    </w:rPr>
  </w:style>
  <w:style w:type="character" w:customStyle="1" w:styleId="ital">
    <w:name w:val="ital"/>
    <w:basedOn w:val="DefaultParagraphFont"/>
    <w:rsid w:val="00C17732"/>
  </w:style>
  <w:style w:type="character" w:styleId="FollowedHyperlink">
    <w:name w:val="FollowedHyperlink"/>
    <w:basedOn w:val="DefaultParagraphFont"/>
    <w:uiPriority w:val="99"/>
    <w:semiHidden/>
    <w:unhideWhenUsed/>
    <w:rsid w:val="001D06C6"/>
    <w:rPr>
      <w:color w:val="954F72" w:themeColor="followedHyperlink"/>
      <w:u w:val="single"/>
    </w:rPr>
  </w:style>
  <w:style w:type="character" w:styleId="SubtleEmphasis">
    <w:name w:val="Subtle Emphasis"/>
    <w:basedOn w:val="DefaultParagraphFont"/>
    <w:uiPriority w:val="19"/>
    <w:qFormat/>
    <w:rsid w:val="00350F4E"/>
    <w:rPr>
      <w:i/>
      <w:iCs/>
      <w:color w:val="404040" w:themeColor="text1" w:themeTint="BF"/>
    </w:rPr>
  </w:style>
  <w:style w:type="paragraph" w:styleId="NormalWeb">
    <w:name w:val="Normal (Web)"/>
    <w:basedOn w:val="Normal"/>
    <w:uiPriority w:val="99"/>
    <w:semiHidden/>
    <w:unhideWhenUsed/>
    <w:rsid w:val="004759DF"/>
    <w:pPr>
      <w:spacing w:before="100" w:beforeAutospacing="1" w:after="100" w:afterAutospacing="1"/>
    </w:pPr>
    <w:rPr>
      <w:rFonts w:ascii="Times New Roman" w:eastAsia="Times New Roman" w:hAnsi="Times New Roman" w:cs="Times New Roman"/>
    </w:rPr>
  </w:style>
  <w:style w:type="character" w:customStyle="1" w:styleId="notion-enable-hover">
    <w:name w:val="notion-enable-hover"/>
    <w:basedOn w:val="DefaultParagraphFont"/>
    <w:rsid w:val="0094184B"/>
  </w:style>
  <w:style w:type="paragraph" w:styleId="Bibliography">
    <w:name w:val="Bibliography"/>
    <w:basedOn w:val="Normal"/>
    <w:next w:val="Normal"/>
    <w:uiPriority w:val="37"/>
    <w:semiHidden/>
    <w:unhideWhenUsed/>
    <w:rsid w:val="007B7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6842">
      <w:bodyDiv w:val="1"/>
      <w:marLeft w:val="0"/>
      <w:marRight w:val="0"/>
      <w:marTop w:val="0"/>
      <w:marBottom w:val="0"/>
      <w:divBdr>
        <w:top w:val="none" w:sz="0" w:space="0" w:color="auto"/>
        <w:left w:val="none" w:sz="0" w:space="0" w:color="auto"/>
        <w:bottom w:val="none" w:sz="0" w:space="0" w:color="auto"/>
        <w:right w:val="none" w:sz="0" w:space="0" w:color="auto"/>
      </w:divBdr>
    </w:div>
    <w:div w:id="46153792">
      <w:bodyDiv w:val="1"/>
      <w:marLeft w:val="0"/>
      <w:marRight w:val="0"/>
      <w:marTop w:val="0"/>
      <w:marBottom w:val="0"/>
      <w:divBdr>
        <w:top w:val="none" w:sz="0" w:space="0" w:color="auto"/>
        <w:left w:val="none" w:sz="0" w:space="0" w:color="auto"/>
        <w:bottom w:val="none" w:sz="0" w:space="0" w:color="auto"/>
        <w:right w:val="none" w:sz="0" w:space="0" w:color="auto"/>
      </w:divBdr>
    </w:div>
    <w:div w:id="70203166">
      <w:bodyDiv w:val="1"/>
      <w:marLeft w:val="0"/>
      <w:marRight w:val="0"/>
      <w:marTop w:val="0"/>
      <w:marBottom w:val="0"/>
      <w:divBdr>
        <w:top w:val="none" w:sz="0" w:space="0" w:color="auto"/>
        <w:left w:val="none" w:sz="0" w:space="0" w:color="auto"/>
        <w:bottom w:val="none" w:sz="0" w:space="0" w:color="auto"/>
        <w:right w:val="none" w:sz="0" w:space="0" w:color="auto"/>
      </w:divBdr>
      <w:divsChild>
        <w:div w:id="1731491555">
          <w:blockQuote w:val="1"/>
          <w:marLeft w:val="0"/>
          <w:marRight w:val="0"/>
          <w:marTop w:val="225"/>
          <w:marBottom w:val="300"/>
          <w:divBdr>
            <w:top w:val="none" w:sz="0" w:space="0" w:color="auto"/>
            <w:left w:val="single" w:sz="2" w:space="8" w:color="5D30C1"/>
            <w:bottom w:val="none" w:sz="0" w:space="0" w:color="auto"/>
            <w:right w:val="none" w:sz="0" w:space="0" w:color="auto"/>
          </w:divBdr>
        </w:div>
        <w:div w:id="330718490">
          <w:blockQuote w:val="1"/>
          <w:marLeft w:val="0"/>
          <w:marRight w:val="0"/>
          <w:marTop w:val="225"/>
          <w:marBottom w:val="75"/>
          <w:divBdr>
            <w:top w:val="none" w:sz="0" w:space="0" w:color="auto"/>
            <w:left w:val="single" w:sz="2" w:space="8" w:color="5D30C1"/>
            <w:bottom w:val="none" w:sz="0" w:space="0" w:color="auto"/>
            <w:right w:val="none" w:sz="0" w:space="0" w:color="auto"/>
          </w:divBdr>
        </w:div>
        <w:div w:id="1516576627">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97257950">
      <w:bodyDiv w:val="1"/>
      <w:marLeft w:val="0"/>
      <w:marRight w:val="0"/>
      <w:marTop w:val="0"/>
      <w:marBottom w:val="0"/>
      <w:divBdr>
        <w:top w:val="none" w:sz="0" w:space="0" w:color="auto"/>
        <w:left w:val="none" w:sz="0" w:space="0" w:color="auto"/>
        <w:bottom w:val="none" w:sz="0" w:space="0" w:color="auto"/>
        <w:right w:val="none" w:sz="0" w:space="0" w:color="auto"/>
      </w:divBdr>
    </w:div>
    <w:div w:id="105857566">
      <w:bodyDiv w:val="1"/>
      <w:marLeft w:val="0"/>
      <w:marRight w:val="0"/>
      <w:marTop w:val="0"/>
      <w:marBottom w:val="0"/>
      <w:divBdr>
        <w:top w:val="none" w:sz="0" w:space="0" w:color="auto"/>
        <w:left w:val="none" w:sz="0" w:space="0" w:color="auto"/>
        <w:bottom w:val="none" w:sz="0" w:space="0" w:color="auto"/>
        <w:right w:val="none" w:sz="0" w:space="0" w:color="auto"/>
      </w:divBdr>
    </w:div>
    <w:div w:id="128674504">
      <w:bodyDiv w:val="1"/>
      <w:marLeft w:val="0"/>
      <w:marRight w:val="0"/>
      <w:marTop w:val="0"/>
      <w:marBottom w:val="0"/>
      <w:divBdr>
        <w:top w:val="none" w:sz="0" w:space="0" w:color="auto"/>
        <w:left w:val="none" w:sz="0" w:space="0" w:color="auto"/>
        <w:bottom w:val="none" w:sz="0" w:space="0" w:color="auto"/>
        <w:right w:val="none" w:sz="0" w:space="0" w:color="auto"/>
      </w:divBdr>
    </w:div>
    <w:div w:id="135687113">
      <w:bodyDiv w:val="1"/>
      <w:marLeft w:val="0"/>
      <w:marRight w:val="0"/>
      <w:marTop w:val="0"/>
      <w:marBottom w:val="0"/>
      <w:divBdr>
        <w:top w:val="none" w:sz="0" w:space="0" w:color="auto"/>
        <w:left w:val="none" w:sz="0" w:space="0" w:color="auto"/>
        <w:bottom w:val="none" w:sz="0" w:space="0" w:color="auto"/>
        <w:right w:val="none" w:sz="0" w:space="0" w:color="auto"/>
      </w:divBdr>
    </w:div>
    <w:div w:id="144206771">
      <w:bodyDiv w:val="1"/>
      <w:marLeft w:val="0"/>
      <w:marRight w:val="0"/>
      <w:marTop w:val="0"/>
      <w:marBottom w:val="0"/>
      <w:divBdr>
        <w:top w:val="none" w:sz="0" w:space="0" w:color="auto"/>
        <w:left w:val="none" w:sz="0" w:space="0" w:color="auto"/>
        <w:bottom w:val="none" w:sz="0" w:space="0" w:color="auto"/>
        <w:right w:val="none" w:sz="0" w:space="0" w:color="auto"/>
      </w:divBdr>
    </w:div>
    <w:div w:id="149179445">
      <w:bodyDiv w:val="1"/>
      <w:marLeft w:val="0"/>
      <w:marRight w:val="0"/>
      <w:marTop w:val="0"/>
      <w:marBottom w:val="0"/>
      <w:divBdr>
        <w:top w:val="none" w:sz="0" w:space="0" w:color="auto"/>
        <w:left w:val="none" w:sz="0" w:space="0" w:color="auto"/>
        <w:bottom w:val="none" w:sz="0" w:space="0" w:color="auto"/>
        <w:right w:val="none" w:sz="0" w:space="0" w:color="auto"/>
      </w:divBdr>
      <w:divsChild>
        <w:div w:id="122205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9262">
      <w:bodyDiv w:val="1"/>
      <w:marLeft w:val="0"/>
      <w:marRight w:val="0"/>
      <w:marTop w:val="0"/>
      <w:marBottom w:val="0"/>
      <w:divBdr>
        <w:top w:val="none" w:sz="0" w:space="0" w:color="auto"/>
        <w:left w:val="none" w:sz="0" w:space="0" w:color="auto"/>
        <w:bottom w:val="none" w:sz="0" w:space="0" w:color="auto"/>
        <w:right w:val="none" w:sz="0" w:space="0" w:color="auto"/>
      </w:divBdr>
    </w:div>
    <w:div w:id="193539012">
      <w:bodyDiv w:val="1"/>
      <w:marLeft w:val="0"/>
      <w:marRight w:val="0"/>
      <w:marTop w:val="0"/>
      <w:marBottom w:val="0"/>
      <w:divBdr>
        <w:top w:val="none" w:sz="0" w:space="0" w:color="auto"/>
        <w:left w:val="none" w:sz="0" w:space="0" w:color="auto"/>
        <w:bottom w:val="none" w:sz="0" w:space="0" w:color="auto"/>
        <w:right w:val="none" w:sz="0" w:space="0" w:color="auto"/>
      </w:divBdr>
    </w:div>
    <w:div w:id="202519645">
      <w:bodyDiv w:val="1"/>
      <w:marLeft w:val="0"/>
      <w:marRight w:val="0"/>
      <w:marTop w:val="0"/>
      <w:marBottom w:val="0"/>
      <w:divBdr>
        <w:top w:val="none" w:sz="0" w:space="0" w:color="auto"/>
        <w:left w:val="none" w:sz="0" w:space="0" w:color="auto"/>
        <w:bottom w:val="none" w:sz="0" w:space="0" w:color="auto"/>
        <w:right w:val="none" w:sz="0" w:space="0" w:color="auto"/>
      </w:divBdr>
    </w:div>
    <w:div w:id="206987202">
      <w:bodyDiv w:val="1"/>
      <w:marLeft w:val="0"/>
      <w:marRight w:val="0"/>
      <w:marTop w:val="0"/>
      <w:marBottom w:val="0"/>
      <w:divBdr>
        <w:top w:val="none" w:sz="0" w:space="0" w:color="auto"/>
        <w:left w:val="none" w:sz="0" w:space="0" w:color="auto"/>
        <w:bottom w:val="none" w:sz="0" w:space="0" w:color="auto"/>
        <w:right w:val="none" w:sz="0" w:space="0" w:color="auto"/>
      </w:divBdr>
    </w:div>
    <w:div w:id="250505296">
      <w:bodyDiv w:val="1"/>
      <w:marLeft w:val="0"/>
      <w:marRight w:val="0"/>
      <w:marTop w:val="0"/>
      <w:marBottom w:val="0"/>
      <w:divBdr>
        <w:top w:val="none" w:sz="0" w:space="0" w:color="auto"/>
        <w:left w:val="none" w:sz="0" w:space="0" w:color="auto"/>
        <w:bottom w:val="none" w:sz="0" w:space="0" w:color="auto"/>
        <w:right w:val="none" w:sz="0" w:space="0" w:color="auto"/>
      </w:divBdr>
    </w:div>
    <w:div w:id="297683217">
      <w:bodyDiv w:val="1"/>
      <w:marLeft w:val="0"/>
      <w:marRight w:val="0"/>
      <w:marTop w:val="0"/>
      <w:marBottom w:val="0"/>
      <w:divBdr>
        <w:top w:val="none" w:sz="0" w:space="0" w:color="auto"/>
        <w:left w:val="none" w:sz="0" w:space="0" w:color="auto"/>
        <w:bottom w:val="none" w:sz="0" w:space="0" w:color="auto"/>
        <w:right w:val="none" w:sz="0" w:space="0" w:color="auto"/>
      </w:divBdr>
    </w:div>
    <w:div w:id="299851288">
      <w:bodyDiv w:val="1"/>
      <w:marLeft w:val="0"/>
      <w:marRight w:val="0"/>
      <w:marTop w:val="0"/>
      <w:marBottom w:val="0"/>
      <w:divBdr>
        <w:top w:val="none" w:sz="0" w:space="0" w:color="auto"/>
        <w:left w:val="none" w:sz="0" w:space="0" w:color="auto"/>
        <w:bottom w:val="none" w:sz="0" w:space="0" w:color="auto"/>
        <w:right w:val="none" w:sz="0" w:space="0" w:color="auto"/>
      </w:divBdr>
    </w:div>
    <w:div w:id="370762252">
      <w:bodyDiv w:val="1"/>
      <w:marLeft w:val="0"/>
      <w:marRight w:val="0"/>
      <w:marTop w:val="0"/>
      <w:marBottom w:val="0"/>
      <w:divBdr>
        <w:top w:val="none" w:sz="0" w:space="0" w:color="auto"/>
        <w:left w:val="none" w:sz="0" w:space="0" w:color="auto"/>
        <w:bottom w:val="none" w:sz="0" w:space="0" w:color="auto"/>
        <w:right w:val="none" w:sz="0" w:space="0" w:color="auto"/>
      </w:divBdr>
    </w:div>
    <w:div w:id="458232782">
      <w:bodyDiv w:val="1"/>
      <w:marLeft w:val="0"/>
      <w:marRight w:val="0"/>
      <w:marTop w:val="0"/>
      <w:marBottom w:val="0"/>
      <w:divBdr>
        <w:top w:val="none" w:sz="0" w:space="0" w:color="auto"/>
        <w:left w:val="none" w:sz="0" w:space="0" w:color="auto"/>
        <w:bottom w:val="none" w:sz="0" w:space="0" w:color="auto"/>
        <w:right w:val="none" w:sz="0" w:space="0" w:color="auto"/>
      </w:divBdr>
    </w:div>
    <w:div w:id="517700195">
      <w:bodyDiv w:val="1"/>
      <w:marLeft w:val="0"/>
      <w:marRight w:val="0"/>
      <w:marTop w:val="0"/>
      <w:marBottom w:val="0"/>
      <w:divBdr>
        <w:top w:val="none" w:sz="0" w:space="0" w:color="auto"/>
        <w:left w:val="none" w:sz="0" w:space="0" w:color="auto"/>
        <w:bottom w:val="none" w:sz="0" w:space="0" w:color="auto"/>
        <w:right w:val="none" w:sz="0" w:space="0" w:color="auto"/>
      </w:divBdr>
    </w:div>
    <w:div w:id="524364881">
      <w:bodyDiv w:val="1"/>
      <w:marLeft w:val="0"/>
      <w:marRight w:val="0"/>
      <w:marTop w:val="0"/>
      <w:marBottom w:val="0"/>
      <w:divBdr>
        <w:top w:val="none" w:sz="0" w:space="0" w:color="auto"/>
        <w:left w:val="none" w:sz="0" w:space="0" w:color="auto"/>
        <w:bottom w:val="none" w:sz="0" w:space="0" w:color="auto"/>
        <w:right w:val="none" w:sz="0" w:space="0" w:color="auto"/>
      </w:divBdr>
      <w:divsChild>
        <w:div w:id="588587023">
          <w:blockQuote w:val="1"/>
          <w:marLeft w:val="0"/>
          <w:marRight w:val="0"/>
          <w:marTop w:val="225"/>
          <w:marBottom w:val="300"/>
          <w:divBdr>
            <w:top w:val="none" w:sz="0" w:space="0" w:color="auto"/>
            <w:left w:val="single" w:sz="2" w:space="8" w:color="5D30C1"/>
            <w:bottom w:val="none" w:sz="0" w:space="0" w:color="auto"/>
            <w:right w:val="none" w:sz="0" w:space="0" w:color="auto"/>
          </w:divBdr>
        </w:div>
        <w:div w:id="1935091695">
          <w:blockQuote w:val="1"/>
          <w:marLeft w:val="0"/>
          <w:marRight w:val="0"/>
          <w:marTop w:val="225"/>
          <w:marBottom w:val="75"/>
          <w:divBdr>
            <w:top w:val="none" w:sz="0" w:space="0" w:color="auto"/>
            <w:left w:val="single" w:sz="2" w:space="8" w:color="5D30C1"/>
            <w:bottom w:val="none" w:sz="0" w:space="0" w:color="auto"/>
            <w:right w:val="none" w:sz="0" w:space="0" w:color="auto"/>
          </w:divBdr>
        </w:div>
        <w:div w:id="78333474">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531919674">
      <w:bodyDiv w:val="1"/>
      <w:marLeft w:val="0"/>
      <w:marRight w:val="0"/>
      <w:marTop w:val="0"/>
      <w:marBottom w:val="0"/>
      <w:divBdr>
        <w:top w:val="none" w:sz="0" w:space="0" w:color="auto"/>
        <w:left w:val="none" w:sz="0" w:space="0" w:color="auto"/>
        <w:bottom w:val="none" w:sz="0" w:space="0" w:color="auto"/>
        <w:right w:val="none" w:sz="0" w:space="0" w:color="auto"/>
      </w:divBdr>
    </w:div>
    <w:div w:id="618802558">
      <w:bodyDiv w:val="1"/>
      <w:marLeft w:val="0"/>
      <w:marRight w:val="0"/>
      <w:marTop w:val="0"/>
      <w:marBottom w:val="0"/>
      <w:divBdr>
        <w:top w:val="none" w:sz="0" w:space="0" w:color="auto"/>
        <w:left w:val="none" w:sz="0" w:space="0" w:color="auto"/>
        <w:bottom w:val="none" w:sz="0" w:space="0" w:color="auto"/>
        <w:right w:val="none" w:sz="0" w:space="0" w:color="auto"/>
      </w:divBdr>
    </w:div>
    <w:div w:id="660239533">
      <w:bodyDiv w:val="1"/>
      <w:marLeft w:val="0"/>
      <w:marRight w:val="0"/>
      <w:marTop w:val="0"/>
      <w:marBottom w:val="0"/>
      <w:divBdr>
        <w:top w:val="none" w:sz="0" w:space="0" w:color="auto"/>
        <w:left w:val="none" w:sz="0" w:space="0" w:color="auto"/>
        <w:bottom w:val="none" w:sz="0" w:space="0" w:color="auto"/>
        <w:right w:val="none" w:sz="0" w:space="0" w:color="auto"/>
      </w:divBdr>
    </w:div>
    <w:div w:id="685903546">
      <w:bodyDiv w:val="1"/>
      <w:marLeft w:val="0"/>
      <w:marRight w:val="0"/>
      <w:marTop w:val="0"/>
      <w:marBottom w:val="0"/>
      <w:divBdr>
        <w:top w:val="none" w:sz="0" w:space="0" w:color="auto"/>
        <w:left w:val="none" w:sz="0" w:space="0" w:color="auto"/>
        <w:bottom w:val="none" w:sz="0" w:space="0" w:color="auto"/>
        <w:right w:val="none" w:sz="0" w:space="0" w:color="auto"/>
      </w:divBdr>
    </w:div>
    <w:div w:id="695810389">
      <w:bodyDiv w:val="1"/>
      <w:marLeft w:val="0"/>
      <w:marRight w:val="0"/>
      <w:marTop w:val="0"/>
      <w:marBottom w:val="0"/>
      <w:divBdr>
        <w:top w:val="none" w:sz="0" w:space="0" w:color="auto"/>
        <w:left w:val="none" w:sz="0" w:space="0" w:color="auto"/>
        <w:bottom w:val="none" w:sz="0" w:space="0" w:color="auto"/>
        <w:right w:val="none" w:sz="0" w:space="0" w:color="auto"/>
      </w:divBdr>
    </w:div>
    <w:div w:id="756749095">
      <w:bodyDiv w:val="1"/>
      <w:marLeft w:val="0"/>
      <w:marRight w:val="0"/>
      <w:marTop w:val="0"/>
      <w:marBottom w:val="0"/>
      <w:divBdr>
        <w:top w:val="none" w:sz="0" w:space="0" w:color="auto"/>
        <w:left w:val="none" w:sz="0" w:space="0" w:color="auto"/>
        <w:bottom w:val="none" w:sz="0" w:space="0" w:color="auto"/>
        <w:right w:val="none" w:sz="0" w:space="0" w:color="auto"/>
      </w:divBdr>
      <w:divsChild>
        <w:div w:id="677002983">
          <w:marLeft w:val="0"/>
          <w:marRight w:val="0"/>
          <w:marTop w:val="45"/>
          <w:marBottom w:val="0"/>
          <w:divBdr>
            <w:top w:val="none" w:sz="0" w:space="0" w:color="auto"/>
            <w:left w:val="none" w:sz="0" w:space="0" w:color="auto"/>
            <w:bottom w:val="none" w:sz="0" w:space="0" w:color="auto"/>
            <w:right w:val="none" w:sz="0" w:space="0" w:color="auto"/>
          </w:divBdr>
        </w:div>
      </w:divsChild>
    </w:div>
    <w:div w:id="776409024">
      <w:bodyDiv w:val="1"/>
      <w:marLeft w:val="0"/>
      <w:marRight w:val="0"/>
      <w:marTop w:val="0"/>
      <w:marBottom w:val="0"/>
      <w:divBdr>
        <w:top w:val="none" w:sz="0" w:space="0" w:color="auto"/>
        <w:left w:val="none" w:sz="0" w:space="0" w:color="auto"/>
        <w:bottom w:val="none" w:sz="0" w:space="0" w:color="auto"/>
        <w:right w:val="none" w:sz="0" w:space="0" w:color="auto"/>
      </w:divBdr>
    </w:div>
    <w:div w:id="879512345">
      <w:bodyDiv w:val="1"/>
      <w:marLeft w:val="0"/>
      <w:marRight w:val="0"/>
      <w:marTop w:val="0"/>
      <w:marBottom w:val="0"/>
      <w:divBdr>
        <w:top w:val="none" w:sz="0" w:space="0" w:color="auto"/>
        <w:left w:val="none" w:sz="0" w:space="0" w:color="auto"/>
        <w:bottom w:val="none" w:sz="0" w:space="0" w:color="auto"/>
        <w:right w:val="none" w:sz="0" w:space="0" w:color="auto"/>
      </w:divBdr>
    </w:div>
    <w:div w:id="906302987">
      <w:bodyDiv w:val="1"/>
      <w:marLeft w:val="0"/>
      <w:marRight w:val="0"/>
      <w:marTop w:val="0"/>
      <w:marBottom w:val="0"/>
      <w:divBdr>
        <w:top w:val="none" w:sz="0" w:space="0" w:color="auto"/>
        <w:left w:val="none" w:sz="0" w:space="0" w:color="auto"/>
        <w:bottom w:val="none" w:sz="0" w:space="0" w:color="auto"/>
        <w:right w:val="none" w:sz="0" w:space="0" w:color="auto"/>
      </w:divBdr>
    </w:div>
    <w:div w:id="925260693">
      <w:bodyDiv w:val="1"/>
      <w:marLeft w:val="0"/>
      <w:marRight w:val="0"/>
      <w:marTop w:val="0"/>
      <w:marBottom w:val="0"/>
      <w:divBdr>
        <w:top w:val="none" w:sz="0" w:space="0" w:color="auto"/>
        <w:left w:val="none" w:sz="0" w:space="0" w:color="auto"/>
        <w:bottom w:val="none" w:sz="0" w:space="0" w:color="auto"/>
        <w:right w:val="none" w:sz="0" w:space="0" w:color="auto"/>
      </w:divBdr>
    </w:div>
    <w:div w:id="935330634">
      <w:bodyDiv w:val="1"/>
      <w:marLeft w:val="0"/>
      <w:marRight w:val="0"/>
      <w:marTop w:val="0"/>
      <w:marBottom w:val="0"/>
      <w:divBdr>
        <w:top w:val="none" w:sz="0" w:space="0" w:color="auto"/>
        <w:left w:val="none" w:sz="0" w:space="0" w:color="auto"/>
        <w:bottom w:val="none" w:sz="0" w:space="0" w:color="auto"/>
        <w:right w:val="none" w:sz="0" w:space="0" w:color="auto"/>
      </w:divBdr>
      <w:divsChild>
        <w:div w:id="405959108">
          <w:blockQuote w:val="1"/>
          <w:marLeft w:val="0"/>
          <w:marRight w:val="0"/>
          <w:marTop w:val="225"/>
          <w:marBottom w:val="75"/>
          <w:divBdr>
            <w:top w:val="none" w:sz="0" w:space="0" w:color="auto"/>
            <w:left w:val="single" w:sz="2" w:space="8" w:color="5D30C1"/>
            <w:bottom w:val="none" w:sz="0" w:space="0" w:color="auto"/>
            <w:right w:val="none" w:sz="0" w:space="0" w:color="auto"/>
          </w:divBdr>
        </w:div>
        <w:div w:id="374502583">
          <w:blockQuote w:val="1"/>
          <w:marLeft w:val="0"/>
          <w:marRight w:val="0"/>
          <w:marTop w:val="0"/>
          <w:marBottom w:val="75"/>
          <w:divBdr>
            <w:top w:val="none" w:sz="0" w:space="0" w:color="auto"/>
            <w:left w:val="single" w:sz="2" w:space="8" w:color="5D30C1"/>
            <w:bottom w:val="none" w:sz="0" w:space="0" w:color="auto"/>
            <w:right w:val="none" w:sz="0" w:space="0" w:color="auto"/>
          </w:divBdr>
        </w:div>
        <w:div w:id="1064790225">
          <w:blockQuote w:val="1"/>
          <w:marLeft w:val="0"/>
          <w:marRight w:val="0"/>
          <w:marTop w:val="0"/>
          <w:marBottom w:val="75"/>
          <w:divBdr>
            <w:top w:val="none" w:sz="0" w:space="0" w:color="auto"/>
            <w:left w:val="single" w:sz="2" w:space="8" w:color="5D30C1"/>
            <w:bottom w:val="none" w:sz="0" w:space="0" w:color="auto"/>
            <w:right w:val="none" w:sz="0" w:space="0" w:color="auto"/>
          </w:divBdr>
        </w:div>
        <w:div w:id="1980645759">
          <w:blockQuote w:val="1"/>
          <w:marLeft w:val="0"/>
          <w:marRight w:val="0"/>
          <w:marTop w:val="0"/>
          <w:marBottom w:val="75"/>
          <w:divBdr>
            <w:top w:val="none" w:sz="0" w:space="0" w:color="auto"/>
            <w:left w:val="single" w:sz="2" w:space="8" w:color="5D30C1"/>
            <w:bottom w:val="none" w:sz="0" w:space="0" w:color="auto"/>
            <w:right w:val="none" w:sz="0" w:space="0" w:color="auto"/>
          </w:divBdr>
          <w:divsChild>
            <w:div w:id="1005592825">
              <w:marLeft w:val="0"/>
              <w:marRight w:val="0"/>
              <w:marTop w:val="0"/>
              <w:marBottom w:val="0"/>
              <w:divBdr>
                <w:top w:val="none" w:sz="0" w:space="0" w:color="auto"/>
                <w:left w:val="none" w:sz="0" w:space="0" w:color="auto"/>
                <w:bottom w:val="none" w:sz="0" w:space="0" w:color="auto"/>
                <w:right w:val="none" w:sz="0" w:space="0" w:color="auto"/>
              </w:divBdr>
              <w:divsChild>
                <w:div w:id="1220093185">
                  <w:marLeft w:val="0"/>
                  <w:marRight w:val="150"/>
                  <w:marTop w:val="0"/>
                  <w:marBottom w:val="75"/>
                  <w:divBdr>
                    <w:top w:val="none" w:sz="0" w:space="0" w:color="auto"/>
                    <w:left w:val="none" w:sz="0" w:space="0" w:color="auto"/>
                    <w:bottom w:val="none" w:sz="0" w:space="0" w:color="auto"/>
                    <w:right w:val="none" w:sz="0" w:space="0" w:color="auto"/>
                  </w:divBdr>
                </w:div>
              </w:divsChild>
            </w:div>
            <w:div w:id="1101485622">
              <w:marLeft w:val="0"/>
              <w:marRight w:val="0"/>
              <w:marTop w:val="0"/>
              <w:marBottom w:val="0"/>
              <w:divBdr>
                <w:top w:val="none" w:sz="0" w:space="0" w:color="auto"/>
                <w:left w:val="none" w:sz="0" w:space="0" w:color="auto"/>
                <w:bottom w:val="none" w:sz="0" w:space="0" w:color="auto"/>
                <w:right w:val="none" w:sz="0" w:space="0" w:color="auto"/>
              </w:divBdr>
              <w:divsChild>
                <w:div w:id="1911647488">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 w:id="1050812450">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946080554">
      <w:bodyDiv w:val="1"/>
      <w:marLeft w:val="0"/>
      <w:marRight w:val="0"/>
      <w:marTop w:val="0"/>
      <w:marBottom w:val="0"/>
      <w:divBdr>
        <w:top w:val="none" w:sz="0" w:space="0" w:color="auto"/>
        <w:left w:val="none" w:sz="0" w:space="0" w:color="auto"/>
        <w:bottom w:val="none" w:sz="0" w:space="0" w:color="auto"/>
        <w:right w:val="none" w:sz="0" w:space="0" w:color="auto"/>
      </w:divBdr>
    </w:div>
    <w:div w:id="1045176687">
      <w:bodyDiv w:val="1"/>
      <w:marLeft w:val="0"/>
      <w:marRight w:val="0"/>
      <w:marTop w:val="0"/>
      <w:marBottom w:val="0"/>
      <w:divBdr>
        <w:top w:val="none" w:sz="0" w:space="0" w:color="auto"/>
        <w:left w:val="none" w:sz="0" w:space="0" w:color="auto"/>
        <w:bottom w:val="none" w:sz="0" w:space="0" w:color="auto"/>
        <w:right w:val="none" w:sz="0" w:space="0" w:color="auto"/>
      </w:divBdr>
    </w:div>
    <w:div w:id="1060248109">
      <w:bodyDiv w:val="1"/>
      <w:marLeft w:val="0"/>
      <w:marRight w:val="0"/>
      <w:marTop w:val="0"/>
      <w:marBottom w:val="0"/>
      <w:divBdr>
        <w:top w:val="none" w:sz="0" w:space="0" w:color="auto"/>
        <w:left w:val="none" w:sz="0" w:space="0" w:color="auto"/>
        <w:bottom w:val="none" w:sz="0" w:space="0" w:color="auto"/>
        <w:right w:val="none" w:sz="0" w:space="0" w:color="auto"/>
      </w:divBdr>
    </w:div>
    <w:div w:id="1120341977">
      <w:bodyDiv w:val="1"/>
      <w:marLeft w:val="0"/>
      <w:marRight w:val="0"/>
      <w:marTop w:val="0"/>
      <w:marBottom w:val="0"/>
      <w:divBdr>
        <w:top w:val="none" w:sz="0" w:space="0" w:color="auto"/>
        <w:left w:val="none" w:sz="0" w:space="0" w:color="auto"/>
        <w:bottom w:val="none" w:sz="0" w:space="0" w:color="auto"/>
        <w:right w:val="none" w:sz="0" w:space="0" w:color="auto"/>
      </w:divBdr>
    </w:div>
    <w:div w:id="1160736296">
      <w:bodyDiv w:val="1"/>
      <w:marLeft w:val="0"/>
      <w:marRight w:val="0"/>
      <w:marTop w:val="0"/>
      <w:marBottom w:val="0"/>
      <w:divBdr>
        <w:top w:val="none" w:sz="0" w:space="0" w:color="auto"/>
        <w:left w:val="none" w:sz="0" w:space="0" w:color="auto"/>
        <w:bottom w:val="none" w:sz="0" w:space="0" w:color="auto"/>
        <w:right w:val="none" w:sz="0" w:space="0" w:color="auto"/>
      </w:divBdr>
    </w:div>
    <w:div w:id="1235162672">
      <w:bodyDiv w:val="1"/>
      <w:marLeft w:val="0"/>
      <w:marRight w:val="0"/>
      <w:marTop w:val="0"/>
      <w:marBottom w:val="0"/>
      <w:divBdr>
        <w:top w:val="none" w:sz="0" w:space="0" w:color="auto"/>
        <w:left w:val="none" w:sz="0" w:space="0" w:color="auto"/>
        <w:bottom w:val="none" w:sz="0" w:space="0" w:color="auto"/>
        <w:right w:val="none" w:sz="0" w:space="0" w:color="auto"/>
      </w:divBdr>
    </w:div>
    <w:div w:id="1243173586">
      <w:bodyDiv w:val="1"/>
      <w:marLeft w:val="0"/>
      <w:marRight w:val="0"/>
      <w:marTop w:val="0"/>
      <w:marBottom w:val="0"/>
      <w:divBdr>
        <w:top w:val="none" w:sz="0" w:space="0" w:color="auto"/>
        <w:left w:val="none" w:sz="0" w:space="0" w:color="auto"/>
        <w:bottom w:val="none" w:sz="0" w:space="0" w:color="auto"/>
        <w:right w:val="none" w:sz="0" w:space="0" w:color="auto"/>
      </w:divBdr>
    </w:div>
    <w:div w:id="1317488422">
      <w:bodyDiv w:val="1"/>
      <w:marLeft w:val="0"/>
      <w:marRight w:val="0"/>
      <w:marTop w:val="0"/>
      <w:marBottom w:val="0"/>
      <w:divBdr>
        <w:top w:val="none" w:sz="0" w:space="0" w:color="auto"/>
        <w:left w:val="none" w:sz="0" w:space="0" w:color="auto"/>
        <w:bottom w:val="none" w:sz="0" w:space="0" w:color="auto"/>
        <w:right w:val="none" w:sz="0" w:space="0" w:color="auto"/>
      </w:divBdr>
    </w:div>
    <w:div w:id="1391345207">
      <w:bodyDiv w:val="1"/>
      <w:marLeft w:val="0"/>
      <w:marRight w:val="0"/>
      <w:marTop w:val="0"/>
      <w:marBottom w:val="0"/>
      <w:divBdr>
        <w:top w:val="none" w:sz="0" w:space="0" w:color="auto"/>
        <w:left w:val="none" w:sz="0" w:space="0" w:color="auto"/>
        <w:bottom w:val="none" w:sz="0" w:space="0" w:color="auto"/>
        <w:right w:val="none" w:sz="0" w:space="0" w:color="auto"/>
      </w:divBdr>
    </w:div>
    <w:div w:id="1418094817">
      <w:bodyDiv w:val="1"/>
      <w:marLeft w:val="0"/>
      <w:marRight w:val="0"/>
      <w:marTop w:val="0"/>
      <w:marBottom w:val="0"/>
      <w:divBdr>
        <w:top w:val="none" w:sz="0" w:space="0" w:color="auto"/>
        <w:left w:val="none" w:sz="0" w:space="0" w:color="auto"/>
        <w:bottom w:val="none" w:sz="0" w:space="0" w:color="auto"/>
        <w:right w:val="none" w:sz="0" w:space="0" w:color="auto"/>
      </w:divBdr>
    </w:div>
    <w:div w:id="1419401912">
      <w:bodyDiv w:val="1"/>
      <w:marLeft w:val="0"/>
      <w:marRight w:val="0"/>
      <w:marTop w:val="0"/>
      <w:marBottom w:val="0"/>
      <w:divBdr>
        <w:top w:val="none" w:sz="0" w:space="0" w:color="auto"/>
        <w:left w:val="none" w:sz="0" w:space="0" w:color="auto"/>
        <w:bottom w:val="none" w:sz="0" w:space="0" w:color="auto"/>
        <w:right w:val="none" w:sz="0" w:space="0" w:color="auto"/>
      </w:divBdr>
    </w:div>
    <w:div w:id="1439178863">
      <w:bodyDiv w:val="1"/>
      <w:marLeft w:val="0"/>
      <w:marRight w:val="0"/>
      <w:marTop w:val="0"/>
      <w:marBottom w:val="0"/>
      <w:divBdr>
        <w:top w:val="none" w:sz="0" w:space="0" w:color="auto"/>
        <w:left w:val="none" w:sz="0" w:space="0" w:color="auto"/>
        <w:bottom w:val="none" w:sz="0" w:space="0" w:color="auto"/>
        <w:right w:val="none" w:sz="0" w:space="0" w:color="auto"/>
      </w:divBdr>
    </w:div>
    <w:div w:id="1451314535">
      <w:bodyDiv w:val="1"/>
      <w:marLeft w:val="0"/>
      <w:marRight w:val="0"/>
      <w:marTop w:val="0"/>
      <w:marBottom w:val="0"/>
      <w:divBdr>
        <w:top w:val="none" w:sz="0" w:space="0" w:color="auto"/>
        <w:left w:val="none" w:sz="0" w:space="0" w:color="auto"/>
        <w:bottom w:val="none" w:sz="0" w:space="0" w:color="auto"/>
        <w:right w:val="none" w:sz="0" w:space="0" w:color="auto"/>
      </w:divBdr>
    </w:div>
    <w:div w:id="1456558152">
      <w:bodyDiv w:val="1"/>
      <w:marLeft w:val="0"/>
      <w:marRight w:val="0"/>
      <w:marTop w:val="0"/>
      <w:marBottom w:val="0"/>
      <w:divBdr>
        <w:top w:val="none" w:sz="0" w:space="0" w:color="auto"/>
        <w:left w:val="none" w:sz="0" w:space="0" w:color="auto"/>
        <w:bottom w:val="none" w:sz="0" w:space="0" w:color="auto"/>
        <w:right w:val="none" w:sz="0" w:space="0" w:color="auto"/>
      </w:divBdr>
    </w:div>
    <w:div w:id="14866307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8734">
      <w:bodyDiv w:val="1"/>
      <w:marLeft w:val="0"/>
      <w:marRight w:val="0"/>
      <w:marTop w:val="0"/>
      <w:marBottom w:val="0"/>
      <w:divBdr>
        <w:top w:val="none" w:sz="0" w:space="0" w:color="auto"/>
        <w:left w:val="none" w:sz="0" w:space="0" w:color="auto"/>
        <w:bottom w:val="none" w:sz="0" w:space="0" w:color="auto"/>
        <w:right w:val="none" w:sz="0" w:space="0" w:color="auto"/>
      </w:divBdr>
    </w:div>
    <w:div w:id="1547989930">
      <w:bodyDiv w:val="1"/>
      <w:marLeft w:val="0"/>
      <w:marRight w:val="0"/>
      <w:marTop w:val="0"/>
      <w:marBottom w:val="0"/>
      <w:divBdr>
        <w:top w:val="none" w:sz="0" w:space="0" w:color="auto"/>
        <w:left w:val="none" w:sz="0" w:space="0" w:color="auto"/>
        <w:bottom w:val="none" w:sz="0" w:space="0" w:color="auto"/>
        <w:right w:val="none" w:sz="0" w:space="0" w:color="auto"/>
      </w:divBdr>
    </w:div>
    <w:div w:id="1571304135">
      <w:bodyDiv w:val="1"/>
      <w:marLeft w:val="0"/>
      <w:marRight w:val="0"/>
      <w:marTop w:val="0"/>
      <w:marBottom w:val="0"/>
      <w:divBdr>
        <w:top w:val="none" w:sz="0" w:space="0" w:color="auto"/>
        <w:left w:val="none" w:sz="0" w:space="0" w:color="auto"/>
        <w:bottom w:val="none" w:sz="0" w:space="0" w:color="auto"/>
        <w:right w:val="none" w:sz="0" w:space="0" w:color="auto"/>
      </w:divBdr>
    </w:div>
    <w:div w:id="1597052214">
      <w:bodyDiv w:val="1"/>
      <w:marLeft w:val="0"/>
      <w:marRight w:val="0"/>
      <w:marTop w:val="0"/>
      <w:marBottom w:val="0"/>
      <w:divBdr>
        <w:top w:val="none" w:sz="0" w:space="0" w:color="auto"/>
        <w:left w:val="none" w:sz="0" w:space="0" w:color="auto"/>
        <w:bottom w:val="none" w:sz="0" w:space="0" w:color="auto"/>
        <w:right w:val="none" w:sz="0" w:space="0" w:color="auto"/>
      </w:divBdr>
    </w:div>
    <w:div w:id="1621955845">
      <w:bodyDiv w:val="1"/>
      <w:marLeft w:val="0"/>
      <w:marRight w:val="0"/>
      <w:marTop w:val="0"/>
      <w:marBottom w:val="0"/>
      <w:divBdr>
        <w:top w:val="none" w:sz="0" w:space="0" w:color="auto"/>
        <w:left w:val="none" w:sz="0" w:space="0" w:color="auto"/>
        <w:bottom w:val="none" w:sz="0" w:space="0" w:color="auto"/>
        <w:right w:val="none" w:sz="0" w:space="0" w:color="auto"/>
      </w:divBdr>
    </w:div>
    <w:div w:id="1627547372">
      <w:bodyDiv w:val="1"/>
      <w:marLeft w:val="0"/>
      <w:marRight w:val="0"/>
      <w:marTop w:val="0"/>
      <w:marBottom w:val="0"/>
      <w:divBdr>
        <w:top w:val="none" w:sz="0" w:space="0" w:color="auto"/>
        <w:left w:val="none" w:sz="0" w:space="0" w:color="auto"/>
        <w:bottom w:val="none" w:sz="0" w:space="0" w:color="auto"/>
        <w:right w:val="none" w:sz="0" w:space="0" w:color="auto"/>
      </w:divBdr>
    </w:div>
    <w:div w:id="1707828711">
      <w:bodyDiv w:val="1"/>
      <w:marLeft w:val="0"/>
      <w:marRight w:val="0"/>
      <w:marTop w:val="0"/>
      <w:marBottom w:val="0"/>
      <w:divBdr>
        <w:top w:val="none" w:sz="0" w:space="0" w:color="auto"/>
        <w:left w:val="none" w:sz="0" w:space="0" w:color="auto"/>
        <w:bottom w:val="none" w:sz="0" w:space="0" w:color="auto"/>
        <w:right w:val="none" w:sz="0" w:space="0" w:color="auto"/>
      </w:divBdr>
    </w:div>
    <w:div w:id="1788423749">
      <w:bodyDiv w:val="1"/>
      <w:marLeft w:val="0"/>
      <w:marRight w:val="0"/>
      <w:marTop w:val="0"/>
      <w:marBottom w:val="0"/>
      <w:divBdr>
        <w:top w:val="none" w:sz="0" w:space="0" w:color="auto"/>
        <w:left w:val="none" w:sz="0" w:space="0" w:color="auto"/>
        <w:bottom w:val="none" w:sz="0" w:space="0" w:color="auto"/>
        <w:right w:val="none" w:sz="0" w:space="0" w:color="auto"/>
      </w:divBdr>
    </w:div>
    <w:div w:id="1812946071">
      <w:bodyDiv w:val="1"/>
      <w:marLeft w:val="0"/>
      <w:marRight w:val="0"/>
      <w:marTop w:val="0"/>
      <w:marBottom w:val="0"/>
      <w:divBdr>
        <w:top w:val="none" w:sz="0" w:space="0" w:color="auto"/>
        <w:left w:val="none" w:sz="0" w:space="0" w:color="auto"/>
        <w:bottom w:val="none" w:sz="0" w:space="0" w:color="auto"/>
        <w:right w:val="none" w:sz="0" w:space="0" w:color="auto"/>
      </w:divBdr>
      <w:divsChild>
        <w:div w:id="1262032673">
          <w:blockQuote w:val="1"/>
          <w:marLeft w:val="0"/>
          <w:marRight w:val="0"/>
          <w:marTop w:val="225"/>
          <w:marBottom w:val="75"/>
          <w:divBdr>
            <w:top w:val="none" w:sz="0" w:space="0" w:color="auto"/>
            <w:left w:val="single" w:sz="2" w:space="8" w:color="5D30C1"/>
            <w:bottom w:val="none" w:sz="0" w:space="0" w:color="auto"/>
            <w:right w:val="none" w:sz="0" w:space="0" w:color="auto"/>
          </w:divBdr>
        </w:div>
        <w:div w:id="1553466539">
          <w:blockQuote w:val="1"/>
          <w:marLeft w:val="0"/>
          <w:marRight w:val="0"/>
          <w:marTop w:val="0"/>
          <w:marBottom w:val="75"/>
          <w:divBdr>
            <w:top w:val="none" w:sz="0" w:space="0" w:color="auto"/>
            <w:left w:val="single" w:sz="2" w:space="8" w:color="5D30C1"/>
            <w:bottom w:val="none" w:sz="0" w:space="0" w:color="auto"/>
            <w:right w:val="none" w:sz="0" w:space="0" w:color="auto"/>
          </w:divBdr>
        </w:div>
        <w:div w:id="763502167">
          <w:blockQuote w:val="1"/>
          <w:marLeft w:val="0"/>
          <w:marRight w:val="0"/>
          <w:marTop w:val="0"/>
          <w:marBottom w:val="75"/>
          <w:divBdr>
            <w:top w:val="none" w:sz="0" w:space="0" w:color="auto"/>
            <w:left w:val="single" w:sz="2" w:space="8" w:color="5D30C1"/>
            <w:bottom w:val="none" w:sz="0" w:space="0" w:color="auto"/>
            <w:right w:val="none" w:sz="0" w:space="0" w:color="auto"/>
          </w:divBdr>
        </w:div>
        <w:div w:id="943148254">
          <w:blockQuote w:val="1"/>
          <w:marLeft w:val="0"/>
          <w:marRight w:val="0"/>
          <w:marTop w:val="0"/>
          <w:marBottom w:val="75"/>
          <w:divBdr>
            <w:top w:val="none" w:sz="0" w:space="0" w:color="auto"/>
            <w:left w:val="single" w:sz="2" w:space="8" w:color="5D30C1"/>
            <w:bottom w:val="none" w:sz="0" w:space="0" w:color="auto"/>
            <w:right w:val="none" w:sz="0" w:space="0" w:color="auto"/>
          </w:divBdr>
          <w:divsChild>
            <w:div w:id="413550947">
              <w:marLeft w:val="0"/>
              <w:marRight w:val="0"/>
              <w:marTop w:val="0"/>
              <w:marBottom w:val="0"/>
              <w:divBdr>
                <w:top w:val="none" w:sz="0" w:space="0" w:color="auto"/>
                <w:left w:val="none" w:sz="0" w:space="0" w:color="auto"/>
                <w:bottom w:val="none" w:sz="0" w:space="0" w:color="auto"/>
                <w:right w:val="none" w:sz="0" w:space="0" w:color="auto"/>
              </w:divBdr>
              <w:divsChild>
                <w:div w:id="271716951">
                  <w:marLeft w:val="0"/>
                  <w:marRight w:val="150"/>
                  <w:marTop w:val="0"/>
                  <w:marBottom w:val="75"/>
                  <w:divBdr>
                    <w:top w:val="none" w:sz="0" w:space="0" w:color="auto"/>
                    <w:left w:val="none" w:sz="0" w:space="0" w:color="auto"/>
                    <w:bottom w:val="none" w:sz="0" w:space="0" w:color="auto"/>
                    <w:right w:val="none" w:sz="0" w:space="0" w:color="auto"/>
                  </w:divBdr>
                </w:div>
              </w:divsChild>
            </w:div>
            <w:div w:id="458036133">
              <w:marLeft w:val="0"/>
              <w:marRight w:val="0"/>
              <w:marTop w:val="0"/>
              <w:marBottom w:val="0"/>
              <w:divBdr>
                <w:top w:val="none" w:sz="0" w:space="0" w:color="auto"/>
                <w:left w:val="none" w:sz="0" w:space="0" w:color="auto"/>
                <w:bottom w:val="none" w:sz="0" w:space="0" w:color="auto"/>
                <w:right w:val="none" w:sz="0" w:space="0" w:color="auto"/>
              </w:divBdr>
              <w:divsChild>
                <w:div w:id="182177181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 w:id="183977201">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1830631493">
      <w:bodyDiv w:val="1"/>
      <w:marLeft w:val="0"/>
      <w:marRight w:val="0"/>
      <w:marTop w:val="0"/>
      <w:marBottom w:val="0"/>
      <w:divBdr>
        <w:top w:val="none" w:sz="0" w:space="0" w:color="auto"/>
        <w:left w:val="none" w:sz="0" w:space="0" w:color="auto"/>
        <w:bottom w:val="none" w:sz="0" w:space="0" w:color="auto"/>
        <w:right w:val="none" w:sz="0" w:space="0" w:color="auto"/>
      </w:divBdr>
    </w:div>
    <w:div w:id="1851404803">
      <w:bodyDiv w:val="1"/>
      <w:marLeft w:val="0"/>
      <w:marRight w:val="0"/>
      <w:marTop w:val="0"/>
      <w:marBottom w:val="0"/>
      <w:divBdr>
        <w:top w:val="none" w:sz="0" w:space="0" w:color="auto"/>
        <w:left w:val="none" w:sz="0" w:space="0" w:color="auto"/>
        <w:bottom w:val="none" w:sz="0" w:space="0" w:color="auto"/>
        <w:right w:val="none" w:sz="0" w:space="0" w:color="auto"/>
      </w:divBdr>
    </w:div>
    <w:div w:id="1860658791">
      <w:bodyDiv w:val="1"/>
      <w:marLeft w:val="0"/>
      <w:marRight w:val="0"/>
      <w:marTop w:val="0"/>
      <w:marBottom w:val="0"/>
      <w:divBdr>
        <w:top w:val="none" w:sz="0" w:space="0" w:color="auto"/>
        <w:left w:val="none" w:sz="0" w:space="0" w:color="auto"/>
        <w:bottom w:val="none" w:sz="0" w:space="0" w:color="auto"/>
        <w:right w:val="none" w:sz="0" w:space="0" w:color="auto"/>
      </w:divBdr>
    </w:div>
    <w:div w:id="1995529368">
      <w:bodyDiv w:val="1"/>
      <w:marLeft w:val="0"/>
      <w:marRight w:val="0"/>
      <w:marTop w:val="0"/>
      <w:marBottom w:val="0"/>
      <w:divBdr>
        <w:top w:val="none" w:sz="0" w:space="0" w:color="auto"/>
        <w:left w:val="none" w:sz="0" w:space="0" w:color="auto"/>
        <w:bottom w:val="none" w:sz="0" w:space="0" w:color="auto"/>
        <w:right w:val="none" w:sz="0" w:space="0" w:color="auto"/>
      </w:divBdr>
    </w:div>
    <w:div w:id="2018924140">
      <w:bodyDiv w:val="1"/>
      <w:marLeft w:val="0"/>
      <w:marRight w:val="0"/>
      <w:marTop w:val="0"/>
      <w:marBottom w:val="0"/>
      <w:divBdr>
        <w:top w:val="none" w:sz="0" w:space="0" w:color="auto"/>
        <w:left w:val="none" w:sz="0" w:space="0" w:color="auto"/>
        <w:bottom w:val="none" w:sz="0" w:space="0" w:color="auto"/>
        <w:right w:val="none" w:sz="0" w:space="0" w:color="auto"/>
      </w:divBdr>
    </w:div>
    <w:div w:id="209396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georgia.gov/document/2022-vetoed-legislation/hb-911-fy-2023-line-item-veto-and-disregard-letter-and-statements/downloa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keep%20a%20level%20head" TargetMode="External"/><Relationship Id="rId1" Type="http://schemas.openxmlformats.org/officeDocument/2006/relationships/hyperlink" Target="https://www.merriam-webster.com/dictionary/levelhea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908683-9377-714F-B175-ED481CA5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22</Pages>
  <Words>5928</Words>
  <Characters>32013</Characters>
  <Application>Microsoft Office Word</Application>
  <DocSecurity>0</DocSecurity>
  <Lines>551</Lines>
  <Paragraphs>177</Paragraphs>
  <ScaleCrop>false</ScaleCrop>
  <HeadingPairs>
    <vt:vector size="2" baseType="variant">
      <vt:variant>
        <vt:lpstr>Title</vt:lpstr>
      </vt:variant>
      <vt:variant>
        <vt:i4>1</vt:i4>
      </vt:variant>
    </vt:vector>
  </HeadingPairs>
  <TitlesOfParts>
    <vt:vector size="1" baseType="lpstr">
      <vt:lpstr/>
    </vt:vector>
  </TitlesOfParts>
  <Manager/>
  <Company>Berger Law, LLC</Company>
  <LinksUpToDate>false</LinksUpToDate>
  <CharactersWithSpaces>37764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Berger</dc:creator>
  <cp:keywords/>
  <dc:description/>
  <cp:lastModifiedBy>Justin C. Berger</cp:lastModifiedBy>
  <cp:revision>401</cp:revision>
  <dcterms:created xsi:type="dcterms:W3CDTF">2020-05-06T23:47:00Z</dcterms:created>
  <dcterms:modified xsi:type="dcterms:W3CDTF">2025-05-29T19:58:00Z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id="U5mJmVsp"/&gt;&lt;style id="http://www.zotero.org/styles/bluebook-20th-edition" hasBibliography="0" bibliographyStyleHasBeenSet="0"/&gt;&lt;prefs&gt;&lt;pref name="citationLangPrefsPersons" value="orig"/&gt;&lt;pref nam</vt:lpwstr>
  </property>
  <property fmtid="{D5CDD505-2E9C-101B-9397-08002B2CF9AE}" pid="3" name="ZOTERO_PREF_2">
    <vt:lpwstr>e="citationLangPrefsInstitutions" value="orig"/&gt;&lt;pref name="citationLangPrefsTitles" value="orig"/&gt;&lt;pref name="citationLangPrefsJournals" value="orig"/&gt;&lt;pref name="citationLangPrefsPublishers" value="orig"/&gt;&lt;pref name="citationLangPrefsPlaces" value="orig</vt:lpwstr>
  </property>
  <property fmtid="{D5CDD505-2E9C-101B-9397-08002B2CF9AE}" pid="4" name="ZOTERO_PREF_3">
    <vt:lpwstr>"/&gt;&lt;pref name="citationAffixes" value="|||||||||||||||||||||||||||||||||||||||||||||||"/&gt;&lt;pref name="extractingLibraryName" value="No group selected"/&gt;&lt;pref name="fieldType" value="Field"/&gt;&lt;pref name="dontAskDelayCitationUpdates" value="true"/&gt;&lt;pref name=</vt:lpwstr>
  </property>
  <property fmtid="{D5CDD505-2E9C-101B-9397-08002B2CF9AE}" pid="5" name="ZOTERO_PREF_4">
    <vt:lpwstr>"citationTransliteration" value="orig"/&gt;&lt;pref name="citationTranslation" value="orig"/&gt;&lt;pref name="citationSort" value="orig"/&gt;&lt;pref name="noteType" value="1"/&gt;&lt;/prefs&gt;&lt;/data&gt;</vt:lpwstr>
  </property>
</Properties>
</file>