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CC27" w14:textId="73BCD9B4" w:rsidR="009103D2" w:rsidRDefault="002C1F87">
      <w:pPr>
        <w:rPr>
          <w:rFonts w:ascii="Arial" w:hAnsi="Arial" w:cs="Arial"/>
          <w:b/>
          <w:bCs/>
        </w:rPr>
      </w:pPr>
      <w:r w:rsidRPr="002C1F87">
        <w:rPr>
          <w:rFonts w:ascii="Arial" w:hAnsi="Arial" w:cs="Arial"/>
          <w:b/>
          <w:bCs/>
        </w:rPr>
        <w:t xml:space="preserve">Supplementary Material </w:t>
      </w:r>
    </w:p>
    <w:p w14:paraId="18779ACF" w14:textId="74DF96D4" w:rsidR="00864141" w:rsidRPr="009F58BC" w:rsidRDefault="002C1F87">
      <w:pPr>
        <w:rPr>
          <w:rFonts w:ascii="Arial" w:hAnsi="Arial" w:cs="Arial"/>
          <w:b/>
          <w:bCs/>
        </w:rPr>
      </w:pPr>
      <w:r>
        <w:rPr>
          <w:rFonts w:ascii="Arial" w:hAnsi="Arial" w:cs="Arial"/>
          <w:b/>
          <w:bCs/>
        </w:rPr>
        <w:br w:type="page"/>
      </w:r>
    </w:p>
    <w:p w14:paraId="75743CA3" w14:textId="21B1A00E" w:rsidR="00C9661F" w:rsidRDefault="00864141" w:rsidP="00864141">
      <w:pPr>
        <w:jc w:val="center"/>
        <w:rPr>
          <w:rFonts w:ascii="Arial" w:hAnsi="Arial" w:cs="Arial"/>
        </w:rPr>
      </w:pPr>
      <w:r>
        <w:rPr>
          <w:rFonts w:ascii="Arial" w:hAnsi="Arial" w:cs="Arial"/>
          <w:noProof/>
        </w:rPr>
        <w:lastRenderedPageBreak/>
        <w:drawing>
          <wp:inline distT="0" distB="0" distL="0" distR="0" wp14:anchorId="74F89045" wp14:editId="27CB788E">
            <wp:extent cx="5228672" cy="6556039"/>
            <wp:effectExtent l="0" t="0" r="3810" b="0"/>
            <wp:docPr id="5" name="Picture 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am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52023" cy="6585318"/>
                    </a:xfrm>
                    <a:prstGeom prst="rect">
                      <a:avLst/>
                    </a:prstGeom>
                  </pic:spPr>
                </pic:pic>
              </a:graphicData>
            </a:graphic>
          </wp:inline>
        </w:drawing>
      </w:r>
    </w:p>
    <w:p w14:paraId="36560DFB" w14:textId="3CCA5777" w:rsidR="009F58BC" w:rsidRPr="00C9661F" w:rsidRDefault="009F58BC" w:rsidP="009F58BC">
      <w:pPr>
        <w:rPr>
          <w:rFonts w:ascii="Arial" w:hAnsi="Arial" w:cs="Arial"/>
        </w:rPr>
      </w:pPr>
      <w:r>
        <w:rPr>
          <w:rFonts w:ascii="Arial" w:hAnsi="Arial" w:cs="Arial"/>
          <w:b/>
          <w:bCs/>
        </w:rPr>
        <w:t xml:space="preserve">Figure S1: </w:t>
      </w:r>
      <w:r>
        <w:rPr>
          <w:rFonts w:ascii="Arial" w:hAnsi="Arial" w:cs="Arial"/>
        </w:rPr>
        <w:t xml:space="preserve">Principal component analyses (PCs 1 and 2 shown), at the chromosome arm level, for each population. The color indicates collection year. Shapes indicate the samples “type”, spring and fall collections (collected at the beginning and end of the growing season), front (collected prior to a frost event), or time series (indicated bi-weekly collections). Samples are: </w:t>
      </w:r>
      <w:proofErr w:type="spellStart"/>
      <w:r>
        <w:rPr>
          <w:rFonts w:ascii="Arial" w:hAnsi="Arial" w:cs="Arial"/>
        </w:rPr>
        <w:t>Akaa</w:t>
      </w:r>
      <w:proofErr w:type="spellEnd"/>
      <w:r>
        <w:rPr>
          <w:rFonts w:ascii="Arial" w:hAnsi="Arial" w:cs="Arial"/>
        </w:rPr>
        <w:t xml:space="preserve"> (Finland), </w:t>
      </w:r>
      <w:proofErr w:type="spellStart"/>
      <w:r>
        <w:rPr>
          <w:rFonts w:ascii="Arial" w:hAnsi="Arial" w:cs="Arial"/>
        </w:rPr>
        <w:t>Broggingen</w:t>
      </w:r>
      <w:proofErr w:type="spellEnd"/>
      <w:r>
        <w:rPr>
          <w:rFonts w:ascii="Arial" w:hAnsi="Arial" w:cs="Arial"/>
        </w:rPr>
        <w:t xml:space="preserve"> (Germany), Charlottesville (VA), Cross Plains (NY), </w:t>
      </w:r>
      <w:proofErr w:type="spellStart"/>
      <w:r>
        <w:rPr>
          <w:rFonts w:ascii="Arial" w:hAnsi="Arial" w:cs="Arial"/>
        </w:rPr>
        <w:t>Linvilla</w:t>
      </w:r>
      <w:proofErr w:type="spellEnd"/>
      <w:r>
        <w:rPr>
          <w:rFonts w:ascii="Arial" w:hAnsi="Arial" w:cs="Arial"/>
        </w:rPr>
        <w:t xml:space="preserve"> (PA), Munich (Germany), Odessa (Ukraine), </w:t>
      </w:r>
      <w:proofErr w:type="spellStart"/>
      <w:r>
        <w:rPr>
          <w:rFonts w:ascii="Arial" w:hAnsi="Arial" w:cs="Arial"/>
        </w:rPr>
        <w:t>Yesiloz</w:t>
      </w:r>
      <w:proofErr w:type="spellEnd"/>
      <w:r>
        <w:rPr>
          <w:rFonts w:ascii="Arial" w:hAnsi="Arial" w:cs="Arial"/>
        </w:rPr>
        <w:t xml:space="preserve"> (Turkey).</w:t>
      </w:r>
      <w:r w:rsidR="00E25F06">
        <w:rPr>
          <w:rFonts w:ascii="Arial" w:hAnsi="Arial" w:cs="Arial"/>
        </w:rPr>
        <w:t xml:space="preserve"> </w:t>
      </w:r>
    </w:p>
    <w:p w14:paraId="54876933" w14:textId="3EBEBD30" w:rsidR="00AE2C55" w:rsidRDefault="00AE2C55" w:rsidP="00C9661F">
      <w:pPr>
        <w:jc w:val="center"/>
        <w:rPr>
          <w:rFonts w:ascii="Arial" w:hAnsi="Arial" w:cs="Arial"/>
          <w:b/>
          <w:bCs/>
        </w:rPr>
      </w:pPr>
      <w:r>
        <w:rPr>
          <w:rFonts w:ascii="Arial" w:hAnsi="Arial" w:cs="Arial"/>
          <w:b/>
          <w:bCs/>
        </w:rPr>
        <w:br w:type="page"/>
      </w:r>
    </w:p>
    <w:p w14:paraId="03DB66A1" w14:textId="3FF0EC44" w:rsidR="003A2A05" w:rsidRDefault="003A2A05">
      <w:pPr>
        <w:rPr>
          <w:rFonts w:ascii="Arial" w:hAnsi="Arial" w:cs="Arial"/>
          <w:b/>
          <w:bCs/>
        </w:rPr>
      </w:pPr>
      <w:r>
        <w:rPr>
          <w:rFonts w:ascii="Arial" w:hAnsi="Arial" w:cs="Arial"/>
          <w:b/>
          <w:bCs/>
        </w:rPr>
        <w:lastRenderedPageBreak/>
        <w:t>Figure S</w:t>
      </w:r>
      <w:r w:rsidR="00F65915">
        <w:rPr>
          <w:rFonts w:ascii="Arial" w:hAnsi="Arial" w:cs="Arial"/>
          <w:b/>
          <w:bCs/>
        </w:rPr>
        <w:t>2</w:t>
      </w:r>
      <w:r>
        <w:rPr>
          <w:rFonts w:ascii="Arial" w:hAnsi="Arial" w:cs="Arial"/>
          <w:b/>
          <w:bCs/>
        </w:rPr>
        <w:t>:</w:t>
      </w:r>
    </w:p>
    <w:p w14:paraId="57A7444A" w14:textId="77777777" w:rsidR="003A2A05" w:rsidRDefault="003A2A05">
      <w:pPr>
        <w:rPr>
          <w:rFonts w:ascii="Arial" w:hAnsi="Arial" w:cs="Arial"/>
          <w:b/>
          <w:bCs/>
        </w:rPr>
      </w:pPr>
    </w:p>
    <w:p w14:paraId="471A47F2" w14:textId="1DCDB53A" w:rsidR="003A2A05" w:rsidRDefault="00A22751">
      <w:pPr>
        <w:rPr>
          <w:rFonts w:ascii="Arial" w:hAnsi="Arial" w:cs="Arial"/>
          <w:b/>
          <w:bCs/>
        </w:rPr>
      </w:pPr>
      <w:r>
        <w:rPr>
          <w:rFonts w:ascii="Arial" w:hAnsi="Arial" w:cs="Arial"/>
          <w:b/>
          <w:bCs/>
        </w:rPr>
        <w:t>Simulation Results</w:t>
      </w:r>
    </w:p>
    <w:p w14:paraId="402609B8" w14:textId="0E4FBDF9" w:rsidR="003A2A05" w:rsidRDefault="003A2A05">
      <w:pPr>
        <w:rPr>
          <w:rFonts w:ascii="Arial" w:hAnsi="Arial" w:cs="Arial"/>
          <w:b/>
          <w:bCs/>
        </w:rPr>
      </w:pPr>
    </w:p>
    <w:p w14:paraId="2437C30A" w14:textId="77777777" w:rsidR="003A2A05" w:rsidRPr="002C1F87" w:rsidRDefault="003A2A05">
      <w:pPr>
        <w:rPr>
          <w:rFonts w:ascii="Arial" w:hAnsi="Arial" w:cs="Arial"/>
          <w:b/>
          <w:bCs/>
        </w:rPr>
      </w:pPr>
    </w:p>
    <w:sectPr w:rsidR="003A2A05" w:rsidRPr="002C1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87"/>
    <w:rsid w:val="00045FEC"/>
    <w:rsid w:val="001A2773"/>
    <w:rsid w:val="001A5307"/>
    <w:rsid w:val="001C487B"/>
    <w:rsid w:val="001C4AF6"/>
    <w:rsid w:val="001E3298"/>
    <w:rsid w:val="001F7DAC"/>
    <w:rsid w:val="00204E07"/>
    <w:rsid w:val="0023722C"/>
    <w:rsid w:val="00292D25"/>
    <w:rsid w:val="002C1F87"/>
    <w:rsid w:val="002C3197"/>
    <w:rsid w:val="003062A3"/>
    <w:rsid w:val="003A2A05"/>
    <w:rsid w:val="003A5F2F"/>
    <w:rsid w:val="003A6613"/>
    <w:rsid w:val="003B7201"/>
    <w:rsid w:val="0040499C"/>
    <w:rsid w:val="004569E1"/>
    <w:rsid w:val="004856F8"/>
    <w:rsid w:val="004C332B"/>
    <w:rsid w:val="004D60CA"/>
    <w:rsid w:val="004D6CF1"/>
    <w:rsid w:val="005263E4"/>
    <w:rsid w:val="00622F20"/>
    <w:rsid w:val="00640939"/>
    <w:rsid w:val="00643246"/>
    <w:rsid w:val="006F7144"/>
    <w:rsid w:val="008179B8"/>
    <w:rsid w:val="0083784A"/>
    <w:rsid w:val="00864141"/>
    <w:rsid w:val="0088625D"/>
    <w:rsid w:val="008B5A91"/>
    <w:rsid w:val="008C4237"/>
    <w:rsid w:val="009103D2"/>
    <w:rsid w:val="00933BEC"/>
    <w:rsid w:val="00942633"/>
    <w:rsid w:val="00954CB2"/>
    <w:rsid w:val="009D3109"/>
    <w:rsid w:val="009F0DCF"/>
    <w:rsid w:val="009F58BC"/>
    <w:rsid w:val="009F730A"/>
    <w:rsid w:val="00A21598"/>
    <w:rsid w:val="00A22751"/>
    <w:rsid w:val="00A231F4"/>
    <w:rsid w:val="00A25BFB"/>
    <w:rsid w:val="00A82CBA"/>
    <w:rsid w:val="00A85A15"/>
    <w:rsid w:val="00AC08C4"/>
    <w:rsid w:val="00AC141C"/>
    <w:rsid w:val="00AC15DE"/>
    <w:rsid w:val="00AE2C55"/>
    <w:rsid w:val="00C7387D"/>
    <w:rsid w:val="00C9661F"/>
    <w:rsid w:val="00CA47A2"/>
    <w:rsid w:val="00CD0195"/>
    <w:rsid w:val="00D07827"/>
    <w:rsid w:val="00D123D5"/>
    <w:rsid w:val="00D44055"/>
    <w:rsid w:val="00D74A17"/>
    <w:rsid w:val="00DE7E7B"/>
    <w:rsid w:val="00E25F06"/>
    <w:rsid w:val="00E42EAF"/>
    <w:rsid w:val="00E87DE1"/>
    <w:rsid w:val="00E97CF4"/>
    <w:rsid w:val="00EC52A8"/>
    <w:rsid w:val="00F059F9"/>
    <w:rsid w:val="00F25CE2"/>
    <w:rsid w:val="00F54596"/>
    <w:rsid w:val="00F65915"/>
    <w:rsid w:val="00F90EFE"/>
    <w:rsid w:val="00FC7BAE"/>
    <w:rsid w:val="00FD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0C9818"/>
  <w15:chartTrackingRefBased/>
  <w15:docId w15:val="{E9CD43C7-F5C7-A74D-8453-48C88304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Nunez</dc:creator>
  <cp:keywords/>
  <dc:description/>
  <cp:lastModifiedBy>Joaquin Nunez</cp:lastModifiedBy>
  <cp:revision>7</cp:revision>
  <dcterms:created xsi:type="dcterms:W3CDTF">2022-04-25T13:49:00Z</dcterms:created>
  <dcterms:modified xsi:type="dcterms:W3CDTF">2022-04-29T17:29:00Z</dcterms:modified>
</cp:coreProperties>
</file>