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2F08" w14:textId="796B0811">
      <w:pPr>
        <w:jc w:val="center"/>
        <w:rPr>
          <w:b/>
          <w:bCs/>
          <w:sz w:val="36"/>
          <w:szCs w:val="40"/>
        </w:rPr>
      </w:pPr>
      <w:r>
        <w:rPr>
          <w:b/>
          <w:bCs/>
          <w:sz w:val="36"/>
          <w:szCs w:val="40"/>
        </w:rPr>
        <w:t>A Framework for measuring latent constructs</w:t>
      </w:r>
    </w:p>
    <w:sdt>
      <w:sdtPr>
        <w:rPr>
          <w:rFonts w:ascii="Aptos" w:eastAsia="Charter" w:hAnsi="Aptos" w:cs="Charter"/>
          <w:color w:val="auto"/>
          <w:sz w:val="22"/>
          <w:szCs w:val="24"/>
          <w:lang w:val="en-US"/>
        </w:rPr>
        <w:id w:val="138468342"/>
        <w:docPartObj>
          <w:docPartGallery w:val="Table of Contents"/>
          <w:docPartUnique/>
        </w:docPartObj>
      </w:sdtPr>
      <w:sdtEndPr>
        <w:rPr>
          <w:b/>
          <w:bCs/>
        </w:rPr>
      </w:sdtEndPr>
      <w:sdtContent>
        <w:p w14:paraId="37A62815" w14:textId="460D6D44">
          <w:pPr>
            <w:pStyle w:val="Inhaltsverzeichnisberschrift"/>
            <w:rPr>
              <w:rFonts w:ascii="Aptos" w:hAnsi="Aptos"/>
              <w:b/>
              <w:bCs/>
              <w:color w:val="auto"/>
              <w:sz w:val="28"/>
              <w:szCs w:val="28"/>
            </w:rPr>
          </w:pPr>
          <w:r>
            <w:rPr>
              <w:rFonts w:ascii="Aptos" w:hAnsi="Aptos"/>
              <w:b/>
              <w:bCs/>
              <w:color w:val="auto"/>
              <w:sz w:val="28"/>
              <w:szCs w:val="28"/>
            </w:rPr>
            <w:t>Content</w:t>
          </w:r>
        </w:p>
        <w:p w14:paraId="6FC1A779" w14:textId="3C2E21DD">
          <w:pPr>
            <w:pStyle w:val="Verzeichnis1"/>
            <w:rPr>
              <w:rFonts w:asciiTheme="minorHAnsi" w:eastAsiaTheme="minorEastAsia" w:hAnsiTheme="minorHAnsi" w:cstheme="minorBidi"/>
              <w:bCs w:val="0"/>
              <w:noProof/>
              <w:kern w:val="2"/>
              <w:sz w:val="24"/>
              <w:lang w:val="de-DE"/>
              <w14:ligatures w14:val="standardContextual"/>
            </w:rPr>
          </w:pPr>
          <w:r>
            <w:fldChar w:fldCharType="begin"/>
          </w:r>
          <w:r>
            <w:instrText xml:space="preserve"> TOC \o "1-3" \h \z \u </w:instrText>
          </w:r>
          <w:r>
            <w:fldChar w:fldCharType="separate"/>
          </w:r>
          <w:hyperlink w:anchor="_Toc243650031" w:history="1">
            <w:r>
              <w:rPr>
                <w:rStyle w:val="Hyperlink"/>
                <w:noProof/>
              </w:rPr>
              <w:t>1</w:t>
            </w:r>
            <w:r>
              <w:rPr>
                <w:rFonts w:asciiTheme="minorHAnsi" w:eastAsiaTheme="minorEastAsia" w:hAnsiTheme="minorHAnsi" w:cstheme="minorBidi"/>
                <w:bCs w:val="0"/>
                <w:noProof/>
                <w:kern w:val="2"/>
                <w:sz w:val="24"/>
                <w:lang w:val="de-DE"/>
                <w14:ligatures w14:val="standardContextual"/>
              </w:rPr>
              <w:tab/>
            </w:r>
            <w:r>
              <w:rPr>
                <w:rStyle w:val="Hyperlink"/>
                <w:noProof/>
              </w:rPr>
              <w:t>Introduction to the Framework</w:t>
            </w:r>
            <w:r>
              <w:rPr>
                <w:noProof/>
                <w:webHidden/>
              </w:rPr>
              <w:tab/>
            </w:r>
            <w:r>
              <w:rPr>
                <w:noProof/>
                <w:webHidden/>
              </w:rPr>
              <w:fldChar w:fldCharType="begin"/>
            </w:r>
            <w:r>
              <w:rPr>
                <w:noProof/>
                <w:webHidden/>
              </w:rPr>
              <w:instrText xml:space="preserve"> PAGEREF _Toc243650031 \h </w:instrText>
            </w:r>
            <w:r>
              <w:rPr>
                <w:noProof/>
                <w:webHidden/>
              </w:rPr>
            </w:r>
            <w:r>
              <w:rPr>
                <w:noProof/>
                <w:webHidden/>
              </w:rPr>
              <w:fldChar w:fldCharType="separate"/>
            </w:r>
            <w:r>
              <w:rPr>
                <w:noProof/>
                <w:webHidden/>
              </w:rPr>
              <w:t>2</w:t>
            </w:r>
            <w:r>
              <w:rPr>
                <w:noProof/>
                <w:webHidden/>
              </w:rPr>
              <w:fldChar w:fldCharType="end"/>
            </w:r>
          </w:hyperlink>
        </w:p>
        <w:p w14:paraId="7342C48A" w14:textId="38CDF975">
          <w:pPr>
            <w:pStyle w:val="Verzeichnis1"/>
            <w:rPr>
              <w:rFonts w:asciiTheme="minorHAnsi" w:eastAsiaTheme="minorEastAsia" w:hAnsiTheme="minorHAnsi" w:cstheme="minorBidi"/>
              <w:bCs w:val="0"/>
              <w:noProof/>
              <w:kern w:val="2"/>
              <w:sz w:val="24"/>
              <w:lang w:val="de-DE"/>
              <w14:ligatures w14:val="standardContextual"/>
            </w:rPr>
          </w:pPr>
          <w:hyperlink w:anchor="_Toc243650032" w:history="1">
            <w:r>
              <w:rPr>
                <w:rStyle w:val="Hyperlink"/>
                <w:noProof/>
              </w:rPr>
              <w:t>2</w:t>
            </w:r>
            <w:r>
              <w:rPr>
                <w:rFonts w:asciiTheme="minorHAnsi" w:eastAsiaTheme="minorEastAsia" w:hAnsiTheme="minorHAnsi" w:cstheme="minorBidi"/>
                <w:bCs w:val="0"/>
                <w:noProof/>
                <w:kern w:val="2"/>
                <w:sz w:val="24"/>
                <w:lang w:val="de-DE"/>
                <w14:ligatures w14:val="standardContextual"/>
              </w:rPr>
              <w:tab/>
            </w:r>
            <w:r>
              <w:rPr>
                <w:rStyle w:val="Hyperlink"/>
                <w:noProof/>
              </w:rPr>
              <w:t>General Explanation of the Framework</w:t>
            </w:r>
            <w:r>
              <w:rPr>
                <w:noProof/>
                <w:webHidden/>
              </w:rPr>
              <w:tab/>
            </w:r>
            <w:r>
              <w:rPr>
                <w:noProof/>
                <w:webHidden/>
              </w:rPr>
              <w:fldChar w:fldCharType="begin"/>
            </w:r>
            <w:r>
              <w:rPr>
                <w:noProof/>
                <w:webHidden/>
              </w:rPr>
              <w:instrText xml:space="preserve"> PAGEREF _Toc243650032 \h </w:instrText>
            </w:r>
            <w:r>
              <w:rPr>
                <w:noProof/>
                <w:webHidden/>
              </w:rPr>
            </w:r>
            <w:r>
              <w:rPr>
                <w:noProof/>
                <w:webHidden/>
              </w:rPr>
              <w:fldChar w:fldCharType="separate"/>
            </w:r>
            <w:r>
              <w:rPr>
                <w:noProof/>
                <w:webHidden/>
              </w:rPr>
              <w:t>4</w:t>
            </w:r>
            <w:r>
              <w:rPr>
                <w:noProof/>
                <w:webHidden/>
              </w:rPr>
              <w:fldChar w:fldCharType="end"/>
            </w:r>
          </w:hyperlink>
        </w:p>
        <w:p w14:paraId="637ADE70" w14:textId="66A23AA4">
          <w:pPr>
            <w:pStyle w:val="Verzeichnis2"/>
            <w:rPr>
              <w:rFonts w:asciiTheme="minorHAnsi" w:eastAsiaTheme="minorEastAsia" w:hAnsiTheme="minorHAnsi" w:cstheme="minorBidi"/>
              <w:noProof/>
              <w:kern w:val="2"/>
              <w:sz w:val="24"/>
              <w:szCs w:val="24"/>
              <w:lang w:val="de-DE"/>
              <w14:ligatures w14:val="standardContextual"/>
            </w:rPr>
          </w:pPr>
          <w:hyperlink w:anchor="_Toc243650033" w:history="1">
            <w:r>
              <w:rPr>
                <w:rStyle w:val="Hyperlink"/>
                <w:noProof/>
              </w:rPr>
              <w:t>2.1</w:t>
            </w:r>
            <w:r>
              <w:rPr>
                <w:rFonts w:asciiTheme="minorHAnsi" w:eastAsiaTheme="minorEastAsia" w:hAnsiTheme="minorHAnsi" w:cstheme="minorBidi"/>
                <w:noProof/>
                <w:kern w:val="2"/>
                <w:sz w:val="24"/>
                <w:szCs w:val="24"/>
                <w:lang w:val="de-DE"/>
                <w14:ligatures w14:val="standardContextual"/>
              </w:rPr>
              <w:tab/>
            </w:r>
            <w:r>
              <w:rPr>
                <w:rStyle w:val="Hyperlink"/>
                <w:noProof/>
              </w:rPr>
              <w:t>Step 1: Selection of the Latent Construct</w:t>
            </w:r>
            <w:r>
              <w:rPr>
                <w:noProof/>
                <w:webHidden/>
              </w:rPr>
              <w:tab/>
            </w:r>
            <w:r>
              <w:rPr>
                <w:noProof/>
                <w:webHidden/>
              </w:rPr>
              <w:fldChar w:fldCharType="begin"/>
            </w:r>
            <w:r>
              <w:rPr>
                <w:noProof/>
                <w:webHidden/>
              </w:rPr>
              <w:instrText xml:space="preserve"> PAGEREF _Toc243650033 \h </w:instrText>
            </w:r>
            <w:r>
              <w:rPr>
                <w:noProof/>
                <w:webHidden/>
              </w:rPr>
            </w:r>
            <w:r>
              <w:rPr>
                <w:noProof/>
                <w:webHidden/>
              </w:rPr>
              <w:fldChar w:fldCharType="separate"/>
            </w:r>
            <w:r>
              <w:rPr>
                <w:noProof/>
                <w:webHidden/>
              </w:rPr>
              <w:t>4</w:t>
            </w:r>
            <w:r>
              <w:rPr>
                <w:noProof/>
                <w:webHidden/>
              </w:rPr>
              <w:fldChar w:fldCharType="end"/>
            </w:r>
          </w:hyperlink>
        </w:p>
        <w:p w14:paraId="7BB455B6" w14:textId="2B508147">
          <w:pPr>
            <w:pStyle w:val="Verzeichnis2"/>
            <w:rPr>
              <w:rFonts w:asciiTheme="minorHAnsi" w:eastAsiaTheme="minorEastAsia" w:hAnsiTheme="minorHAnsi" w:cstheme="minorBidi"/>
              <w:noProof/>
              <w:kern w:val="2"/>
              <w:sz w:val="24"/>
              <w:szCs w:val="24"/>
              <w:lang w:val="de-DE"/>
              <w14:ligatures w14:val="standardContextual"/>
            </w:rPr>
          </w:pPr>
          <w:hyperlink w:anchor="_Toc243650034" w:history="1">
            <w:r>
              <w:rPr>
                <w:rStyle w:val="Hyperlink"/>
                <w:noProof/>
              </w:rPr>
              <w:t>2.2</w:t>
            </w:r>
            <w:r>
              <w:rPr>
                <w:rFonts w:asciiTheme="minorHAnsi" w:eastAsiaTheme="minorEastAsia" w:hAnsiTheme="minorHAnsi" w:cstheme="minorBidi"/>
                <w:noProof/>
                <w:kern w:val="2"/>
                <w:sz w:val="24"/>
                <w:szCs w:val="24"/>
                <w:lang w:val="de-DE"/>
                <w14:ligatures w14:val="standardContextual"/>
              </w:rPr>
              <w:tab/>
            </w:r>
            <w:r>
              <w:rPr>
                <w:rStyle w:val="Hyperlink"/>
                <w:noProof/>
              </w:rPr>
              <w:t>Step 2: Selection of the Output Format</w:t>
            </w:r>
            <w:r>
              <w:rPr>
                <w:noProof/>
                <w:webHidden/>
              </w:rPr>
              <w:tab/>
            </w:r>
            <w:r>
              <w:rPr>
                <w:noProof/>
                <w:webHidden/>
              </w:rPr>
              <w:fldChar w:fldCharType="begin"/>
            </w:r>
            <w:r>
              <w:rPr>
                <w:noProof/>
                <w:webHidden/>
              </w:rPr>
              <w:instrText xml:space="preserve"> PAGEREF _Toc243650034 \h </w:instrText>
            </w:r>
            <w:r>
              <w:rPr>
                <w:noProof/>
                <w:webHidden/>
              </w:rPr>
            </w:r>
            <w:r>
              <w:rPr>
                <w:noProof/>
                <w:webHidden/>
              </w:rPr>
              <w:fldChar w:fldCharType="separate"/>
            </w:r>
            <w:r>
              <w:rPr>
                <w:noProof/>
                <w:webHidden/>
              </w:rPr>
              <w:t>4</w:t>
            </w:r>
            <w:r>
              <w:rPr>
                <w:noProof/>
                <w:webHidden/>
              </w:rPr>
              <w:fldChar w:fldCharType="end"/>
            </w:r>
          </w:hyperlink>
        </w:p>
        <w:p w14:paraId="50491DF4" w14:textId="1F464F2E">
          <w:pPr>
            <w:pStyle w:val="Verzeichnis2"/>
            <w:rPr>
              <w:rFonts w:asciiTheme="minorHAnsi" w:eastAsiaTheme="minorEastAsia" w:hAnsiTheme="minorHAnsi" w:cstheme="minorBidi"/>
              <w:noProof/>
              <w:kern w:val="2"/>
              <w:sz w:val="24"/>
              <w:szCs w:val="24"/>
              <w:lang w:val="de-DE"/>
              <w14:ligatures w14:val="standardContextual"/>
            </w:rPr>
          </w:pPr>
          <w:hyperlink w:anchor="_Toc243650035" w:history="1">
            <w:r>
              <w:rPr>
                <w:rStyle w:val="Hyperlink"/>
                <w:noProof/>
              </w:rPr>
              <w:t>2.3</w:t>
            </w:r>
            <w:r>
              <w:rPr>
                <w:rFonts w:asciiTheme="minorHAnsi" w:eastAsiaTheme="minorEastAsia" w:hAnsiTheme="minorHAnsi" w:cstheme="minorBidi"/>
                <w:noProof/>
                <w:kern w:val="2"/>
                <w:sz w:val="24"/>
                <w:szCs w:val="24"/>
                <w:lang w:val="de-DE"/>
                <w14:ligatures w14:val="standardContextual"/>
              </w:rPr>
              <w:tab/>
            </w:r>
            <w:r>
              <w:rPr>
                <w:rStyle w:val="Hyperlink"/>
                <w:noProof/>
              </w:rPr>
              <w:t>Step 3: Selection of the Data Basis for Dimensions and Items</w:t>
            </w:r>
            <w:r>
              <w:rPr>
                <w:noProof/>
                <w:webHidden/>
              </w:rPr>
              <w:tab/>
            </w:r>
            <w:r>
              <w:rPr>
                <w:noProof/>
                <w:webHidden/>
              </w:rPr>
              <w:fldChar w:fldCharType="begin"/>
            </w:r>
            <w:r>
              <w:rPr>
                <w:noProof/>
                <w:webHidden/>
              </w:rPr>
              <w:instrText xml:space="preserve"> PAGEREF _Toc243650035 \h </w:instrText>
            </w:r>
            <w:r>
              <w:rPr>
                <w:noProof/>
                <w:webHidden/>
              </w:rPr>
            </w:r>
            <w:r>
              <w:rPr>
                <w:noProof/>
                <w:webHidden/>
              </w:rPr>
              <w:fldChar w:fldCharType="separate"/>
            </w:r>
            <w:r>
              <w:rPr>
                <w:noProof/>
                <w:webHidden/>
              </w:rPr>
              <w:t>5</w:t>
            </w:r>
            <w:r>
              <w:rPr>
                <w:noProof/>
                <w:webHidden/>
              </w:rPr>
              <w:fldChar w:fldCharType="end"/>
            </w:r>
          </w:hyperlink>
        </w:p>
        <w:p w14:paraId="200EF6C7" w14:textId="46344977">
          <w:pPr>
            <w:pStyle w:val="Verzeichnis2"/>
            <w:rPr>
              <w:rFonts w:asciiTheme="minorHAnsi" w:eastAsiaTheme="minorEastAsia" w:hAnsiTheme="minorHAnsi" w:cstheme="minorBidi"/>
              <w:noProof/>
              <w:kern w:val="2"/>
              <w:sz w:val="24"/>
              <w:szCs w:val="24"/>
              <w:lang w:val="de-DE"/>
              <w14:ligatures w14:val="standardContextual"/>
            </w:rPr>
          </w:pPr>
          <w:hyperlink w:anchor="_Toc243650036" w:history="1">
            <w:r>
              <w:rPr>
                <w:rStyle w:val="Hyperlink"/>
                <w:noProof/>
              </w:rPr>
              <w:t>2.4</w:t>
            </w:r>
            <w:r>
              <w:rPr>
                <w:rFonts w:asciiTheme="minorHAnsi" w:eastAsiaTheme="minorEastAsia" w:hAnsiTheme="minorHAnsi" w:cstheme="minorBidi"/>
                <w:noProof/>
                <w:kern w:val="2"/>
                <w:sz w:val="24"/>
                <w:szCs w:val="24"/>
                <w:lang w:val="de-DE"/>
                <w14:ligatures w14:val="standardContextual"/>
              </w:rPr>
              <w:tab/>
            </w:r>
            <w:r>
              <w:rPr>
                <w:rStyle w:val="Hyperlink"/>
                <w:noProof/>
              </w:rPr>
              <w:t>Step 4: Definition of the Aggregation Logic</w:t>
            </w:r>
            <w:r>
              <w:rPr>
                <w:noProof/>
                <w:webHidden/>
              </w:rPr>
              <w:tab/>
            </w:r>
            <w:r>
              <w:rPr>
                <w:noProof/>
                <w:webHidden/>
              </w:rPr>
              <w:fldChar w:fldCharType="begin"/>
            </w:r>
            <w:r>
              <w:rPr>
                <w:noProof/>
                <w:webHidden/>
              </w:rPr>
              <w:instrText xml:space="preserve"> PAGEREF _Toc243650036 \h </w:instrText>
            </w:r>
            <w:r>
              <w:rPr>
                <w:noProof/>
                <w:webHidden/>
              </w:rPr>
            </w:r>
            <w:r>
              <w:rPr>
                <w:noProof/>
                <w:webHidden/>
              </w:rPr>
              <w:fldChar w:fldCharType="separate"/>
            </w:r>
            <w:r>
              <w:rPr>
                <w:noProof/>
                <w:webHidden/>
              </w:rPr>
              <w:t>6</w:t>
            </w:r>
            <w:r>
              <w:rPr>
                <w:noProof/>
                <w:webHidden/>
              </w:rPr>
              <w:fldChar w:fldCharType="end"/>
            </w:r>
          </w:hyperlink>
        </w:p>
        <w:p w14:paraId="791E01A9" w14:textId="32C56C5A">
          <w:pPr>
            <w:pStyle w:val="Verzeichnis2"/>
            <w:rPr>
              <w:rFonts w:asciiTheme="minorHAnsi" w:eastAsiaTheme="minorEastAsia" w:hAnsiTheme="minorHAnsi" w:cstheme="minorBidi"/>
              <w:noProof/>
              <w:kern w:val="2"/>
              <w:sz w:val="24"/>
              <w:szCs w:val="24"/>
              <w:lang w:val="de-DE"/>
              <w14:ligatures w14:val="standardContextual"/>
            </w:rPr>
          </w:pPr>
          <w:hyperlink w:anchor="_Toc243650037" w:history="1">
            <w:r>
              <w:rPr>
                <w:rStyle w:val="Hyperlink"/>
                <w:noProof/>
              </w:rPr>
              <w:t>2.5</w:t>
            </w:r>
            <w:r>
              <w:rPr>
                <w:rFonts w:asciiTheme="minorHAnsi" w:eastAsiaTheme="minorEastAsia" w:hAnsiTheme="minorHAnsi" w:cstheme="minorBidi"/>
                <w:noProof/>
                <w:kern w:val="2"/>
                <w:sz w:val="24"/>
                <w:szCs w:val="24"/>
                <w:lang w:val="de-DE"/>
                <w14:ligatures w14:val="standardContextual"/>
              </w:rPr>
              <w:tab/>
            </w:r>
            <w:r>
              <w:rPr>
                <w:rStyle w:val="Hyperlink"/>
                <w:noProof/>
              </w:rPr>
              <w:t>Step 5: Selection of Data Collection and Ingestion Mode</w:t>
            </w:r>
            <w:r>
              <w:rPr>
                <w:noProof/>
                <w:webHidden/>
              </w:rPr>
              <w:tab/>
            </w:r>
            <w:r>
              <w:rPr>
                <w:noProof/>
                <w:webHidden/>
              </w:rPr>
              <w:fldChar w:fldCharType="begin"/>
            </w:r>
            <w:r>
              <w:rPr>
                <w:noProof/>
                <w:webHidden/>
              </w:rPr>
              <w:instrText xml:space="preserve"> PAGEREF _Toc243650037 \h </w:instrText>
            </w:r>
            <w:r>
              <w:rPr>
                <w:noProof/>
                <w:webHidden/>
              </w:rPr>
            </w:r>
            <w:r>
              <w:rPr>
                <w:noProof/>
                <w:webHidden/>
              </w:rPr>
              <w:fldChar w:fldCharType="separate"/>
            </w:r>
            <w:r>
              <w:rPr>
                <w:noProof/>
                <w:webHidden/>
              </w:rPr>
              <w:t>7</w:t>
            </w:r>
            <w:r>
              <w:rPr>
                <w:noProof/>
                <w:webHidden/>
              </w:rPr>
              <w:fldChar w:fldCharType="end"/>
            </w:r>
          </w:hyperlink>
        </w:p>
        <w:p w14:paraId="0F32BAA4" w14:textId="0AE74977">
          <w:pPr>
            <w:pStyle w:val="Verzeichnis2"/>
            <w:rPr>
              <w:rFonts w:asciiTheme="minorHAnsi" w:eastAsiaTheme="minorEastAsia" w:hAnsiTheme="minorHAnsi" w:cstheme="minorBidi"/>
              <w:noProof/>
              <w:kern w:val="2"/>
              <w:sz w:val="24"/>
              <w:szCs w:val="24"/>
              <w:lang w:val="de-DE"/>
              <w14:ligatures w14:val="standardContextual"/>
            </w:rPr>
          </w:pPr>
          <w:hyperlink w:anchor="_Toc243650038" w:history="1">
            <w:r>
              <w:rPr>
                <w:rStyle w:val="Hyperlink"/>
                <w:noProof/>
              </w:rPr>
              <w:t>2.6</w:t>
            </w:r>
            <w:r>
              <w:rPr>
                <w:rFonts w:asciiTheme="minorHAnsi" w:eastAsiaTheme="minorEastAsia" w:hAnsiTheme="minorHAnsi" w:cstheme="minorBidi"/>
                <w:noProof/>
                <w:kern w:val="2"/>
                <w:sz w:val="24"/>
                <w:szCs w:val="24"/>
                <w:lang w:val="de-DE"/>
                <w14:ligatures w14:val="standardContextual"/>
              </w:rPr>
              <w:tab/>
            </w:r>
            <w:r>
              <w:rPr>
                <w:rStyle w:val="Hyperlink"/>
                <w:noProof/>
              </w:rPr>
              <w:t>Step 6: Development of the Interview Guide</w:t>
            </w:r>
            <w:r>
              <w:rPr>
                <w:noProof/>
                <w:webHidden/>
              </w:rPr>
              <w:tab/>
            </w:r>
            <w:r>
              <w:rPr>
                <w:noProof/>
                <w:webHidden/>
              </w:rPr>
              <w:fldChar w:fldCharType="begin"/>
            </w:r>
            <w:r>
              <w:rPr>
                <w:noProof/>
                <w:webHidden/>
              </w:rPr>
              <w:instrText xml:space="preserve"> PAGEREF _Toc243650038 \h </w:instrText>
            </w:r>
            <w:r>
              <w:rPr>
                <w:noProof/>
                <w:webHidden/>
              </w:rPr>
            </w:r>
            <w:r>
              <w:rPr>
                <w:noProof/>
                <w:webHidden/>
              </w:rPr>
              <w:fldChar w:fldCharType="separate"/>
            </w:r>
            <w:r>
              <w:rPr>
                <w:noProof/>
                <w:webHidden/>
              </w:rPr>
              <w:t>8</w:t>
            </w:r>
            <w:r>
              <w:rPr>
                <w:noProof/>
                <w:webHidden/>
              </w:rPr>
              <w:fldChar w:fldCharType="end"/>
            </w:r>
          </w:hyperlink>
        </w:p>
        <w:p w14:paraId="282EDE00" w14:textId="483404AA">
          <w:pPr>
            <w:pStyle w:val="Verzeichnis2"/>
            <w:rPr>
              <w:rFonts w:asciiTheme="minorHAnsi" w:eastAsiaTheme="minorEastAsia" w:hAnsiTheme="minorHAnsi" w:cstheme="minorBidi"/>
              <w:noProof/>
              <w:kern w:val="2"/>
              <w:sz w:val="24"/>
              <w:szCs w:val="24"/>
              <w:lang w:val="de-DE"/>
              <w14:ligatures w14:val="standardContextual"/>
            </w:rPr>
          </w:pPr>
          <w:hyperlink w:anchor="_Toc243650039" w:history="1">
            <w:r>
              <w:rPr>
                <w:rStyle w:val="Hyperlink"/>
                <w:noProof/>
              </w:rPr>
              <w:t>2.7</w:t>
            </w:r>
            <w:r>
              <w:rPr>
                <w:rFonts w:asciiTheme="minorHAnsi" w:eastAsiaTheme="minorEastAsia" w:hAnsiTheme="minorHAnsi" w:cstheme="minorBidi"/>
                <w:noProof/>
                <w:kern w:val="2"/>
                <w:sz w:val="24"/>
                <w:szCs w:val="24"/>
                <w:lang w:val="de-DE"/>
                <w14:ligatures w14:val="standardContextual"/>
              </w:rPr>
              <w:tab/>
            </w:r>
            <w:r>
              <w:rPr>
                <w:rStyle w:val="Hyperlink"/>
                <w:noProof/>
              </w:rPr>
              <w:t>Step 7: Derivation of Anchor Values</w:t>
            </w:r>
            <w:r>
              <w:rPr>
                <w:noProof/>
                <w:webHidden/>
              </w:rPr>
              <w:tab/>
            </w:r>
            <w:r>
              <w:rPr>
                <w:noProof/>
                <w:webHidden/>
              </w:rPr>
              <w:fldChar w:fldCharType="begin"/>
            </w:r>
            <w:r>
              <w:rPr>
                <w:noProof/>
                <w:webHidden/>
              </w:rPr>
              <w:instrText xml:space="preserve"> PAGEREF _Toc243650039 \h </w:instrText>
            </w:r>
            <w:r>
              <w:rPr>
                <w:noProof/>
                <w:webHidden/>
              </w:rPr>
            </w:r>
            <w:r>
              <w:rPr>
                <w:noProof/>
                <w:webHidden/>
              </w:rPr>
              <w:fldChar w:fldCharType="separate"/>
            </w:r>
            <w:r>
              <w:rPr>
                <w:noProof/>
                <w:webHidden/>
              </w:rPr>
              <w:t>9</w:t>
            </w:r>
            <w:r>
              <w:rPr>
                <w:noProof/>
                <w:webHidden/>
              </w:rPr>
              <w:fldChar w:fldCharType="end"/>
            </w:r>
          </w:hyperlink>
        </w:p>
        <w:p w14:paraId="29077739" w14:textId="39FF6358">
          <w:pPr>
            <w:pStyle w:val="Verzeichnis2"/>
            <w:rPr>
              <w:rFonts w:asciiTheme="minorHAnsi" w:eastAsiaTheme="minorEastAsia" w:hAnsiTheme="minorHAnsi" w:cstheme="minorBidi"/>
              <w:noProof/>
              <w:kern w:val="2"/>
              <w:sz w:val="24"/>
              <w:szCs w:val="24"/>
              <w:lang w:val="de-DE"/>
              <w14:ligatures w14:val="standardContextual"/>
            </w:rPr>
          </w:pPr>
          <w:hyperlink w:anchor="_Toc243650040" w:history="1">
            <w:r>
              <w:rPr>
                <w:rStyle w:val="Hyperlink"/>
                <w:noProof/>
              </w:rPr>
              <w:t>2.8</w:t>
            </w:r>
            <w:r>
              <w:rPr>
                <w:rFonts w:asciiTheme="minorHAnsi" w:eastAsiaTheme="minorEastAsia" w:hAnsiTheme="minorHAnsi" w:cstheme="minorBidi"/>
                <w:noProof/>
                <w:kern w:val="2"/>
                <w:sz w:val="24"/>
                <w:szCs w:val="24"/>
                <w:lang w:val="de-DE"/>
                <w14:ligatures w14:val="standardContextual"/>
              </w:rPr>
              <w:tab/>
            </w:r>
            <w:r>
              <w:rPr>
                <w:rStyle w:val="Hyperlink"/>
                <w:noProof/>
              </w:rPr>
              <w:t>Step 8: Set up of the Technical Infrastructure</w:t>
            </w:r>
            <w:r>
              <w:rPr>
                <w:noProof/>
                <w:webHidden/>
              </w:rPr>
              <w:tab/>
            </w:r>
            <w:r>
              <w:rPr>
                <w:noProof/>
                <w:webHidden/>
              </w:rPr>
              <w:fldChar w:fldCharType="begin"/>
            </w:r>
            <w:r>
              <w:rPr>
                <w:noProof/>
                <w:webHidden/>
              </w:rPr>
              <w:instrText xml:space="preserve"> PAGEREF _Toc243650040 \h </w:instrText>
            </w:r>
            <w:r>
              <w:rPr>
                <w:noProof/>
                <w:webHidden/>
              </w:rPr>
            </w:r>
            <w:r>
              <w:rPr>
                <w:noProof/>
                <w:webHidden/>
              </w:rPr>
              <w:fldChar w:fldCharType="separate"/>
            </w:r>
            <w:r>
              <w:rPr>
                <w:noProof/>
                <w:webHidden/>
              </w:rPr>
              <w:t>9</w:t>
            </w:r>
            <w:r>
              <w:rPr>
                <w:noProof/>
                <w:webHidden/>
              </w:rPr>
              <w:fldChar w:fldCharType="end"/>
            </w:r>
          </w:hyperlink>
        </w:p>
        <w:p w14:paraId="1E759BA7" w14:textId="4295E240">
          <w:pPr>
            <w:pStyle w:val="Verzeichnis2"/>
            <w:rPr>
              <w:rFonts w:asciiTheme="minorHAnsi" w:eastAsiaTheme="minorEastAsia" w:hAnsiTheme="minorHAnsi" w:cstheme="minorBidi"/>
              <w:noProof/>
              <w:kern w:val="2"/>
              <w:sz w:val="24"/>
              <w:szCs w:val="24"/>
              <w:lang w:val="de-DE"/>
              <w14:ligatures w14:val="standardContextual"/>
            </w:rPr>
          </w:pPr>
          <w:hyperlink w:anchor="_Toc243650041" w:history="1">
            <w:r>
              <w:rPr>
                <w:rStyle w:val="Hyperlink"/>
                <w:noProof/>
              </w:rPr>
              <w:t>2.9</w:t>
            </w:r>
            <w:r>
              <w:rPr>
                <w:rFonts w:asciiTheme="minorHAnsi" w:eastAsiaTheme="minorEastAsia" w:hAnsiTheme="minorHAnsi" w:cstheme="minorBidi"/>
                <w:noProof/>
                <w:kern w:val="2"/>
                <w:sz w:val="24"/>
                <w:szCs w:val="24"/>
                <w:lang w:val="de-DE"/>
                <w14:ligatures w14:val="standardContextual"/>
              </w:rPr>
              <w:tab/>
            </w:r>
            <w:r>
              <w:rPr>
                <w:rStyle w:val="Hyperlink"/>
                <w:noProof/>
              </w:rPr>
              <w:t>Step 9: Conducting the Data Collection</w:t>
            </w:r>
            <w:r>
              <w:rPr>
                <w:noProof/>
                <w:webHidden/>
              </w:rPr>
              <w:tab/>
            </w:r>
            <w:r>
              <w:rPr>
                <w:noProof/>
                <w:webHidden/>
              </w:rPr>
              <w:fldChar w:fldCharType="begin"/>
            </w:r>
            <w:r>
              <w:rPr>
                <w:noProof/>
                <w:webHidden/>
              </w:rPr>
              <w:instrText xml:space="preserve"> PAGEREF _Toc243650041 \h </w:instrText>
            </w:r>
            <w:r>
              <w:rPr>
                <w:noProof/>
                <w:webHidden/>
              </w:rPr>
            </w:r>
            <w:r>
              <w:rPr>
                <w:noProof/>
                <w:webHidden/>
              </w:rPr>
              <w:fldChar w:fldCharType="separate"/>
            </w:r>
            <w:r>
              <w:rPr>
                <w:noProof/>
                <w:webHidden/>
              </w:rPr>
              <w:t>11</w:t>
            </w:r>
            <w:r>
              <w:rPr>
                <w:noProof/>
                <w:webHidden/>
              </w:rPr>
              <w:fldChar w:fldCharType="end"/>
            </w:r>
          </w:hyperlink>
        </w:p>
        <w:p w14:paraId="20E11642" w14:textId="570F65CC">
          <w:pPr>
            <w:pStyle w:val="Verzeichnis2"/>
            <w:rPr>
              <w:rFonts w:asciiTheme="minorHAnsi" w:eastAsiaTheme="minorEastAsia" w:hAnsiTheme="minorHAnsi" w:cstheme="minorBidi"/>
              <w:noProof/>
              <w:kern w:val="2"/>
              <w:sz w:val="24"/>
              <w:szCs w:val="24"/>
              <w:lang w:val="de-DE"/>
              <w14:ligatures w14:val="standardContextual"/>
            </w:rPr>
          </w:pPr>
          <w:hyperlink w:anchor="_Toc243650042" w:history="1">
            <w:r>
              <w:rPr>
                <w:rStyle w:val="Hyperlink"/>
                <w:noProof/>
              </w:rPr>
              <w:t>2.10</w:t>
            </w:r>
            <w:r>
              <w:rPr>
                <w:rFonts w:asciiTheme="minorHAnsi" w:eastAsiaTheme="minorEastAsia" w:hAnsiTheme="minorHAnsi" w:cstheme="minorBidi"/>
                <w:noProof/>
                <w:kern w:val="2"/>
                <w:sz w:val="24"/>
                <w:szCs w:val="24"/>
                <w:lang w:val="de-DE"/>
                <w14:ligatures w14:val="standardContextual"/>
              </w:rPr>
              <w:tab/>
            </w:r>
            <w:r>
              <w:rPr>
                <w:rStyle w:val="Hyperlink"/>
                <w:noProof/>
              </w:rPr>
              <w:t>Step 10: Utilization and Interpretation of MAS Evaluation Results</w:t>
            </w:r>
            <w:r>
              <w:rPr>
                <w:noProof/>
                <w:webHidden/>
              </w:rPr>
              <w:tab/>
            </w:r>
            <w:r>
              <w:rPr>
                <w:noProof/>
                <w:webHidden/>
              </w:rPr>
              <w:fldChar w:fldCharType="begin"/>
            </w:r>
            <w:r>
              <w:rPr>
                <w:noProof/>
                <w:webHidden/>
              </w:rPr>
              <w:instrText xml:space="preserve"> PAGEREF _Toc243650042 \h </w:instrText>
            </w:r>
            <w:r>
              <w:rPr>
                <w:noProof/>
                <w:webHidden/>
              </w:rPr>
            </w:r>
            <w:r>
              <w:rPr>
                <w:noProof/>
                <w:webHidden/>
              </w:rPr>
              <w:fldChar w:fldCharType="separate"/>
            </w:r>
            <w:r>
              <w:rPr>
                <w:noProof/>
                <w:webHidden/>
              </w:rPr>
              <w:t>12</w:t>
            </w:r>
            <w:r>
              <w:rPr>
                <w:noProof/>
                <w:webHidden/>
              </w:rPr>
              <w:fldChar w:fldCharType="end"/>
            </w:r>
          </w:hyperlink>
        </w:p>
        <w:p w14:paraId="761FAB7A" w14:textId="0396B8E1">
          <w:pPr>
            <w:pStyle w:val="Verzeichnis1"/>
            <w:rPr>
              <w:rFonts w:asciiTheme="minorHAnsi" w:eastAsiaTheme="minorEastAsia" w:hAnsiTheme="minorHAnsi" w:cstheme="minorBidi"/>
              <w:bCs w:val="0"/>
              <w:noProof/>
              <w:kern w:val="2"/>
              <w:sz w:val="24"/>
              <w:lang w:val="de-DE"/>
              <w14:ligatures w14:val="standardContextual"/>
            </w:rPr>
          </w:pPr>
          <w:hyperlink w:anchor="_Toc243650043" w:history="1">
            <w:r>
              <w:rPr>
                <w:rStyle w:val="Hyperlink"/>
                <w:noProof/>
              </w:rPr>
              <w:t>3</w:t>
            </w:r>
            <w:r>
              <w:rPr>
                <w:rFonts w:asciiTheme="minorHAnsi" w:eastAsiaTheme="minorEastAsia" w:hAnsiTheme="minorHAnsi" w:cstheme="minorBidi"/>
                <w:bCs w:val="0"/>
                <w:noProof/>
                <w:kern w:val="2"/>
                <w:sz w:val="24"/>
                <w:lang w:val="de-DE"/>
                <w14:ligatures w14:val="standardContextual"/>
              </w:rPr>
              <w:tab/>
            </w:r>
            <w:r>
              <w:rPr>
                <w:rStyle w:val="Hyperlink"/>
                <w:noProof/>
              </w:rPr>
              <w:t>Detailed Explanation of the Framework</w:t>
            </w:r>
            <w:r>
              <w:rPr>
                <w:noProof/>
                <w:webHidden/>
              </w:rPr>
              <w:tab/>
            </w:r>
            <w:r>
              <w:rPr>
                <w:noProof/>
                <w:webHidden/>
              </w:rPr>
              <w:fldChar w:fldCharType="begin"/>
            </w:r>
            <w:r>
              <w:rPr>
                <w:noProof/>
                <w:webHidden/>
              </w:rPr>
              <w:instrText xml:space="preserve"> PAGEREF _Toc243650043 \h </w:instrText>
            </w:r>
            <w:r>
              <w:rPr>
                <w:noProof/>
                <w:webHidden/>
              </w:rPr>
            </w:r>
            <w:r>
              <w:rPr>
                <w:noProof/>
                <w:webHidden/>
              </w:rPr>
              <w:fldChar w:fldCharType="separate"/>
            </w:r>
            <w:r>
              <w:rPr>
                <w:noProof/>
                <w:webHidden/>
              </w:rPr>
              <w:t>14</w:t>
            </w:r>
            <w:r>
              <w:rPr>
                <w:noProof/>
                <w:webHidden/>
              </w:rPr>
              <w:fldChar w:fldCharType="end"/>
            </w:r>
          </w:hyperlink>
        </w:p>
        <w:p w14:paraId="38026ECB" w14:textId="3D5BAE27">
          <w:pPr>
            <w:pStyle w:val="Verzeichnis2"/>
            <w:rPr>
              <w:rFonts w:asciiTheme="minorHAnsi" w:eastAsiaTheme="minorEastAsia" w:hAnsiTheme="minorHAnsi" w:cstheme="minorBidi"/>
              <w:noProof/>
              <w:kern w:val="2"/>
              <w:sz w:val="24"/>
              <w:szCs w:val="24"/>
              <w:lang w:val="de-DE"/>
              <w14:ligatures w14:val="standardContextual"/>
            </w:rPr>
          </w:pPr>
          <w:hyperlink w:anchor="_Toc243650044" w:history="1">
            <w:r>
              <w:rPr>
                <w:rStyle w:val="Hyperlink"/>
                <w:noProof/>
              </w:rPr>
              <w:t>3.1</w:t>
            </w:r>
            <w:r>
              <w:rPr>
                <w:rFonts w:asciiTheme="minorHAnsi" w:eastAsiaTheme="minorEastAsia" w:hAnsiTheme="minorHAnsi" w:cstheme="minorBidi"/>
                <w:noProof/>
                <w:kern w:val="2"/>
                <w:sz w:val="24"/>
                <w:szCs w:val="24"/>
                <w:lang w:val="de-DE"/>
                <w14:ligatures w14:val="standardContextual"/>
              </w:rPr>
              <w:tab/>
            </w:r>
            <w:r>
              <w:rPr>
                <w:rStyle w:val="Hyperlink"/>
                <w:noProof/>
              </w:rPr>
              <w:t>Step 1: Selection of the Latent Construct</w:t>
            </w:r>
            <w:r>
              <w:rPr>
                <w:noProof/>
                <w:webHidden/>
              </w:rPr>
              <w:tab/>
            </w:r>
            <w:r>
              <w:rPr>
                <w:noProof/>
                <w:webHidden/>
              </w:rPr>
              <w:fldChar w:fldCharType="begin"/>
            </w:r>
            <w:r>
              <w:rPr>
                <w:noProof/>
                <w:webHidden/>
              </w:rPr>
              <w:instrText xml:space="preserve"> PAGEREF _Toc243650044 \h </w:instrText>
            </w:r>
            <w:r>
              <w:rPr>
                <w:noProof/>
                <w:webHidden/>
              </w:rPr>
            </w:r>
            <w:r>
              <w:rPr>
                <w:noProof/>
                <w:webHidden/>
              </w:rPr>
              <w:fldChar w:fldCharType="separate"/>
            </w:r>
            <w:r>
              <w:rPr>
                <w:noProof/>
                <w:webHidden/>
              </w:rPr>
              <w:t>14</w:t>
            </w:r>
            <w:r>
              <w:rPr>
                <w:noProof/>
                <w:webHidden/>
              </w:rPr>
              <w:fldChar w:fldCharType="end"/>
            </w:r>
          </w:hyperlink>
        </w:p>
        <w:p w14:paraId="506124CE" w14:textId="66F757E9">
          <w:pPr>
            <w:pStyle w:val="Verzeichnis2"/>
            <w:rPr>
              <w:rFonts w:asciiTheme="minorHAnsi" w:eastAsiaTheme="minorEastAsia" w:hAnsiTheme="minorHAnsi" w:cstheme="minorBidi"/>
              <w:noProof/>
              <w:kern w:val="2"/>
              <w:sz w:val="24"/>
              <w:szCs w:val="24"/>
              <w:lang w:val="de-DE"/>
              <w14:ligatures w14:val="standardContextual"/>
            </w:rPr>
          </w:pPr>
          <w:hyperlink w:anchor="_Toc243650045" w:history="1">
            <w:r>
              <w:rPr>
                <w:rStyle w:val="Hyperlink"/>
                <w:noProof/>
              </w:rPr>
              <w:t>3.2</w:t>
            </w:r>
            <w:r>
              <w:rPr>
                <w:rFonts w:asciiTheme="minorHAnsi" w:eastAsiaTheme="minorEastAsia" w:hAnsiTheme="minorHAnsi" w:cstheme="minorBidi"/>
                <w:noProof/>
                <w:kern w:val="2"/>
                <w:sz w:val="24"/>
                <w:szCs w:val="24"/>
                <w:lang w:val="de-DE"/>
                <w14:ligatures w14:val="standardContextual"/>
              </w:rPr>
              <w:tab/>
            </w:r>
            <w:r>
              <w:rPr>
                <w:rStyle w:val="Hyperlink"/>
                <w:noProof/>
              </w:rPr>
              <w:t>Step 2: Selection of the Output Format</w:t>
            </w:r>
            <w:r>
              <w:rPr>
                <w:noProof/>
                <w:webHidden/>
              </w:rPr>
              <w:tab/>
            </w:r>
            <w:r>
              <w:rPr>
                <w:noProof/>
                <w:webHidden/>
              </w:rPr>
              <w:fldChar w:fldCharType="begin"/>
            </w:r>
            <w:r>
              <w:rPr>
                <w:noProof/>
                <w:webHidden/>
              </w:rPr>
              <w:instrText xml:space="preserve"> PAGEREF _Toc243650045 \h </w:instrText>
            </w:r>
            <w:r>
              <w:rPr>
                <w:noProof/>
                <w:webHidden/>
              </w:rPr>
            </w:r>
            <w:r>
              <w:rPr>
                <w:noProof/>
                <w:webHidden/>
              </w:rPr>
              <w:fldChar w:fldCharType="separate"/>
            </w:r>
            <w:r>
              <w:rPr>
                <w:noProof/>
                <w:webHidden/>
              </w:rPr>
              <w:t>15</w:t>
            </w:r>
            <w:r>
              <w:rPr>
                <w:noProof/>
                <w:webHidden/>
              </w:rPr>
              <w:fldChar w:fldCharType="end"/>
            </w:r>
          </w:hyperlink>
        </w:p>
        <w:p w14:paraId="39CDE27B" w14:textId="748075CF">
          <w:pPr>
            <w:pStyle w:val="Verzeichnis2"/>
            <w:rPr>
              <w:rFonts w:asciiTheme="minorHAnsi" w:eastAsiaTheme="minorEastAsia" w:hAnsiTheme="minorHAnsi" w:cstheme="minorBidi"/>
              <w:noProof/>
              <w:kern w:val="2"/>
              <w:sz w:val="24"/>
              <w:szCs w:val="24"/>
              <w:lang w:val="de-DE"/>
              <w14:ligatures w14:val="standardContextual"/>
            </w:rPr>
          </w:pPr>
          <w:hyperlink w:anchor="_Toc243650046" w:history="1">
            <w:r>
              <w:rPr>
                <w:rStyle w:val="Hyperlink"/>
                <w:noProof/>
              </w:rPr>
              <w:t>3.3</w:t>
            </w:r>
            <w:r>
              <w:rPr>
                <w:rFonts w:asciiTheme="minorHAnsi" w:eastAsiaTheme="minorEastAsia" w:hAnsiTheme="minorHAnsi" w:cstheme="minorBidi"/>
                <w:noProof/>
                <w:kern w:val="2"/>
                <w:sz w:val="24"/>
                <w:szCs w:val="24"/>
                <w:lang w:val="de-DE"/>
                <w14:ligatures w14:val="standardContextual"/>
              </w:rPr>
              <w:tab/>
            </w:r>
            <w:r>
              <w:rPr>
                <w:rStyle w:val="Hyperlink"/>
                <w:noProof/>
              </w:rPr>
              <w:t>Step 3: Selection of the Data Basis for Dimensions and Items</w:t>
            </w:r>
            <w:r>
              <w:rPr>
                <w:noProof/>
                <w:webHidden/>
              </w:rPr>
              <w:tab/>
            </w:r>
            <w:r>
              <w:rPr>
                <w:noProof/>
                <w:webHidden/>
              </w:rPr>
              <w:fldChar w:fldCharType="begin"/>
            </w:r>
            <w:r>
              <w:rPr>
                <w:noProof/>
                <w:webHidden/>
              </w:rPr>
              <w:instrText xml:space="preserve"> PAGEREF _Toc243650046 \h </w:instrText>
            </w:r>
            <w:r>
              <w:rPr>
                <w:noProof/>
                <w:webHidden/>
              </w:rPr>
            </w:r>
            <w:r>
              <w:rPr>
                <w:noProof/>
                <w:webHidden/>
              </w:rPr>
              <w:fldChar w:fldCharType="separate"/>
            </w:r>
            <w:r>
              <w:rPr>
                <w:noProof/>
                <w:webHidden/>
              </w:rPr>
              <w:t>16</w:t>
            </w:r>
            <w:r>
              <w:rPr>
                <w:noProof/>
                <w:webHidden/>
              </w:rPr>
              <w:fldChar w:fldCharType="end"/>
            </w:r>
          </w:hyperlink>
        </w:p>
        <w:p w14:paraId="2A7654E3" w14:textId="1DE6C5A7">
          <w:pPr>
            <w:pStyle w:val="Verzeichnis2"/>
            <w:rPr>
              <w:rFonts w:asciiTheme="minorHAnsi" w:eastAsiaTheme="minorEastAsia" w:hAnsiTheme="minorHAnsi" w:cstheme="minorBidi"/>
              <w:noProof/>
              <w:kern w:val="2"/>
              <w:sz w:val="24"/>
              <w:szCs w:val="24"/>
              <w:lang w:val="de-DE"/>
              <w14:ligatures w14:val="standardContextual"/>
            </w:rPr>
          </w:pPr>
          <w:hyperlink w:anchor="_Toc243650047" w:history="1">
            <w:r>
              <w:rPr>
                <w:rStyle w:val="Hyperlink"/>
                <w:noProof/>
              </w:rPr>
              <w:t>3.4</w:t>
            </w:r>
            <w:r>
              <w:rPr>
                <w:rFonts w:asciiTheme="minorHAnsi" w:eastAsiaTheme="minorEastAsia" w:hAnsiTheme="minorHAnsi" w:cstheme="minorBidi"/>
                <w:noProof/>
                <w:kern w:val="2"/>
                <w:sz w:val="24"/>
                <w:szCs w:val="24"/>
                <w:lang w:val="de-DE"/>
                <w14:ligatures w14:val="standardContextual"/>
              </w:rPr>
              <w:tab/>
            </w:r>
            <w:r>
              <w:rPr>
                <w:rStyle w:val="Hyperlink"/>
                <w:noProof/>
              </w:rPr>
              <w:t>Step 4: Definition of the Aggregation Logic</w:t>
            </w:r>
            <w:r>
              <w:rPr>
                <w:noProof/>
                <w:webHidden/>
              </w:rPr>
              <w:tab/>
            </w:r>
            <w:r>
              <w:rPr>
                <w:noProof/>
                <w:webHidden/>
              </w:rPr>
              <w:fldChar w:fldCharType="begin"/>
            </w:r>
            <w:r>
              <w:rPr>
                <w:noProof/>
                <w:webHidden/>
              </w:rPr>
              <w:instrText xml:space="preserve"> PAGEREF _Toc243650047 \h </w:instrText>
            </w:r>
            <w:r>
              <w:rPr>
                <w:noProof/>
                <w:webHidden/>
              </w:rPr>
            </w:r>
            <w:r>
              <w:rPr>
                <w:noProof/>
                <w:webHidden/>
              </w:rPr>
              <w:fldChar w:fldCharType="separate"/>
            </w:r>
            <w:r>
              <w:rPr>
                <w:noProof/>
                <w:webHidden/>
              </w:rPr>
              <w:t>19</w:t>
            </w:r>
            <w:r>
              <w:rPr>
                <w:noProof/>
                <w:webHidden/>
              </w:rPr>
              <w:fldChar w:fldCharType="end"/>
            </w:r>
          </w:hyperlink>
        </w:p>
        <w:p w14:paraId="18A357E4" w14:textId="66DF1248">
          <w:pPr>
            <w:pStyle w:val="Verzeichnis2"/>
            <w:rPr>
              <w:rFonts w:asciiTheme="minorHAnsi" w:eastAsiaTheme="minorEastAsia" w:hAnsiTheme="minorHAnsi" w:cstheme="minorBidi"/>
              <w:noProof/>
              <w:kern w:val="2"/>
              <w:sz w:val="24"/>
              <w:szCs w:val="24"/>
              <w:lang w:val="de-DE"/>
              <w14:ligatures w14:val="standardContextual"/>
            </w:rPr>
          </w:pPr>
          <w:hyperlink w:anchor="_Toc243650048" w:history="1">
            <w:r>
              <w:rPr>
                <w:rStyle w:val="Hyperlink"/>
                <w:noProof/>
              </w:rPr>
              <w:t>3.5</w:t>
            </w:r>
            <w:r>
              <w:rPr>
                <w:rFonts w:asciiTheme="minorHAnsi" w:eastAsiaTheme="minorEastAsia" w:hAnsiTheme="minorHAnsi" w:cstheme="minorBidi"/>
                <w:noProof/>
                <w:kern w:val="2"/>
                <w:sz w:val="24"/>
                <w:szCs w:val="24"/>
                <w:lang w:val="de-DE"/>
                <w14:ligatures w14:val="standardContextual"/>
              </w:rPr>
              <w:tab/>
            </w:r>
            <w:r>
              <w:rPr>
                <w:rStyle w:val="Hyperlink"/>
                <w:noProof/>
              </w:rPr>
              <w:t>Step 5: Selection of Data Collection and Ingestion Mode</w:t>
            </w:r>
            <w:r>
              <w:rPr>
                <w:noProof/>
                <w:webHidden/>
              </w:rPr>
              <w:tab/>
            </w:r>
            <w:r>
              <w:rPr>
                <w:noProof/>
                <w:webHidden/>
              </w:rPr>
              <w:fldChar w:fldCharType="begin"/>
            </w:r>
            <w:r>
              <w:rPr>
                <w:noProof/>
                <w:webHidden/>
              </w:rPr>
              <w:instrText xml:space="preserve"> PAGEREF _Toc243650048 \h </w:instrText>
            </w:r>
            <w:r>
              <w:rPr>
                <w:noProof/>
                <w:webHidden/>
              </w:rPr>
            </w:r>
            <w:r>
              <w:rPr>
                <w:noProof/>
                <w:webHidden/>
              </w:rPr>
              <w:fldChar w:fldCharType="separate"/>
            </w:r>
            <w:r>
              <w:rPr>
                <w:noProof/>
                <w:webHidden/>
              </w:rPr>
              <w:t>22</w:t>
            </w:r>
            <w:r>
              <w:rPr>
                <w:noProof/>
                <w:webHidden/>
              </w:rPr>
              <w:fldChar w:fldCharType="end"/>
            </w:r>
          </w:hyperlink>
        </w:p>
        <w:p w14:paraId="4D6F8DFC" w14:textId="5D276ABB">
          <w:pPr>
            <w:pStyle w:val="Verzeichnis2"/>
            <w:rPr>
              <w:rFonts w:asciiTheme="minorHAnsi" w:eastAsiaTheme="minorEastAsia" w:hAnsiTheme="minorHAnsi" w:cstheme="minorBidi"/>
              <w:noProof/>
              <w:kern w:val="2"/>
              <w:sz w:val="24"/>
              <w:szCs w:val="24"/>
              <w:lang w:val="de-DE"/>
              <w14:ligatures w14:val="standardContextual"/>
            </w:rPr>
          </w:pPr>
          <w:hyperlink w:anchor="_Toc243650049" w:history="1">
            <w:r>
              <w:rPr>
                <w:rStyle w:val="Hyperlink"/>
                <w:noProof/>
              </w:rPr>
              <w:t>3.6</w:t>
            </w:r>
            <w:r>
              <w:rPr>
                <w:rFonts w:asciiTheme="minorHAnsi" w:eastAsiaTheme="minorEastAsia" w:hAnsiTheme="minorHAnsi" w:cstheme="minorBidi"/>
                <w:noProof/>
                <w:kern w:val="2"/>
                <w:sz w:val="24"/>
                <w:szCs w:val="24"/>
                <w:lang w:val="de-DE"/>
                <w14:ligatures w14:val="standardContextual"/>
              </w:rPr>
              <w:tab/>
            </w:r>
            <w:r>
              <w:rPr>
                <w:rStyle w:val="Hyperlink"/>
                <w:noProof/>
              </w:rPr>
              <w:t>Step 6: Development of the Interview Guide</w:t>
            </w:r>
            <w:r>
              <w:rPr>
                <w:noProof/>
                <w:webHidden/>
              </w:rPr>
              <w:tab/>
            </w:r>
            <w:r>
              <w:rPr>
                <w:noProof/>
                <w:webHidden/>
              </w:rPr>
              <w:fldChar w:fldCharType="begin"/>
            </w:r>
            <w:r>
              <w:rPr>
                <w:noProof/>
                <w:webHidden/>
              </w:rPr>
              <w:instrText xml:space="preserve"> PAGEREF _Toc243650049 \h </w:instrText>
            </w:r>
            <w:r>
              <w:rPr>
                <w:noProof/>
                <w:webHidden/>
              </w:rPr>
            </w:r>
            <w:r>
              <w:rPr>
                <w:noProof/>
                <w:webHidden/>
              </w:rPr>
              <w:fldChar w:fldCharType="separate"/>
            </w:r>
            <w:r>
              <w:rPr>
                <w:noProof/>
                <w:webHidden/>
              </w:rPr>
              <w:t>25</w:t>
            </w:r>
            <w:r>
              <w:rPr>
                <w:noProof/>
                <w:webHidden/>
              </w:rPr>
              <w:fldChar w:fldCharType="end"/>
            </w:r>
          </w:hyperlink>
        </w:p>
        <w:p w14:paraId="4BA6D350" w14:textId="61178F25">
          <w:pPr>
            <w:pStyle w:val="Verzeichnis2"/>
            <w:rPr>
              <w:rFonts w:asciiTheme="minorHAnsi" w:eastAsiaTheme="minorEastAsia" w:hAnsiTheme="minorHAnsi" w:cstheme="minorBidi"/>
              <w:noProof/>
              <w:kern w:val="2"/>
              <w:sz w:val="24"/>
              <w:szCs w:val="24"/>
              <w:lang w:val="de-DE"/>
              <w14:ligatures w14:val="standardContextual"/>
            </w:rPr>
          </w:pPr>
          <w:hyperlink w:anchor="_Toc243650050" w:history="1">
            <w:r>
              <w:rPr>
                <w:rStyle w:val="Hyperlink"/>
                <w:rFonts w:ascii="Times New Roman" w:hAnsi="Times New Roman"/>
                <w:noProof/>
              </w:rPr>
              <w:t>3.7</w:t>
            </w:r>
            <w:r>
              <w:rPr>
                <w:rFonts w:asciiTheme="minorHAnsi" w:eastAsiaTheme="minorEastAsia" w:hAnsiTheme="minorHAnsi" w:cstheme="minorBidi"/>
                <w:noProof/>
                <w:kern w:val="2"/>
                <w:sz w:val="24"/>
                <w:szCs w:val="24"/>
                <w:lang w:val="de-DE"/>
                <w14:ligatures w14:val="standardContextual"/>
              </w:rPr>
              <w:tab/>
            </w:r>
            <w:r>
              <w:rPr>
                <w:rStyle w:val="Hyperlink"/>
                <w:noProof/>
              </w:rPr>
              <w:t>Step 7: Derivation of Anchor Values</w:t>
            </w:r>
            <w:r>
              <w:rPr>
                <w:noProof/>
                <w:webHidden/>
              </w:rPr>
              <w:tab/>
            </w:r>
            <w:r>
              <w:rPr>
                <w:noProof/>
                <w:webHidden/>
              </w:rPr>
              <w:fldChar w:fldCharType="begin"/>
            </w:r>
            <w:r>
              <w:rPr>
                <w:noProof/>
                <w:webHidden/>
              </w:rPr>
              <w:instrText xml:space="preserve"> PAGEREF _Toc243650050 \h </w:instrText>
            </w:r>
            <w:r>
              <w:rPr>
                <w:noProof/>
                <w:webHidden/>
              </w:rPr>
            </w:r>
            <w:r>
              <w:rPr>
                <w:noProof/>
                <w:webHidden/>
              </w:rPr>
              <w:fldChar w:fldCharType="separate"/>
            </w:r>
            <w:r>
              <w:rPr>
                <w:noProof/>
                <w:webHidden/>
              </w:rPr>
              <w:t>30</w:t>
            </w:r>
            <w:r>
              <w:rPr>
                <w:noProof/>
                <w:webHidden/>
              </w:rPr>
              <w:fldChar w:fldCharType="end"/>
            </w:r>
          </w:hyperlink>
        </w:p>
        <w:p w14:paraId="5A058AF0" w14:textId="01FB189A">
          <w:pPr>
            <w:pStyle w:val="Verzeichnis2"/>
            <w:rPr>
              <w:rFonts w:asciiTheme="minorHAnsi" w:eastAsiaTheme="minorEastAsia" w:hAnsiTheme="minorHAnsi" w:cstheme="minorBidi"/>
              <w:noProof/>
              <w:kern w:val="2"/>
              <w:sz w:val="24"/>
              <w:szCs w:val="24"/>
              <w:lang w:val="de-DE"/>
              <w14:ligatures w14:val="standardContextual"/>
            </w:rPr>
          </w:pPr>
          <w:hyperlink w:anchor="_Toc243650051" w:history="1">
            <w:r>
              <w:rPr>
                <w:rStyle w:val="Hyperlink"/>
                <w:rFonts w:ascii="Times New Roman" w:hAnsi="Times New Roman"/>
                <w:noProof/>
              </w:rPr>
              <w:t>3.8</w:t>
            </w:r>
            <w:r>
              <w:rPr>
                <w:rFonts w:asciiTheme="minorHAnsi" w:eastAsiaTheme="minorEastAsia" w:hAnsiTheme="minorHAnsi" w:cstheme="minorBidi"/>
                <w:noProof/>
                <w:kern w:val="2"/>
                <w:sz w:val="24"/>
                <w:szCs w:val="24"/>
                <w:lang w:val="de-DE"/>
                <w14:ligatures w14:val="standardContextual"/>
              </w:rPr>
              <w:tab/>
            </w:r>
            <w:r>
              <w:rPr>
                <w:rStyle w:val="Hyperlink"/>
                <w:noProof/>
              </w:rPr>
              <w:t>Step 8: Set up of the Technical Infrastructure</w:t>
            </w:r>
            <w:r>
              <w:rPr>
                <w:noProof/>
                <w:webHidden/>
              </w:rPr>
              <w:tab/>
            </w:r>
            <w:r>
              <w:rPr>
                <w:noProof/>
                <w:webHidden/>
              </w:rPr>
              <w:fldChar w:fldCharType="begin"/>
            </w:r>
            <w:r>
              <w:rPr>
                <w:noProof/>
                <w:webHidden/>
              </w:rPr>
              <w:instrText xml:space="preserve"> PAGEREF _Toc243650051 \h </w:instrText>
            </w:r>
            <w:r>
              <w:rPr>
                <w:noProof/>
                <w:webHidden/>
              </w:rPr>
            </w:r>
            <w:r>
              <w:rPr>
                <w:noProof/>
                <w:webHidden/>
              </w:rPr>
              <w:fldChar w:fldCharType="separate"/>
            </w:r>
            <w:r>
              <w:rPr>
                <w:noProof/>
                <w:webHidden/>
              </w:rPr>
              <w:t>32</w:t>
            </w:r>
            <w:r>
              <w:rPr>
                <w:noProof/>
                <w:webHidden/>
              </w:rPr>
              <w:fldChar w:fldCharType="end"/>
            </w:r>
          </w:hyperlink>
        </w:p>
        <w:p w14:paraId="21B00217" w14:textId="1C4DB1E1">
          <w:pPr>
            <w:pStyle w:val="Verzeichnis2"/>
            <w:rPr>
              <w:rFonts w:asciiTheme="minorHAnsi" w:eastAsiaTheme="minorEastAsia" w:hAnsiTheme="minorHAnsi" w:cstheme="minorBidi"/>
              <w:noProof/>
              <w:kern w:val="2"/>
              <w:sz w:val="24"/>
              <w:szCs w:val="24"/>
              <w:lang w:val="de-DE"/>
              <w14:ligatures w14:val="standardContextual"/>
            </w:rPr>
          </w:pPr>
          <w:hyperlink w:anchor="_Toc243650052" w:history="1">
            <w:r>
              <w:rPr>
                <w:rStyle w:val="Hyperlink"/>
                <w:rFonts w:ascii="Times New Roman" w:hAnsi="Times New Roman"/>
                <w:noProof/>
              </w:rPr>
              <w:t>3.9</w:t>
            </w:r>
            <w:r>
              <w:rPr>
                <w:rFonts w:asciiTheme="minorHAnsi" w:eastAsiaTheme="minorEastAsia" w:hAnsiTheme="minorHAnsi" w:cstheme="minorBidi"/>
                <w:noProof/>
                <w:kern w:val="2"/>
                <w:sz w:val="24"/>
                <w:szCs w:val="24"/>
                <w:lang w:val="de-DE"/>
                <w14:ligatures w14:val="standardContextual"/>
              </w:rPr>
              <w:tab/>
            </w:r>
            <w:r>
              <w:rPr>
                <w:rStyle w:val="Hyperlink"/>
                <w:noProof/>
              </w:rPr>
              <w:t>Step 9: Conducting the Data Collection</w:t>
            </w:r>
            <w:r>
              <w:rPr>
                <w:noProof/>
                <w:webHidden/>
              </w:rPr>
              <w:tab/>
            </w:r>
            <w:r>
              <w:rPr>
                <w:noProof/>
                <w:webHidden/>
              </w:rPr>
              <w:fldChar w:fldCharType="begin"/>
            </w:r>
            <w:r>
              <w:rPr>
                <w:noProof/>
                <w:webHidden/>
              </w:rPr>
              <w:instrText xml:space="preserve"> PAGEREF _Toc243650052 \h </w:instrText>
            </w:r>
            <w:r>
              <w:rPr>
                <w:noProof/>
                <w:webHidden/>
              </w:rPr>
            </w:r>
            <w:r>
              <w:rPr>
                <w:noProof/>
                <w:webHidden/>
              </w:rPr>
              <w:fldChar w:fldCharType="separate"/>
            </w:r>
            <w:r>
              <w:rPr>
                <w:noProof/>
                <w:webHidden/>
              </w:rPr>
              <w:t>37</w:t>
            </w:r>
            <w:r>
              <w:rPr>
                <w:noProof/>
                <w:webHidden/>
              </w:rPr>
              <w:fldChar w:fldCharType="end"/>
            </w:r>
          </w:hyperlink>
        </w:p>
        <w:p w14:paraId="784CEB38" w14:textId="0397BB1D">
          <w:pPr>
            <w:pStyle w:val="Verzeichnis2"/>
            <w:rPr>
              <w:rFonts w:asciiTheme="minorHAnsi" w:eastAsiaTheme="minorEastAsia" w:hAnsiTheme="minorHAnsi" w:cstheme="minorBidi"/>
              <w:noProof/>
              <w:kern w:val="2"/>
              <w:sz w:val="24"/>
              <w:szCs w:val="24"/>
              <w:lang w:val="de-DE"/>
              <w14:ligatures w14:val="standardContextual"/>
            </w:rPr>
          </w:pPr>
          <w:hyperlink w:anchor="_Toc243650053" w:history="1">
            <w:r>
              <w:rPr>
                <w:rStyle w:val="Hyperlink"/>
                <w:noProof/>
              </w:rPr>
              <w:t>3.10</w:t>
            </w:r>
            <w:r>
              <w:rPr>
                <w:rFonts w:asciiTheme="minorHAnsi" w:eastAsiaTheme="minorEastAsia" w:hAnsiTheme="minorHAnsi" w:cstheme="minorBidi"/>
                <w:noProof/>
                <w:kern w:val="2"/>
                <w:sz w:val="24"/>
                <w:szCs w:val="24"/>
                <w:lang w:val="de-DE"/>
                <w14:ligatures w14:val="standardContextual"/>
              </w:rPr>
              <w:tab/>
            </w:r>
            <w:r>
              <w:rPr>
                <w:rStyle w:val="Hyperlink"/>
                <w:noProof/>
              </w:rPr>
              <w:t>Step 10: Utilization and Interpretation of MAS Evaluation Results</w:t>
            </w:r>
            <w:r>
              <w:rPr>
                <w:noProof/>
                <w:webHidden/>
              </w:rPr>
              <w:tab/>
            </w:r>
            <w:r>
              <w:rPr>
                <w:noProof/>
                <w:webHidden/>
              </w:rPr>
              <w:fldChar w:fldCharType="begin"/>
            </w:r>
            <w:r>
              <w:rPr>
                <w:noProof/>
                <w:webHidden/>
              </w:rPr>
              <w:instrText xml:space="preserve"> PAGEREF _Toc243650053 \h </w:instrText>
            </w:r>
            <w:r>
              <w:rPr>
                <w:noProof/>
                <w:webHidden/>
              </w:rPr>
            </w:r>
            <w:r>
              <w:rPr>
                <w:noProof/>
                <w:webHidden/>
              </w:rPr>
              <w:fldChar w:fldCharType="separate"/>
            </w:r>
            <w:r>
              <w:rPr>
                <w:noProof/>
                <w:webHidden/>
              </w:rPr>
              <w:t>39</w:t>
            </w:r>
            <w:r>
              <w:rPr>
                <w:noProof/>
                <w:webHidden/>
              </w:rPr>
              <w:fldChar w:fldCharType="end"/>
            </w:r>
          </w:hyperlink>
        </w:p>
        <w:p w14:paraId="39E8AC65" w14:textId="51BF1036">
          <w:pPr>
            <w:pStyle w:val="Verzeichnis1"/>
            <w:rPr>
              <w:rFonts w:asciiTheme="minorHAnsi" w:eastAsiaTheme="minorEastAsia" w:hAnsiTheme="minorHAnsi" w:cstheme="minorBidi"/>
              <w:bCs w:val="0"/>
              <w:noProof/>
              <w:kern w:val="2"/>
              <w:sz w:val="24"/>
              <w:lang w:val="de-DE"/>
              <w14:ligatures w14:val="standardContextual"/>
            </w:rPr>
          </w:pPr>
          <w:hyperlink w:anchor="_Toc243650054" w:history="1">
            <w:r>
              <w:rPr>
                <w:rStyle w:val="Hyperlink"/>
                <w:noProof/>
              </w:rPr>
              <w:t>References</w:t>
            </w:r>
            <w:r>
              <w:rPr>
                <w:noProof/>
                <w:webHidden/>
              </w:rPr>
              <w:tab/>
            </w:r>
            <w:r>
              <w:rPr>
                <w:noProof/>
                <w:webHidden/>
              </w:rPr>
              <w:fldChar w:fldCharType="begin"/>
            </w:r>
            <w:r>
              <w:rPr>
                <w:noProof/>
                <w:webHidden/>
              </w:rPr>
              <w:instrText xml:space="preserve"> PAGEREF _Toc243650054 \h </w:instrText>
            </w:r>
            <w:r>
              <w:rPr>
                <w:noProof/>
                <w:webHidden/>
              </w:rPr>
            </w:r>
            <w:r>
              <w:rPr>
                <w:noProof/>
                <w:webHidden/>
              </w:rPr>
              <w:fldChar w:fldCharType="separate"/>
            </w:r>
            <w:r>
              <w:rPr>
                <w:noProof/>
                <w:webHidden/>
              </w:rPr>
              <w:t>43</w:t>
            </w:r>
            <w:r>
              <w:rPr>
                <w:noProof/>
                <w:webHidden/>
              </w:rPr>
              <w:fldChar w:fldCharType="end"/>
            </w:r>
          </w:hyperlink>
        </w:p>
        <w:p w14:paraId="7C5C7C73" w14:textId="2E2A6BA5">
          <w:r>
            <w:rPr>
              <w:b/>
              <w:bCs/>
            </w:rPr>
            <w:fldChar w:fldCharType="end"/>
          </w:r>
        </w:p>
      </w:sdtContent>
    </w:sdt>
    <w:p w14:paraId="09113ACF" w14:textId="77777777">
      <w:r>
        <w:br w:type="page"/>
      </w:r>
    </w:p>
    <w:p w14:paraId="47B80954" w14:textId="3F39C896">
      <w:pPr>
        <w:pStyle w:val="berschrift1"/>
      </w:pPr>
      <w:bookmarkStart w:id="0" w:name="_Toc243650031"/>
      <w:r>
        <w:lastRenderedPageBreak/>
        <w:t xml:space="preserve">Introduction to the </w:t>
      </w:r>
      <w:r>
        <w:t>Framework</w:t>
      </w:r>
      <w:bookmarkEnd w:id="0"/>
      <w:r>
        <w:t xml:space="preserve"> </w:t>
      </w:r>
    </w:p>
    <w:p w14:paraId="66FD9A5A" w14:textId="5BA86767">
      <w:r>
        <w:t>This framework provides a systematic approach to developing measurement approaches for latent constructs and, where applicable, other types of constructs. It guides users through the methodological decisions involved in designing a measurement system and adapting the underlying Multi-Agent System (MAS) to specific measurement objectives. Its purpose is to make these decisions explicit, support a consistent development process, and clarify the implications of alternative choices.</w:t>
      </w:r>
    </w:p>
    <w:p w14:paraId="5C296BB7" w14:textId="77777777">
      <w:r>
        <w:t>The framework consists of a sequence of steps covering the key decisions involved in developing or adapting a measurement system. Some steps offer alternative options, allowing users to select the approach most appropriate to their objectives and context. Others are optional and may provide additional benefits but are not required for the MAS to function. Since the relevance of individual steps may depend on earlier decisions, users should follow the steps in the order presented, while recognizing that not all steps will apply to every application.</w:t>
      </w:r>
    </w:p>
    <w:p w14:paraId="384C5057" w14:textId="77777777">
      <w:r>
        <w:t>To support both an overview and practical implementation, the framework is presented at two levels of detail. The concise version summarizes the steps and their sequence, providing an overview of the development process. The detailed version explains the rationale behind each step, the potential implications of different choices, and practical considerations for implementation.</w:t>
      </w:r>
    </w:p>
    <w:p w14:paraId="0768A01F" w14:textId="77777777">
      <w:r>
        <w:t>The framework provides methodological guidance, while the technical implementation is documented separately in the technical appendix. This appendix describes how the MAS is constructed, adapted to different constructs, and used in its finalized form. It also documents the technical tests conducted during development for readers seeking further insight into the system's implementation and technical evaluation.</w:t>
      </w:r>
    </w:p>
    <w:p w14:paraId="335FF0FC" w14:textId="26993977">
      <w:r>
        <w:rPr>
          <w:color w:val="FF0000"/>
          <w:highlight w:val="yellow"/>
        </w:rPr>
        <w:fldChar w:fldCharType="begin"/>
      </w:r>
      <w:r>
        <w:instrText xml:space="preserve"> REF _Ref243117449 \h </w:instrText>
      </w:r>
      <w:r>
        <w:rPr>
          <w:color w:val="FF0000"/>
          <w:highlight w:val="yellow"/>
        </w:rPr>
      </w:r>
      <w:r>
        <w:rPr>
          <w:color w:val="FF0000"/>
          <w:highlight w:val="yellow"/>
        </w:rPr>
        <w:fldChar w:fldCharType="separate"/>
      </w:r>
      <w:r>
        <w:t xml:space="preserve">Figure </w:t>
      </w:r>
      <w:r>
        <w:rPr>
          <w:noProof/>
        </w:rPr>
        <w:t>1</w:t>
      </w:r>
      <w:r>
        <w:rPr>
          <w:color w:val="FF0000"/>
          <w:highlight w:val="yellow"/>
        </w:rPr>
        <w:fldChar w:fldCharType="end"/>
      </w:r>
      <w:r>
        <w:t xml:space="preserve"> </w:t>
      </w:r>
      <w:r>
        <w:t>presents a flowchart of the overall framework, illustrating the sequence of steps and dependencies between decisions. It provides a visual overview that complements the concise and detailed versions.</w:t>
      </w:r>
    </w:p>
    <w:p w14:paraId="69CE1088" w14:textId="706FABBF">
      <w:pPr>
        <w:spacing w:after="0" w:line="240" w:lineRule="auto"/>
        <w:rPr>
          <w:noProof/>
        </w:rPr>
      </w:pPr>
      <w:r>
        <w:rPr>
          <w:noProof/>
        </w:rPr>
        <w:br w:type="page"/>
      </w:r>
    </w:p>
    <w:p w14:paraId="79E79076" w14:textId="248D8704">
      <w:pPr>
        <w:pStyle w:val="Beschriftung"/>
        <w:rPr>
          <w:sz w:val="22"/>
        </w:rPr>
      </w:pPr>
      <w:bookmarkStart w:id="1" w:name="_Ref243117449"/>
      <w:r>
        <w:rPr>
          <w:noProof/>
        </w:rPr>
        <w:lastRenderedPageBreak/>
        <w:drawing>
          <wp:anchor distT="0" distB="0" distL="114300" distR="114300" simplePos="0" relativeHeight="251658240" behindDoc="0" locked="0" layoutInCell="1" allowOverlap="1" wp14:anchorId="0BF25398" wp14:editId="6CCBF073">
            <wp:simplePos x="0" y="0"/>
            <wp:positionH relativeFrom="column">
              <wp:posOffset>-803688</wp:posOffset>
            </wp:positionH>
            <wp:positionV relativeFrom="paragraph">
              <wp:posOffset>163874</wp:posOffset>
            </wp:positionV>
            <wp:extent cx="7039568" cy="7676707"/>
            <wp:effectExtent l="0" t="0" r="9525" b="635"/>
            <wp:wrapNone/>
            <wp:docPr id="7016473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47388" name=""/>
                    <pic:cNvPicPr/>
                  </pic:nvPicPr>
                  <pic:blipFill>
                    <a:blip r:embed="rId9">
                      <a:extLst>
                        <a:ext uri="{96DAC541-7B7A-43D3-8B79-37D633B846F1}">
                          <asvg:svgBlip xmlns:asvg="http://schemas.microsoft.com/office/drawing/2016/SVG/main" r:embed="rId10"/>
                        </a:ext>
                      </a:extLst>
                    </a:blip>
                    <a:stretch>
                      <a:fillRect/>
                    </a:stretch>
                  </pic:blipFill>
                  <pic:spPr>
                    <a:xfrm>
                      <a:off x="0" y="0"/>
                      <a:ext cx="7044917" cy="7682541"/>
                    </a:xfrm>
                    <a:prstGeom prst="rect">
                      <a:avLst/>
                    </a:prstGeom>
                  </pic:spPr>
                </pic:pic>
              </a:graphicData>
            </a:graphic>
            <wp14:sizeRelH relativeFrom="margin">
              <wp14:pctWidth>0</wp14:pctWidth>
            </wp14:sizeRelH>
            <wp14:sizeRelV relativeFrom="margin">
              <wp14:pctHeight>0</wp14:pctHeight>
            </wp14:sizeRelV>
          </wp:anchor>
        </w:drawing>
      </w:r>
      <w:r>
        <w:t xml:space="preserve">Figure </w:t>
      </w:r>
      <w:r>
        <w:fldChar w:fldCharType="begin"/>
      </w:r>
      <w:r>
        <w:instrText xml:space="preserve"> SEQ Figure \* ARABIC </w:instrText>
      </w:r>
      <w:r>
        <w:fldChar w:fldCharType="separate"/>
      </w:r>
      <w:r>
        <w:rPr>
          <w:noProof/>
        </w:rPr>
        <w:t>1</w:t>
      </w:r>
      <w:r>
        <w:fldChar w:fldCharType="end"/>
      </w:r>
      <w:bookmarkEnd w:id="1"/>
      <w:r>
        <w:t>: Flowchart of the framework.</w:t>
      </w:r>
    </w:p>
    <w:p w14:paraId="071CB1A1" w14:textId="62C7C2EA">
      <w:pPr>
        <w:spacing w:after="0" w:line="240" w:lineRule="auto"/>
      </w:pPr>
      <w:r>
        <w:br w:type="page"/>
      </w:r>
    </w:p>
    <w:p w14:paraId="1FB4F170" w14:textId="2B1EBE3D">
      <w:pPr>
        <w:pStyle w:val="berschrift1"/>
      </w:pPr>
      <w:bookmarkStart w:id="2" w:name="_Toc243650032"/>
      <w:r>
        <w:lastRenderedPageBreak/>
        <w:t>General Explanation of the Framework</w:t>
      </w:r>
      <w:bookmarkEnd w:id="2"/>
    </w:p>
    <w:p w14:paraId="483A47A3" w14:textId="7264CA61">
      <w:pPr>
        <w:pStyle w:val="berschrift2"/>
      </w:pPr>
      <w:bookmarkStart w:id="3" w:name="_Toc243650033"/>
      <w:r>
        <w:t xml:space="preserve">Step 1: </w:t>
      </w:r>
      <w:r>
        <w:t>Selection of the Latent Construct</w:t>
      </w:r>
      <w:bookmarkEnd w:id="3"/>
    </w:p>
    <w:p w14:paraId="1B058B4B" w14:textId="77777777">
      <w:pPr>
        <w:rPr>
          <w:b/>
        </w:rPr>
      </w:pPr>
      <w:r>
        <w:rPr>
          <w:b/>
        </w:rPr>
        <w:t>Activity / Decision</w:t>
      </w:r>
    </w:p>
    <w:p w14:paraId="3EBD8228" w14:textId="77777777">
      <w:r>
        <w:t>Select the latent construct that is to be measured.</w:t>
      </w:r>
    </w:p>
    <w:p w14:paraId="0736FE12" w14:textId="77777777">
      <w:pPr>
        <w:rPr>
          <w:b/>
        </w:rPr>
      </w:pPr>
      <w:r>
        <w:rPr>
          <w:b/>
        </w:rPr>
        <w:t>Goal</w:t>
      </w:r>
    </w:p>
    <w:p w14:paraId="63BD9B3B" w14:textId="77777777">
      <w:r>
        <w:t>This step establishes the primary object of interest and the objective of the automated measurement. It defines the theoretical phenomenon to be observed and the intended empirical insight to be gained.</w:t>
      </w:r>
    </w:p>
    <w:p w14:paraId="7BF90417" w14:textId="4008171A">
      <w:pPr>
        <w:rPr>
          <w:b/>
        </w:rPr>
      </w:pPr>
      <w:r>
        <w:rPr>
          <w:b/>
        </w:rPr>
        <w:t>Options</w:t>
      </w:r>
    </w:p>
    <w:p w14:paraId="1B1EE882" w14:textId="6B0560DE">
      <w:r>
        <w:t>None</w:t>
      </w:r>
    </w:p>
    <w:p w14:paraId="0BCA8A56" w14:textId="77777777">
      <w:pPr>
        <w:rPr>
          <w:b/>
        </w:rPr>
      </w:pPr>
      <w:r>
        <w:rPr>
          <w:b/>
        </w:rPr>
        <w:t>Optional Activities</w:t>
      </w:r>
    </w:p>
    <w:p w14:paraId="7429C72D" w14:textId="77777777">
      <w:r>
        <w:t>Review the relevant literature: Examine the theoretical foundations and existing research on the construct. A systematic literature review (SLR) can be used to investigate its measurement history, established operationalizations, current developments, and existing methodological measurement problems. This may help identify gaps in conventional questionnaire-based approaches.</w:t>
      </w:r>
    </w:p>
    <w:p w14:paraId="01CB038F" w14:textId="77777777">
      <w:r>
        <w:t>Conceptually delimit the construct: Define the boundaries of the target construct in relation to related or adjacent concepts. This helps establish which aspects belong to the intended measurement target and supports the content validity of the measurement instrument.</w:t>
      </w:r>
    </w:p>
    <w:p w14:paraId="09E96B4A" w14:textId="77777777">
      <w:pPr>
        <w:pStyle w:val="berschrift2"/>
      </w:pPr>
      <w:bookmarkStart w:id="4" w:name="Step_2"/>
      <w:bookmarkStart w:id="5" w:name="_Ref242859651"/>
      <w:bookmarkStart w:id="6" w:name="_Ref242859666"/>
      <w:bookmarkStart w:id="7" w:name="_Ref242859680"/>
      <w:bookmarkStart w:id="8" w:name="_Ref242859710"/>
      <w:bookmarkStart w:id="9" w:name="_Ref242859772"/>
      <w:bookmarkStart w:id="10" w:name="_Toc243650034"/>
      <w:r>
        <w:t>Step 2</w:t>
      </w:r>
      <w:bookmarkEnd w:id="4"/>
      <w:r>
        <w:t>: Selection of the Output Format</w:t>
      </w:r>
      <w:bookmarkEnd w:id="5"/>
      <w:bookmarkEnd w:id="6"/>
      <w:bookmarkEnd w:id="7"/>
      <w:bookmarkEnd w:id="8"/>
      <w:bookmarkEnd w:id="9"/>
      <w:bookmarkEnd w:id="10"/>
    </w:p>
    <w:p w14:paraId="35C7541B" w14:textId="77777777">
      <w:pPr>
        <w:rPr>
          <w:b/>
        </w:rPr>
      </w:pPr>
      <w:r>
        <w:rPr>
          <w:b/>
        </w:rPr>
        <w:t>Activity / Decision</w:t>
      </w:r>
    </w:p>
    <w:p w14:paraId="3AF25232" w14:textId="061D56C4">
      <w:r>
        <w:t>Select the desired output format for the final evaluation result.</w:t>
      </w:r>
    </w:p>
    <w:p w14:paraId="7D481F74" w14:textId="77777777">
      <w:pPr>
        <w:rPr>
          <w:b/>
        </w:rPr>
      </w:pPr>
      <w:r>
        <w:rPr>
          <w:b/>
        </w:rPr>
        <w:t>Goal</w:t>
      </w:r>
    </w:p>
    <w:p w14:paraId="52EB966E" w14:textId="7381186B">
      <w:r>
        <w:t>The select output format determines the system's evaluation and scoring logic and defines how the collected data are processed and presented.</w:t>
      </w:r>
    </w:p>
    <w:p w14:paraId="32F6EC61" w14:textId="0BD8BA3C">
      <w:pPr>
        <w:rPr>
          <w:b/>
        </w:rPr>
      </w:pPr>
      <w:r>
        <w:rPr>
          <w:b/>
        </w:rPr>
        <w:t>Options</w:t>
      </w:r>
    </w:p>
    <w:p w14:paraId="45D706BA" w14:textId="77777777">
      <w:r>
        <w:t>Option A:</w:t>
      </w:r>
      <w:r>
        <w:t xml:space="preserve"> Qualitative Result (Evidence Report / Profile)</w:t>
      </w:r>
    </w:p>
    <w:p w14:paraId="6529DDF7" w14:textId="77777777">
      <w:r>
        <w:t>The measurement produces a structured text report containing relevant thematic areas, summarized descriptions, and qualitative findings for the object of analysis.</w:t>
      </w:r>
    </w:p>
    <w:p w14:paraId="1235491D" w14:textId="77777777">
      <w:r>
        <w:t>A qualitative report can provide contextual information and detailed descriptions of the findings. However, a purely textual output may offer limited usability for systematic comparisons between multiple objects of analysis, such as different organizations.</w:t>
      </w:r>
    </w:p>
    <w:p w14:paraId="14C44F1B" w14:textId="77777777">
      <w:r>
        <w:t>Option B: Quantitative</w:t>
      </w:r>
      <w:r>
        <w:t xml:space="preserve"> Score (Numerical Scale Value)</w:t>
      </w:r>
    </w:p>
    <w:p w14:paraId="4A1B79ED" w14:textId="58F5D614">
      <w:r>
        <w:lastRenderedPageBreak/>
        <w:t xml:space="preserve">The measurement produces numerical values, for example on a </w:t>
      </w:r>
      <w:proofErr w:type="spellStart"/>
      <w:r>
        <w:t>likert</w:t>
      </w:r>
      <w:proofErr w:type="spellEnd"/>
      <w:r>
        <w:t xml:space="preserve">-type </w:t>
      </w:r>
      <w:r>
        <w:t>scale</w:t>
      </w:r>
      <w:r>
        <w:t xml:space="preserve"> (1-7)</w:t>
      </w:r>
      <w:r>
        <w:t>,</w:t>
      </w:r>
      <w:r>
        <w:t xml:space="preserve"> a scale from</w:t>
      </w:r>
      <w:r>
        <w:t xml:space="preserve"> 1</w:t>
      </w:r>
      <w:r>
        <w:t>-</w:t>
      </w:r>
      <w:r>
        <w:t>100, or 0</w:t>
      </w:r>
      <w:r>
        <w:t>-</w:t>
      </w:r>
      <w:r>
        <w:t>1. Scores can be determined for individual items and aggregated at the dimension and overall levels. Qualitative evidence, including direct quotations and detailed explanations, can be used to substantiate the numerical scores.</w:t>
      </w:r>
    </w:p>
    <w:p w14:paraId="1B215F01" w14:textId="09AF3578">
      <w:r>
        <w:t>Numerical values facilitate statistical analysis and systematic comparisons between objects of analysis. Their interpretation depends on the scoring logic, while accompanying qualitative evidence provides additional context and transparency.</w:t>
      </w:r>
    </w:p>
    <w:p w14:paraId="289273B6" w14:textId="77777777">
      <w:pPr>
        <w:rPr>
          <w:b/>
        </w:rPr>
      </w:pPr>
      <w:r>
        <w:rPr>
          <w:b/>
        </w:rPr>
        <w:t>Optional Activities</w:t>
      </w:r>
    </w:p>
    <w:p w14:paraId="156DCAF0" w14:textId="53222C4B">
      <w:r>
        <w:t>None</w:t>
      </w:r>
    </w:p>
    <w:p w14:paraId="4AD38C0F" w14:textId="77777777">
      <w:pPr>
        <w:pStyle w:val="berschrift2"/>
      </w:pPr>
      <w:bookmarkStart w:id="11" w:name="Step_3"/>
      <w:bookmarkStart w:id="12" w:name="_Toc243650035"/>
      <w:r>
        <w:t>Step 3</w:t>
      </w:r>
      <w:bookmarkEnd w:id="11"/>
      <w:r>
        <w:t>: Selection of the Data Basis for Dimensions and Items</w:t>
      </w:r>
      <w:bookmarkEnd w:id="12"/>
    </w:p>
    <w:p w14:paraId="30B0EF5F" w14:textId="77777777">
      <w:r>
        <w:rPr>
          <w:b/>
          <w:bCs/>
        </w:rPr>
        <w:t>Activity / Decision</w:t>
      </w:r>
    </w:p>
    <w:p w14:paraId="0EDBD3C6" w14:textId="77777777">
      <w:r>
        <w:t>Determine the content basis for measuring the latent construct and select the dimensions and individual items through which the construct will be operationalized/structured.</w:t>
      </w:r>
    </w:p>
    <w:p w14:paraId="2258189D" w14:textId="77777777">
      <w:r>
        <w:rPr>
          <w:b/>
          <w:bCs/>
        </w:rPr>
        <w:t>Goal</w:t>
      </w:r>
    </w:p>
    <w:p w14:paraId="28B51607" w14:textId="77777777">
      <w:r>
        <w:t>This step defines the structural components of the measurement approach. Dimensions represent the relevant aspects of the construct, while individual items specify the content used to assess these aspects.</w:t>
      </w:r>
    </w:p>
    <w:p w14:paraId="461ADFF6" w14:textId="77777777">
      <w:pPr>
        <w:rPr>
          <w:b/>
        </w:rPr>
      </w:pPr>
      <w:r>
        <w:rPr>
          <w:b/>
        </w:rPr>
        <w:t>Remarks</w:t>
      </w:r>
    </w:p>
    <w:p w14:paraId="100EBCE8" w14:textId="57D69F99">
      <w:r>
        <w:t xml:space="preserve">Further, the level of detail, particularly the number of dimensions and items, must be balanced against the practical feasibility of the interview. A large number of items can extend interview duration beyond two hours and reduce response quality due to participant fatigue </w:t>
      </w:r>
      <w:r>
        <w:fldChar w:fldCharType="begin"/>
      </w:r>
      <w:r>
        <w:instrText xml:space="preserve"> ADDIN ZOTERO_ITEM CSL_CITATION {"citationID":"4K75p4hA","properties":{"unsorted":false,"formattedCitation":"(Willis, 2004)","plainCitation":"(Willis, 2004)","noteIndex":0},"citationItems":[{"id":353,"uris":["http://zotero.org/users/local/review/items/7DNUF43F"],"itemData":{"id":353,"type":"book","ISBN":"0-7619-2803-0","publisher":"sage publications","title":"Cognitive interviewing","author":[{"family":"Willis","given":"Gordon B."}],"issued":{"date-parts":[["2004"]]}}}],"schema":"https://github.com/citation-style-language/schema/raw/master/csl-citation.json"} </w:instrText>
      </w:r>
      <w:r>
        <w:fldChar w:fldCharType="separate"/>
      </w:r>
      <w:r>
        <w:t>(Willis, 2004)</w:t>
      </w:r>
      <w:r>
        <w:fldChar w:fldCharType="end"/>
      </w:r>
      <w:r>
        <w:t>. Although item redundancy may increase evidence density in a multi-agent system, unnecessary duplication should be limited to reduce participant burden.</w:t>
      </w:r>
    </w:p>
    <w:p w14:paraId="2071D046" w14:textId="77777777">
      <w:pPr>
        <w:rPr>
          <w:b/>
        </w:rPr>
      </w:pPr>
      <w:r>
        <w:rPr>
          <w:b/>
        </w:rPr>
        <w:t>Options</w:t>
      </w:r>
    </w:p>
    <w:p w14:paraId="494FC58D" w14:textId="77777777">
      <w:r>
        <w:t>Option A: Established</w:t>
      </w:r>
      <w:r>
        <w:t xml:space="preserve"> Measurement Scale</w:t>
      </w:r>
    </w:p>
    <w:p w14:paraId="145A8DF0" w14:textId="77777777">
      <w:r>
        <w:t xml:space="preserve">Here the dimensions and individual items of an existing, published, psychometrically validated measurement scale are adopted. This allows the existing measurement model to serve as a reference when determining how indicators are weighted and aggregated. </w:t>
      </w:r>
    </w:p>
    <w:p w14:paraId="7103F040" w14:textId="77777777">
      <w:r>
        <w:t>Option B: Current</w:t>
      </w:r>
      <w:r>
        <w:t xml:space="preserve"> Literature (Systematic Literature Review)</w:t>
      </w:r>
    </w:p>
    <w:p w14:paraId="3F24ACB4" w14:textId="77777777">
      <w:r>
        <w:t>Conduct your own or use an peer reviewed (systematic) literature review on the construct or a related topic to extract dimensions and items. Alternatively aspects, influencing factors, and indicators can be extracted to develop your own dimensions and items.</w:t>
      </w:r>
    </w:p>
    <w:p w14:paraId="7D024D21" w14:textId="77777777">
      <w:r>
        <w:t>This approach can provide broad coverage of the construct. However, the resulting catalogue may contain a large number of items, increasing interview duration and the complexity of aggregation rules.</w:t>
      </w:r>
    </w:p>
    <w:p w14:paraId="5C55DFBA" w14:textId="77777777">
      <w:r>
        <w:t>Option C: Own Empirical</w:t>
      </w:r>
      <w:r>
        <w:t xml:space="preserve"> Studies or Theoretical Considerations</w:t>
      </w:r>
    </w:p>
    <w:p w14:paraId="6574BC68" w14:textId="77777777">
      <w:r>
        <w:lastRenderedPageBreak/>
        <w:t>Develop dimensions and items independently, for example based on original qualitative studies or theoretical models.</w:t>
      </w:r>
    </w:p>
    <w:p w14:paraId="4A6CD9D1" w14:textId="77777777">
      <w:r>
        <w:t>This approach provides flexibility when established scales or existing literature do not sufficiently represent the intended measurement target. However, the newly developed dimensions and items may require additional validation.</w:t>
      </w:r>
    </w:p>
    <w:p w14:paraId="4CED0051" w14:textId="77777777">
      <w:r>
        <w:rPr>
          <w:b/>
          <w:bCs/>
        </w:rPr>
        <w:t>Optional Activities</w:t>
      </w:r>
    </w:p>
    <w:p w14:paraId="3B31F1A7" w14:textId="77777777">
      <w:r>
        <w:t>None</w:t>
      </w:r>
    </w:p>
    <w:p w14:paraId="06105F6D" w14:textId="77777777">
      <w:r>
        <w:rPr>
          <w:b/>
          <w:bCs/>
        </w:rPr>
        <w:t>Milestone</w:t>
      </w:r>
    </w:p>
    <w:p w14:paraId="3D297E36" w14:textId="77777777">
      <w:r>
        <w:t>After completing this step all dimensions and individual items required for the intended measurement approach are defined.</w:t>
      </w:r>
    </w:p>
    <w:p w14:paraId="554612CB" w14:textId="77777777">
      <w:pPr>
        <w:pStyle w:val="berschrift2"/>
      </w:pPr>
      <w:bookmarkStart w:id="13" w:name="_Toc243650036"/>
      <w:r>
        <w:t>Step 4: Definition of the Aggregation Logic</w:t>
      </w:r>
      <w:bookmarkEnd w:id="13"/>
    </w:p>
    <w:p w14:paraId="4E043277" w14:textId="6FC6A94C">
      <w:pPr>
        <w:rPr>
          <w:b/>
          <w:bCs/>
        </w:rPr>
      </w:pPr>
      <w:r>
        <w:t xml:space="preserve">This step is only applicable if a </w:t>
      </w:r>
      <w:r>
        <w:rPr>
          <w:b/>
        </w:rPr>
        <w:t>quantitative output format</w:t>
      </w:r>
      <w:r>
        <w:t xml:space="preserve"> was selected </w:t>
      </w:r>
      <w:r>
        <w:t>in</w:t>
      </w:r>
      <w:r>
        <w:t xml:space="preserve"> </w:t>
      </w:r>
      <w:hyperlink w:anchor="Step_2" w:history="1">
        <w:r>
          <w:t>Step 2</w:t>
        </w:r>
      </w:hyperlink>
      <w:r>
        <w:t>.</w:t>
      </w:r>
    </w:p>
    <w:p w14:paraId="7C4BDEA4" w14:textId="6FB00030">
      <w:r>
        <w:rPr>
          <w:b/>
          <w:bCs/>
        </w:rPr>
        <w:t>Activity / Decision</w:t>
      </w:r>
    </w:p>
    <w:p w14:paraId="05A9452C" w14:textId="603AFBA6">
      <w:r>
        <w:t xml:space="preserve">Define the mathematical rules used to calculate dimension-level and overall scores from individual item scores. </w:t>
      </w:r>
    </w:p>
    <w:p w14:paraId="49CF6BBF" w14:textId="77777777">
      <w:r>
        <w:rPr>
          <w:b/>
          <w:bCs/>
        </w:rPr>
        <w:t>Goal</w:t>
      </w:r>
    </w:p>
    <w:p w14:paraId="35655228" w14:textId="77777777">
      <w:r>
        <w:t>Establish a deterministic set of rules for combining individual item evaluations into higher-level numerical values. The aggregation logic determines how item scores contribute to dimension-level and overall scores.</w:t>
      </w:r>
    </w:p>
    <w:p w14:paraId="01103442" w14:textId="39FD637F">
      <w:pPr>
        <w:rPr>
          <w:b/>
        </w:rPr>
      </w:pPr>
      <w:r>
        <w:rPr>
          <w:b/>
        </w:rPr>
        <w:t>Remark</w:t>
      </w:r>
    </w:p>
    <w:p w14:paraId="24E6C6A5" w14:textId="22ABD89E">
      <w:r>
        <w:t xml:space="preserve">This step can also be done later in the process, e.g. when building the MAS system or adjusting our provided system. Nevertheless, we believe that thinking about how scores are derived can have an impact on how questions are formulated and which aspects are focused on. Therefore, this decision can have an impact </w:t>
      </w:r>
      <w:r>
        <w:t xml:space="preserve">on </w:t>
      </w:r>
      <w:hyperlink w:anchor="Step_5" w:history="1">
        <w:r>
          <w:t>Step 5</w:t>
        </w:r>
      </w:hyperlink>
      <w:r>
        <w:t xml:space="preserve"> </w:t>
      </w:r>
      <w:r>
        <w:t>which</w:t>
      </w:r>
      <w:r>
        <w:t xml:space="preserve"> focuses on deriving a questionnaire.</w:t>
      </w:r>
    </w:p>
    <w:p w14:paraId="25882345" w14:textId="009D675F">
      <w:pPr>
        <w:rPr>
          <w:b/>
        </w:rPr>
      </w:pPr>
      <w:r>
        <w:rPr>
          <w:b/>
        </w:rPr>
        <w:t>Options</w:t>
      </w:r>
    </w:p>
    <w:p w14:paraId="54783EB6" w14:textId="3EBA7A84">
      <w:r>
        <w:t xml:space="preserve">Before thinking about the overall aggregate rule it </w:t>
      </w:r>
      <w:r>
        <w:t xml:space="preserve">is important to think about how to treat items for which insufficient evidence was collected. Such items can either be include or excluded in the aggregation. More information are in the </w:t>
      </w:r>
      <w:hyperlink w:anchor="Step_4_detailled" w:history="1">
        <w:r>
          <w:t>detailed version of the framework</w:t>
        </w:r>
      </w:hyperlink>
      <w:r>
        <w:t>.</w:t>
      </w:r>
    </w:p>
    <w:p w14:paraId="72BDE44E" w14:textId="782D2C88">
      <w:r>
        <w:rPr>
          <w:bCs/>
        </w:rPr>
        <w:t>Option A: Unweighted</w:t>
      </w:r>
      <w:r>
        <w:rPr>
          <w:bCs/>
        </w:rPr>
        <w:t xml:space="preserve"> Arithmetic Mean</w:t>
      </w:r>
    </w:p>
    <w:p w14:paraId="79EC8728" w14:textId="6FBB682A">
      <w:r>
        <w:t xml:space="preserve">Calculate dimension-level and overall scores using the unweighted arithmetic mean of all </w:t>
      </w:r>
      <w:r>
        <w:t>(</w:t>
      </w:r>
      <w:r>
        <w:t>valid</w:t>
      </w:r>
      <w:r>
        <w:t>)</w:t>
      </w:r>
      <w:r>
        <w:t xml:space="preserve"> individual item scores.</w:t>
      </w:r>
      <w:r>
        <w:t xml:space="preserve"> </w:t>
      </w:r>
    </w:p>
    <w:p w14:paraId="76DC9C93" w14:textId="372A131C">
      <w:r>
        <w:t>This approach assigns equal weight to all validly scored items. Its suitability therefore depends on whether equal item weighting is consistent with the intended measurement logic.</w:t>
      </w:r>
      <w:r>
        <w:t xml:space="preserve"> This is the predominant logic used for Likert-type scales </w:t>
      </w:r>
      <w:r>
        <w:fldChar w:fldCharType="begin"/>
      </w:r>
      <w:r>
        <w:instrText xml:space="preserve"> ADDIN ZOTERO_ITEM CSL_CITATION {"citationID":"bsjYnGIH","properties":{"unsorted":false,"formattedCitation":"(Sullivan &amp; Artino, 2013)","plainCitation":"(Sullivan &amp; Artino, 2013)","noteIndex":0},"citationItems":[{"id":354,"uris":["http://zotero.org/users/local/review/items/ADII5XE7"],"itemData":{"id":354,"type":"article-journal","container-title":"Journal of Graduate Medical Education","DOI":"10.4300/JGME-5-4-18","ISSN":"1949-8357, 1949-8349","issue":"4","page":"541-542","source":"DOI.org (Crossref)","title":"Analyzing and Interpreting Data From Likert-Type Scales","volume":"5","author":[{"family":"Sullivan","given":"Gail M."},{"family":"Artino","given":"Anthony R."}],"issued":{"date-parts":[["2013",12]]}}}],"schema":"https://github.com/citation-style-language/schema/raw/master/csl-citation.json"} </w:instrText>
      </w:r>
      <w:r>
        <w:fldChar w:fldCharType="separate"/>
      </w:r>
      <w:r>
        <w:t>(Sullivan &amp; Artino, 2013)</w:t>
      </w:r>
      <w:r>
        <w:fldChar w:fldCharType="end"/>
      </w:r>
      <w:r>
        <w:t>.</w:t>
      </w:r>
    </w:p>
    <w:p w14:paraId="086F9DBB" w14:textId="77777777">
      <w:r>
        <w:t>Option B: Individual</w:t>
      </w:r>
      <w:r>
        <w:t xml:space="preserve"> or Weighted Aggregation Rule</w:t>
      </w:r>
    </w:p>
    <w:p w14:paraId="3D02B8D2" w14:textId="5696D6F2">
      <w:r>
        <w:lastRenderedPageBreak/>
        <w:t>Assign specific weighting factors to individual items or use more complex combination procedures, such as</w:t>
      </w:r>
      <w:r>
        <w:t xml:space="preserve"> </w:t>
      </w:r>
      <w:r>
        <w:t>fuzzy-set Qualitative Comparative Analysis (</w:t>
      </w:r>
      <w:proofErr w:type="spellStart"/>
      <w:r>
        <w:t>fsQCA</w:t>
      </w:r>
      <w:proofErr w:type="spellEnd"/>
      <w:r>
        <w:t>)</w:t>
      </w:r>
      <w:r>
        <w:t xml:space="preserve"> </w:t>
      </w:r>
      <w:r>
        <w:fldChar w:fldCharType="begin"/>
      </w:r>
      <w:r>
        <w:instrText xml:space="preserve"> ADDIN ZOTERO_ITEM CSL_CITATION {"citationID":"1myOdj7t","properties":{"unsorted":false,"formattedCitation":"(Ragin, 2008)","plainCitation":"(Ragin, 2008)","noteIndex":0},"citationItems":[{"id":355,"uris":["http://zotero.org/users/local/review/items/NYQIWM4U"],"itemData":{"id":355,"type":"book","call-number":"H62 .R235 2008","ISBN":"978-0-226-70273-5","number-of-pages":"225","publisher":"University of Chicago Press","publisher-place":"Chicago","source":"Library of Congress ISBN","title":"Redesigning social inquiry: fuzzy sets and beyond","title-short":"Redesigning social inquiry","author":[{"family":"Ragin","given":"Charles C."}],"issued":{"date-parts":[["2008"]]}}}],"schema":"https://github.com/citation-style-language/schema/raw/master/csl-citation.json"} </w:instrText>
      </w:r>
      <w:r>
        <w:fldChar w:fldCharType="separate"/>
      </w:r>
      <w:r>
        <w:t>(Ragin, 2008)</w:t>
      </w:r>
      <w:r>
        <w:fldChar w:fldCharType="end"/>
      </w:r>
      <w:r>
        <w:t>.</w:t>
      </w:r>
    </w:p>
    <w:p w14:paraId="317FF5B3" w14:textId="2A67624A">
      <w:r>
        <w:t xml:space="preserve">These approaches allow item contributions to be differentiated according to the selected aggregation logic. However, complex weighting schemes or procedures such as </w:t>
      </w:r>
      <w:proofErr w:type="spellStart"/>
      <w:r>
        <w:t>fsQCA</w:t>
      </w:r>
      <w:proofErr w:type="spellEnd"/>
      <w:r>
        <w:t xml:space="preserve"> may require substantial historical data and sufficiently large sample sizes, which may not be available in practice.</w:t>
      </w:r>
    </w:p>
    <w:p w14:paraId="15019631" w14:textId="77777777">
      <w:r>
        <w:rPr>
          <w:b/>
          <w:bCs/>
        </w:rPr>
        <w:t>Optional Activities</w:t>
      </w:r>
    </w:p>
    <w:p w14:paraId="78EB982F" w14:textId="55EE4221">
      <w:r>
        <w:t>None</w:t>
      </w:r>
    </w:p>
    <w:p w14:paraId="013A40BC" w14:textId="77777777">
      <w:r>
        <w:rPr>
          <w:b/>
          <w:bCs/>
        </w:rPr>
        <w:t>Milestone</w:t>
      </w:r>
    </w:p>
    <w:p w14:paraId="32D210F0" w14:textId="77777777">
      <w:r>
        <w:t>The aggregation rules for calculating dimension-level and overall scores are defined, including the treatment of items without valid scores.</w:t>
      </w:r>
    </w:p>
    <w:p w14:paraId="19B176CC" w14:textId="72A5FC0D">
      <w:pPr>
        <w:pStyle w:val="berschrift2"/>
      </w:pPr>
      <w:bookmarkStart w:id="14" w:name="Step_5"/>
      <w:bookmarkStart w:id="15" w:name="_Toc243650037"/>
      <w:r>
        <w:t xml:space="preserve">Step </w:t>
      </w:r>
      <w:bookmarkEnd w:id="14"/>
      <w:r>
        <w:t>5</w:t>
      </w:r>
      <w:r>
        <w:t>: Selection of Data Collection and Ingestion Mode</w:t>
      </w:r>
      <w:bookmarkEnd w:id="15"/>
    </w:p>
    <w:p w14:paraId="4827223C" w14:textId="77777777">
      <w:pPr>
        <w:rPr>
          <w:b/>
        </w:rPr>
      </w:pPr>
      <w:r>
        <w:rPr>
          <w:b/>
        </w:rPr>
        <w:t>Activity / Decision</w:t>
      </w:r>
    </w:p>
    <w:p w14:paraId="2059457F" w14:textId="77777777">
      <w:r>
        <w:t>Determine how data will be collected, which data sources will be used, and how primary and secondary data will be ingested into the multi-agent system (MAS) and made available for subsequent evaluation.</w:t>
      </w:r>
    </w:p>
    <w:p w14:paraId="1BCBC99E" w14:textId="77777777">
      <w:r>
        <w:rPr>
          <w:b/>
          <w:bCs/>
        </w:rPr>
        <w:t>Goal</w:t>
      </w:r>
    </w:p>
    <w:p w14:paraId="740279E1" w14:textId="77777777">
      <w:r>
        <w:t>This step defines the data sources and ingestion pathways through which the information required for construct measurement is acquired and provided to the system. Researchers are not necessarily required to conduct new live interviews. Data can also be supplied through direct interactions, document uploads, or a combination of both.</w:t>
      </w:r>
    </w:p>
    <w:p w14:paraId="1E0A9185" w14:textId="77777777">
      <w:pPr>
        <w:rPr>
          <w:b/>
        </w:rPr>
      </w:pPr>
      <w:r>
        <w:rPr>
          <w:b/>
        </w:rPr>
        <w:t>Options</w:t>
      </w:r>
    </w:p>
    <w:p w14:paraId="167D5AA2" w14:textId="77777777">
      <w:r>
        <w:t>Option A: Interacti</w:t>
      </w:r>
      <w:r>
        <w:t>on-Based Live Data Collection (Interviews via MAS)</w:t>
      </w:r>
    </w:p>
    <w:p w14:paraId="620ABEFC" w14:textId="348EF3D7">
      <w:r>
        <w:t>Conduct structured interviews dynamically with participants through the system's voice agent</w:t>
      </w:r>
      <w:r>
        <w:t>. M</w:t>
      </w:r>
      <w:r>
        <w:t>ay vary depending on the system architecture used.</w:t>
      </w:r>
    </w:p>
    <w:p w14:paraId="514DA3FC" w14:textId="77777777">
      <w:r>
        <w:t>This approach supports targeted, interview-guide-based data collection, with the possibility of using predefined refining questions or generating additional clarification questions when responses are incomplete.</w:t>
      </w:r>
    </w:p>
    <w:p w14:paraId="2A98DD9B" w14:textId="77777777">
      <w:r>
        <w:t>Option B: Document</w:t>
      </w:r>
      <w:r>
        <w:t xml:space="preserve"> and File Upload (Existing Data and Transcripts)</w:t>
      </w:r>
    </w:p>
    <w:p w14:paraId="457A3BBB" w14:textId="77777777">
      <w:r>
        <w:t>Upload existing (text) documents and datasets directly into the system, such as previously collected interview transcripts, case studies, organizational reports, or secondary data.</w:t>
      </w:r>
    </w:p>
    <w:p w14:paraId="7D524627" w14:textId="77777777">
      <w:r>
        <w:t>This approach avoids the need to conduct new interviews and enables retrospective analysis of extensive existing text corpora.</w:t>
      </w:r>
    </w:p>
    <w:p w14:paraId="585A4279" w14:textId="77777777">
      <w:r>
        <w:t>Option C: Hybri</w:t>
      </w:r>
      <w:r>
        <w:t>d Combination (Live Interviews and File Upload)</w:t>
      </w:r>
    </w:p>
    <w:p w14:paraId="19B502FC" w14:textId="77777777">
      <w:r>
        <w:t>Conduct live interviews while uploading supplementary contextual documents, such as organizational data, background reports, or specific supporting documents.</w:t>
      </w:r>
    </w:p>
    <w:p w14:paraId="50404E05" w14:textId="77777777">
      <w:r>
        <w:lastRenderedPageBreak/>
        <w:t>This approach expands the analytical context available to the MAS, allowing it to extract relevant evidence from both direct interview responses and uploaded supplementary documents and incorporate this evidence into the evaluation.</w:t>
      </w:r>
    </w:p>
    <w:p w14:paraId="4DFDF2CD" w14:textId="77777777">
      <w:pPr>
        <w:rPr>
          <w:b/>
        </w:rPr>
      </w:pPr>
      <w:r>
        <w:rPr>
          <w:b/>
        </w:rPr>
        <w:t>Optional Activities</w:t>
      </w:r>
    </w:p>
    <w:p w14:paraId="22588C46" w14:textId="77777777">
      <w:r>
        <w:t>None</w:t>
      </w:r>
    </w:p>
    <w:p w14:paraId="2C3DBB7A" w14:textId="6443C503">
      <w:pPr>
        <w:pStyle w:val="berschrift2"/>
      </w:pPr>
      <w:bookmarkStart w:id="16" w:name="_Toc243650038"/>
      <w:r>
        <w:t xml:space="preserve">Step </w:t>
      </w:r>
      <w:r>
        <w:t>6</w:t>
      </w:r>
      <w:r>
        <w:t>: Development of the Interview Guide</w:t>
      </w:r>
      <w:bookmarkEnd w:id="16"/>
    </w:p>
    <w:p w14:paraId="574E0A1D" w14:textId="77777777">
      <w:pPr>
        <w:rPr>
          <w:b/>
        </w:rPr>
      </w:pPr>
      <w:r>
        <w:rPr>
          <w:b/>
        </w:rPr>
        <w:t>Activity / Decision</w:t>
      </w:r>
    </w:p>
    <w:p w14:paraId="67E6EFB9" w14:textId="287CE4B3">
      <w:r>
        <w:t>Develop the data collection instrument by defining the main questions used to introduce topics and the predefined refining questions used to explore them in greater depth.</w:t>
      </w:r>
    </w:p>
    <w:p w14:paraId="21876958" w14:textId="77777777">
      <w:pPr>
        <w:rPr>
          <w:b/>
        </w:rPr>
      </w:pPr>
      <w:r>
        <w:rPr>
          <w:b/>
        </w:rPr>
        <w:t>Goal</w:t>
      </w:r>
    </w:p>
    <w:p w14:paraId="62E12657" w14:textId="32F9D43D">
      <w:r>
        <w:t>The interview guide structures the interaction with an interviewee and supports the collection of information relevant to the defined dimensions and items. Predefined refining questions can initiate more specific responses, reduce the need for dynamically generated follow-up questions, and limit the resources required by the AI model. They also allow the voice agent to ask targeted questions without time-intensive external reasoning processes that may increase latency and disrupt conversational quality.</w:t>
      </w:r>
    </w:p>
    <w:p w14:paraId="028D62C3" w14:textId="77777777">
      <w:pPr>
        <w:rPr>
          <w:b/>
        </w:rPr>
      </w:pPr>
      <w:r>
        <w:rPr>
          <w:b/>
        </w:rPr>
        <w:t>Options</w:t>
      </w:r>
    </w:p>
    <w:p w14:paraId="3061BE00" w14:textId="77777777">
      <w:r>
        <w:t>Option A: Questio</w:t>
      </w:r>
      <w:r>
        <w:t>ns Based Directly on Items from an Established Scale</w:t>
      </w:r>
    </w:p>
    <w:p w14:paraId="30C2DD35" w14:textId="77777777">
      <w:r>
        <w:t>Transfer questions or statements from an established scale into open-ended interview questions. This can involve directly adapting the wording of existing items to an interview format.</w:t>
      </w:r>
    </w:p>
    <w:p w14:paraId="3EAD1554" w14:textId="77777777">
      <w:r>
        <w:t>Option B: Q</w:t>
      </w:r>
      <w:r>
        <w:t>uestions Based on Items from Related Established Scales</w:t>
      </w:r>
    </w:p>
    <w:p w14:paraId="11181C43" w14:textId="295C4D04">
      <w:r>
        <w:t xml:space="preserve">Identify items from established scales measuring similar or related content and adapt them as a reference for developing interview questions. The selected questions should address aspects that are relevant to the items defined </w:t>
      </w:r>
      <w:r>
        <w:t xml:space="preserve">in </w:t>
      </w:r>
      <w:hyperlink w:anchor="Step_3" w:history="1">
        <w:r>
          <w:t>Step 3</w:t>
        </w:r>
      </w:hyperlink>
      <w:r>
        <w:t>. This may require additional validation.</w:t>
      </w:r>
    </w:p>
    <w:p w14:paraId="6500DEF3" w14:textId="77777777">
      <w:r>
        <w:t>Option C: Independently</w:t>
      </w:r>
      <w:r>
        <w:t xml:space="preserve"> Developed Questions</w:t>
      </w:r>
    </w:p>
    <w:p w14:paraId="6D75FB59" w14:textId="77777777">
      <w:r>
        <w:t>Develop new open-ended interview questions without directly relying on existing items. This allows questions to be formulated specifically for the intended measurement approach.</w:t>
      </w:r>
    </w:p>
    <w:p w14:paraId="2AE6A748" w14:textId="09F8228A">
      <w:r>
        <w:t xml:space="preserve">For this option, examine whether each question can elicit information relevant to the intended item </w:t>
      </w:r>
      <w:r>
        <w:t>and</w:t>
      </w:r>
      <w:r>
        <w:t xml:space="preserve"> whether additional proxy indicators are required to capture the intended content.</w:t>
      </w:r>
    </w:p>
    <w:p w14:paraId="6DAC4CD2" w14:textId="77777777">
      <w:pPr>
        <w:rPr>
          <w:b/>
        </w:rPr>
      </w:pPr>
      <w:r>
        <w:rPr>
          <w:b/>
        </w:rPr>
        <w:t>Optional Activities</w:t>
      </w:r>
    </w:p>
    <w:p w14:paraId="31A05604" w14:textId="77777777">
      <w:r>
        <w:t>Translate the interview guide: Translate the guide into additional languages in which interviews are to be conducted.</w:t>
      </w:r>
    </w:p>
    <w:p w14:paraId="29E0B0C3" w14:textId="2DBE0011">
      <w:r>
        <w:t xml:space="preserve">Validation: An additional validation cycle can be included to ensure the capability of the questions </w:t>
      </w:r>
      <w:r>
        <w:t>to capture relevant information and maintain quality.</w:t>
      </w:r>
      <w:r>
        <w:t xml:space="preserve"> </w:t>
      </w:r>
    </w:p>
    <w:p w14:paraId="48CCC892" w14:textId="6F10A8F9">
      <w:pPr>
        <w:rPr>
          <w:b/>
        </w:rPr>
      </w:pPr>
      <w:r>
        <w:rPr>
          <w:b/>
        </w:rPr>
        <w:t>Milestone</w:t>
      </w:r>
    </w:p>
    <w:p w14:paraId="73376A12" w14:textId="77777777">
      <w:r>
        <w:t>A complete and validated interview guide is available.</w:t>
      </w:r>
    </w:p>
    <w:p w14:paraId="31531837" w14:textId="480EC769">
      <w:pPr>
        <w:pStyle w:val="berschrift2"/>
      </w:pPr>
      <w:bookmarkStart w:id="17" w:name="_Toc243650039"/>
      <w:r>
        <w:lastRenderedPageBreak/>
        <w:t xml:space="preserve">Step </w:t>
      </w:r>
      <w:r>
        <w:t>7</w:t>
      </w:r>
      <w:r>
        <w:t>: Derivation of Anchor Values</w:t>
      </w:r>
      <w:bookmarkEnd w:id="17"/>
    </w:p>
    <w:p w14:paraId="5BD4B1D9" w14:textId="77777777">
      <w:pPr>
        <w:rPr>
          <w:b/>
        </w:rPr>
      </w:pPr>
      <w:r>
        <w:rPr>
          <w:b/>
        </w:rPr>
        <w:t>Activity / Decision</w:t>
      </w:r>
    </w:p>
    <w:p w14:paraId="09B7B0B2" w14:textId="77777777">
      <w:r>
        <w:t>Determine the type and number of reference criteria (anchor values) used to evaluate findings.</w:t>
      </w:r>
    </w:p>
    <w:p w14:paraId="67024E7D" w14:textId="77777777">
      <w:pPr>
        <w:rPr>
          <w:b/>
        </w:rPr>
      </w:pPr>
      <w:r>
        <w:rPr>
          <w:b/>
        </w:rPr>
        <w:t>Goal</w:t>
      </w:r>
    </w:p>
    <w:p w14:paraId="5E8A0998" w14:textId="7C512EBE">
      <w:r>
        <w:t>Anchor values serve as concrete reference points, such as prototypes or examples, that help the evaluation system assign responses to specific values consistently. For a Likert scale, for example, seven distinct anchor criteria can be defined for each item to represent the integer values from 1 to 7.</w:t>
      </w:r>
    </w:p>
    <w:p w14:paraId="1CF207D8" w14:textId="517B36DE">
      <w:pPr>
        <w:rPr>
          <w:b/>
        </w:rPr>
      </w:pPr>
      <w:r>
        <w:rPr>
          <w:b/>
        </w:rPr>
        <w:t>Options</w:t>
      </w:r>
    </w:p>
    <w:p w14:paraId="0C23B620" w14:textId="4486CFB3">
      <w:r>
        <w:t>Option A: Extractio</w:t>
      </w:r>
      <w:r>
        <w:t>n of Anchor Values from Empirical Evidence</w:t>
      </w:r>
    </w:p>
    <w:p w14:paraId="510E9622" w14:textId="298783BF">
      <w:r>
        <w:t>Identify suitable examples of anchor values in empirical observations and publications, such as case studies, experiments, expert interviews, or surveys. Generalize the identified passages into statements representing typical evidence for a specific item at a particular score.</w:t>
      </w:r>
    </w:p>
    <w:p w14:paraId="37A26C25" w14:textId="77777777">
      <w:r>
        <w:t>Option B: A</w:t>
      </w:r>
      <w:r>
        <w:t>I-Generated or Synthetic Anchor Values</w:t>
      </w:r>
    </w:p>
    <w:p w14:paraId="57E77A40" w14:textId="5E8E17A7">
      <w:r>
        <w:t>Develop anchor values independently or generate them using AI based on the item definitions. Such values may need further validation</w:t>
      </w:r>
      <w:r>
        <w:t xml:space="preserve"> to ensure applicability</w:t>
      </w:r>
      <w:r>
        <w:t>.</w:t>
      </w:r>
    </w:p>
    <w:p w14:paraId="6649C9AE" w14:textId="77777777">
      <w:pPr>
        <w:rPr>
          <w:b/>
        </w:rPr>
      </w:pPr>
      <w:r>
        <w:rPr>
          <w:b/>
        </w:rPr>
        <w:t>Optional Activities</w:t>
      </w:r>
    </w:p>
    <w:p w14:paraId="783894E4" w14:textId="6C1C9D22">
      <w:r>
        <w:t>Empirical Validation of Anchor Values by Subject-Matter Experts</w:t>
      </w:r>
      <w:r>
        <w:t>:</w:t>
      </w:r>
      <w:r>
        <w:t xml:space="preserve"> </w:t>
      </w:r>
      <w:r>
        <w:t>Conduct an survey or interviews</w:t>
      </w:r>
      <w:r>
        <w:t xml:space="preserve"> with experts </w:t>
      </w:r>
      <w:r>
        <w:t>to assess whether each anchor example adequately represents its assigned scale value. For example, experts can evaluate each example using a binary response (yes/no). Examples receiving negative evaluations can be revised based on expert feedback.</w:t>
      </w:r>
      <w:r>
        <w:t xml:space="preserve"> </w:t>
      </w:r>
      <w:r>
        <w:t>The scope and feasibility of the validation process should be considered when planning this activity.</w:t>
      </w:r>
    </w:p>
    <w:p w14:paraId="2DB4DDF3" w14:textId="77777777">
      <w:pPr>
        <w:rPr>
          <w:b/>
        </w:rPr>
      </w:pPr>
      <w:r>
        <w:rPr>
          <w:b/>
        </w:rPr>
        <w:t>Milestone</w:t>
      </w:r>
    </w:p>
    <w:p w14:paraId="0EB37525" w14:textId="76F737E8">
      <w:r>
        <w:t>A</w:t>
      </w:r>
      <w:r>
        <w:t>fter completing this step a</w:t>
      </w:r>
      <w:r>
        <w:t xml:space="preserve"> complete list of anchor values is available, including validation where applicable.</w:t>
      </w:r>
    </w:p>
    <w:p w14:paraId="6D783038" w14:textId="3EC19D83">
      <w:pPr>
        <w:pStyle w:val="berschrift2"/>
      </w:pPr>
      <w:bookmarkStart w:id="18" w:name="_Toc243650040"/>
      <w:r>
        <w:t xml:space="preserve">Step </w:t>
      </w:r>
      <w:r>
        <w:t>8</w:t>
      </w:r>
      <w:r>
        <w:t xml:space="preserve">: </w:t>
      </w:r>
      <w:r>
        <w:t>Set up of the</w:t>
      </w:r>
      <w:r>
        <w:t xml:space="preserve"> Technical </w:t>
      </w:r>
      <w:r>
        <w:t>Infrastructure</w:t>
      </w:r>
      <w:bookmarkEnd w:id="18"/>
    </w:p>
    <w:p w14:paraId="36DECDA7" w14:textId="77777777">
      <w:pPr>
        <w:rPr>
          <w:b/>
        </w:rPr>
      </w:pPr>
      <w:r>
        <w:rPr>
          <w:b/>
        </w:rPr>
        <w:t>Activity / Decision</w:t>
      </w:r>
    </w:p>
    <w:p w14:paraId="1C845C82" w14:textId="168CBA9A">
      <w:r>
        <w:t>Configuration of the technical infrastructure and integration of the measurement instruments into the system. This includes selecting the infrastructure, determining the model providers for the individual functional roles, importing and configuring the interview guide, anchor values, and evaluation profile, and defining the coding instructions.</w:t>
      </w:r>
    </w:p>
    <w:p w14:paraId="1CDD9CBA" w14:textId="77777777">
      <w:pPr>
        <w:rPr>
          <w:b/>
        </w:rPr>
      </w:pPr>
      <w:r>
        <w:rPr>
          <w:b/>
        </w:rPr>
        <w:t>Goal</w:t>
      </w:r>
    </w:p>
    <w:p w14:paraId="7CD25991" w14:textId="5EFCB987">
      <w:r>
        <w:t>This step translates the previously defined measurement approach into a functional multi-agent system. The technical configuration determines how data are collected, processed, stored, evaluated, and converted into the intended output format.</w:t>
      </w:r>
    </w:p>
    <w:p w14:paraId="78511198" w14:textId="5682E761">
      <w:pPr>
        <w:rPr>
          <w:b/>
        </w:rPr>
      </w:pPr>
      <w:r>
        <w:rPr>
          <w:b/>
        </w:rPr>
        <w:lastRenderedPageBreak/>
        <w:t>Remark</w:t>
      </w:r>
    </w:p>
    <w:p w14:paraId="38B60F8E" w14:textId="77777777">
      <w:r>
        <w:t xml:space="preserve">Before deciding about AI models and APIs, it is important to decide whether to use the MAS shell developed by the authors or if a custom system architect is build. </w:t>
      </w:r>
    </w:p>
    <w:p w14:paraId="17A03C25" w14:textId="3D85D39C">
      <w:r>
        <w:t xml:space="preserve">The technical appendix provides further information on the implementation of a custom system. In </w:t>
      </w:r>
      <w:r>
        <w:t xml:space="preserve">the </w:t>
      </w:r>
      <w:hyperlink w:anchor="Step_8_detailled" w:history="1">
        <w:r>
          <w:t>detailed description of the framework</w:t>
        </w:r>
      </w:hyperlink>
      <w:r>
        <w:t xml:space="preserve"> are more information regarding aspects that should be considered if a new system architecture is developed.</w:t>
      </w:r>
    </w:p>
    <w:p w14:paraId="0F40FD52" w14:textId="09FEB610">
      <w:pPr>
        <w:rPr>
          <w:b/>
        </w:rPr>
      </w:pPr>
      <w:r>
        <w:rPr>
          <w:b/>
        </w:rPr>
        <w:t>Options</w:t>
      </w:r>
    </w:p>
    <w:p w14:paraId="5A536862" w14:textId="778DA006">
      <w:r>
        <w:t>Option A: Use th</w:t>
      </w:r>
      <w:r>
        <w:t>e MAS Shell Developed by the Authors</w:t>
      </w:r>
    </w:p>
    <w:p w14:paraId="4CD86153" w14:textId="386F99E3">
      <w:pPr>
        <w:spacing w:line="360" w:lineRule="auto"/>
      </w:pPr>
      <w:r>
        <w:t>Use the existing MAS shell as the technical foundation for implementing the measurement approach. Please note that this architecture can only be used if a quantitative output is selected</w:t>
      </w:r>
      <w:r>
        <w:t xml:space="preserve"> </w:t>
      </w:r>
      <w:r>
        <w:t xml:space="preserve">in </w:t>
      </w:r>
      <w:hyperlink w:anchor="Step_2" w:history="1">
        <w:r>
          <w:t>Step 2</w:t>
        </w:r>
      </w:hyperlink>
      <w:r>
        <w:t>. This option requires the following activities:</w:t>
      </w:r>
    </w:p>
    <w:p w14:paraId="241A924F" w14:textId="77777777">
      <w:pPr>
        <w:numPr>
          <w:ilvl w:val="0"/>
          <w:numId w:val="6"/>
        </w:numPr>
        <w:spacing w:line="360" w:lineRule="auto"/>
      </w:pPr>
      <w:r>
        <w:rPr>
          <w:bCs/>
        </w:rPr>
        <w:t>Select AI models and implement APIs:</w:t>
      </w:r>
      <w:r>
        <w:t xml:space="preserve"> Determine</w:t>
      </w:r>
      <w:r>
        <w:t xml:space="preserve"> which AI models to use for the individual functional roles and implement the corresponding API integrations. Consider API and token costs, model context-window limits, and applicable data security and privacy requirements.</w:t>
      </w:r>
    </w:p>
    <w:p w14:paraId="2A6B9C6B" w14:textId="77777777">
      <w:pPr>
        <w:numPr>
          <w:ilvl w:val="0"/>
          <w:numId w:val="6"/>
        </w:numPr>
        <w:spacing w:line="360" w:lineRule="auto"/>
      </w:pPr>
      <w:r>
        <w:rPr>
          <w:bCs/>
        </w:rPr>
        <w:t>Finalize the technical setup:</w:t>
      </w:r>
      <w:r>
        <w:t xml:space="preserve"> Upload</w:t>
      </w:r>
      <w:r>
        <w:t xml:space="preserve"> and configure the interview guide or questionnaire, create the evaluation profile, and import the dimensions, items, and anchor values defined in the preceding steps.</w:t>
      </w:r>
    </w:p>
    <w:p w14:paraId="7D5C85CA" w14:textId="77777777">
      <w:pPr>
        <w:numPr>
          <w:ilvl w:val="0"/>
          <w:numId w:val="6"/>
        </w:numPr>
        <w:spacing w:line="360" w:lineRule="auto"/>
      </w:pPr>
      <w:r>
        <w:rPr>
          <w:bCs/>
        </w:rPr>
        <w:t>Define coding instructions:</w:t>
      </w:r>
      <w:r>
        <w:t xml:space="preserve"> Add the</w:t>
      </w:r>
      <w:r>
        <w:t xml:space="preserve"> prompts and instructions that specify how the system should code and evaluate the collected data.</w:t>
      </w:r>
    </w:p>
    <w:p w14:paraId="61859D2D" w14:textId="77777777">
      <w:pPr>
        <w:spacing w:line="360" w:lineRule="auto"/>
      </w:pPr>
      <w:r>
        <w:t>Further information on configuring the existing shell and implementing these components is provided in the technical appendix.</w:t>
      </w:r>
    </w:p>
    <w:p w14:paraId="5DEBBEDB" w14:textId="1C88890A">
      <w:r>
        <w:t>Option B: Develop</w:t>
      </w:r>
      <w:r>
        <w:t xml:space="preserve"> a</w:t>
      </w:r>
      <w:r>
        <w:t xml:space="preserve"> Custom </w:t>
      </w:r>
      <w:r>
        <w:t>System Architecture</w:t>
      </w:r>
    </w:p>
    <w:p w14:paraId="3805CCE6" w14:textId="77777777">
      <w:r>
        <w:t>Design and implement a custom system architecture rather than using the MAS shell developed by the authors. The architecture should support the requirements of the intended measurement approach, including data collection, processing, evaluation, and output generation.</w:t>
      </w:r>
    </w:p>
    <w:p w14:paraId="4957C92D" w14:textId="3EF6E519">
      <w:r>
        <w:t>The technical appendix provides further information and discusses relevant implementation aspects. It can serve as a guide for planning and developing a</w:t>
      </w:r>
      <w:r>
        <w:t xml:space="preserve"> custom </w:t>
      </w:r>
      <w:r>
        <w:t>architecture</w:t>
      </w:r>
      <w:r>
        <w:t xml:space="preserve"> tailored to individual needs</w:t>
      </w:r>
      <w:r>
        <w:t>.</w:t>
      </w:r>
    </w:p>
    <w:p w14:paraId="31C6E27D" w14:textId="62253B10">
      <w:pPr>
        <w:rPr>
          <w:b/>
        </w:rPr>
      </w:pPr>
      <w:r>
        <w:rPr>
          <w:b/>
        </w:rPr>
        <w:t>Additional Consideration for Qualitative Outputs</w:t>
      </w:r>
    </w:p>
    <w:p w14:paraId="35EBB266" w14:textId="25B41901">
      <w:r>
        <w:t>If a qualitative output format was selected in</w:t>
      </w:r>
      <w:r>
        <w:t xml:space="preserve"> </w:t>
      </w:r>
      <w:hyperlink w:anchor="Step_2" w:history="1">
        <w:r>
          <w:t>Step 2</w:t>
        </w:r>
      </w:hyperlink>
      <w:r>
        <w:t>, an appropriate qualitative evaluation approach must be specified.</w:t>
      </w:r>
      <w:r>
        <w:t xml:space="preserve"> </w:t>
      </w:r>
      <w:r>
        <w:t xml:space="preserve">We provide further ideas in the </w:t>
      </w:r>
      <w:hyperlink w:anchor="Step_8_detailled" w:history="1">
        <w:r>
          <w:t>detailed framework</w:t>
        </w:r>
      </w:hyperlink>
      <w:r>
        <w:t>.</w:t>
      </w:r>
    </w:p>
    <w:p w14:paraId="11D5DE28" w14:textId="77777777"/>
    <w:p w14:paraId="3F6B5285" w14:textId="77777777"/>
    <w:p w14:paraId="48033DD4" w14:textId="77777777">
      <w:pPr>
        <w:rPr>
          <w:b/>
        </w:rPr>
      </w:pPr>
      <w:r>
        <w:rPr>
          <w:b/>
        </w:rPr>
        <w:lastRenderedPageBreak/>
        <w:t>Optional Activities</w:t>
      </w:r>
    </w:p>
    <w:p w14:paraId="227D90B7" w14:textId="77777777">
      <w:r>
        <w:t>Empirical Validation of the MAS</w:t>
      </w:r>
      <w:r>
        <w:t>.</w:t>
      </w:r>
      <w:r>
        <w:rPr>
          <w:b/>
        </w:rPr>
        <w:t xml:space="preserve"> </w:t>
      </w:r>
      <w:r>
        <w:t>Evaluate the measurement properties of the complete system using the following possible tests:</w:t>
      </w:r>
      <w:r>
        <w:t xml:space="preserve"> </w:t>
      </w:r>
      <w:r>
        <w:tab/>
      </w:r>
      <w:r>
        <w:br/>
      </w:r>
      <w:r>
        <w:rPr>
          <w:bCs/>
        </w:rPr>
        <w:t>Synthetic extreme and mixed-profile tests:</w:t>
      </w:r>
      <w:r>
        <w:t xml:space="preserve"> Evaluate synthetic response scripts representing extreme values, such as exclusively 1s or 7s, and mixed profiles to identify potential distributional biases, such as clustering around 4 on a seven-point scale.</w:t>
      </w:r>
      <w:r>
        <w:tab/>
      </w:r>
      <w:r>
        <w:br/>
      </w:r>
      <w:r>
        <w:rPr>
          <w:bCs/>
        </w:rPr>
        <w:t>Consistency and replication tests:</w:t>
      </w:r>
      <w:r>
        <w:t xml:space="preserve"> Evaluate the same transcript repeatedly</w:t>
      </w:r>
      <w:r>
        <w:t xml:space="preserve"> (e.g. 10 times)</w:t>
      </w:r>
      <w:r>
        <w:t>, to examine the stability of scores, quotations, and explanations.</w:t>
      </w:r>
    </w:p>
    <w:p w14:paraId="4BCF1BD8" w14:textId="519028E4">
      <w:r>
        <w:rPr>
          <w:bCs/>
        </w:rPr>
        <w:t>Interrater reliability tests</w:t>
      </w:r>
      <w:r>
        <w:rPr>
          <w:bCs/>
        </w:rPr>
        <w:t>:</w:t>
      </w:r>
      <w:r>
        <w:t xml:space="preserve"> Conduct interviews </w:t>
      </w:r>
      <w:r>
        <w:t xml:space="preserve">with an expert during which </w:t>
      </w:r>
      <w:r>
        <w:t xml:space="preserve">at least two </w:t>
      </w:r>
      <w:r>
        <w:t xml:space="preserve">researchers are present. After the interview the researchers and the expert </w:t>
      </w:r>
      <w:r>
        <w:t>self-asses</w:t>
      </w:r>
      <w:r>
        <w:t xml:space="preserve"> </w:t>
      </w:r>
      <w:r>
        <w:t xml:space="preserve">on a scale. </w:t>
      </w:r>
      <w:r>
        <w:t>Finally, the</w:t>
      </w:r>
      <w:r>
        <w:t xml:space="preserve"> </w:t>
      </w:r>
      <w:r>
        <w:t xml:space="preserve">score of the </w:t>
      </w:r>
      <w:r>
        <w:t>MAS,</w:t>
      </w:r>
      <w:r>
        <w:t xml:space="preserve"> the</w:t>
      </w:r>
      <w:r>
        <w:t xml:space="preserve"> expert </w:t>
      </w:r>
      <w:r>
        <w:t>and the researchers can be compared</w:t>
      </w:r>
      <w:r>
        <w:t>.</w:t>
      </w:r>
    </w:p>
    <w:p w14:paraId="636C0EA6" w14:textId="77777777">
      <w:pPr>
        <w:rPr>
          <w:b/>
        </w:rPr>
      </w:pPr>
      <w:r>
        <w:rPr>
          <w:b/>
        </w:rPr>
        <w:t>Milestone</w:t>
      </w:r>
    </w:p>
    <w:p w14:paraId="0D4DE04C" w14:textId="77777777">
      <w:pPr>
        <w:rPr>
          <w:rFonts w:ascii="FrontPage" w:hAnsi="FrontPage"/>
          <w:b/>
          <w:kern w:val="24"/>
          <w:sz w:val="24"/>
          <w:szCs w:val="20"/>
        </w:rPr>
      </w:pPr>
      <w:r>
        <w:t>A functional MAS is configured and ready for use, or an independently developed system architecture has been implemented and prepared for the intended measurement approach.</w:t>
      </w:r>
    </w:p>
    <w:p w14:paraId="2A7E9930" w14:textId="34787C86">
      <w:pPr>
        <w:pStyle w:val="berschrift2"/>
      </w:pPr>
      <w:bookmarkStart w:id="19" w:name="_Toc243650041"/>
      <w:r>
        <w:t xml:space="preserve">Step </w:t>
      </w:r>
      <w:r>
        <w:t>9</w:t>
      </w:r>
      <w:r>
        <w:t>: Conducting the Data Collection</w:t>
      </w:r>
      <w:bookmarkEnd w:id="19"/>
    </w:p>
    <w:p w14:paraId="55C7860D" w14:textId="77777777">
      <w:pPr>
        <w:rPr>
          <w:b/>
        </w:rPr>
      </w:pPr>
      <w:r>
        <w:rPr>
          <w:b/>
        </w:rPr>
        <w:t>Activity / Decision</w:t>
      </w:r>
    </w:p>
    <w:p w14:paraId="626E82BA" w14:textId="28A7C8B9">
      <w:r>
        <w:t>Configure and initiate the data collection by specifying the relevant parameters, including the language, interview guide instance, and interaction mode (text chat or real-time voice). Subsequently, conduct the data collection with participants or upload data.</w:t>
      </w:r>
    </w:p>
    <w:p w14:paraId="449A09E3" w14:textId="77777777">
      <w:pPr>
        <w:rPr>
          <w:b/>
        </w:rPr>
      </w:pPr>
      <w:r>
        <w:rPr>
          <w:b/>
        </w:rPr>
        <w:t>Goal</w:t>
      </w:r>
    </w:p>
    <w:p w14:paraId="647A2E04" w14:textId="77777777">
      <w:r>
        <w:t>This step implements the configured measurement approach in practice by initiating the collection of data from participants using the selected parameters and interaction mode.</w:t>
      </w:r>
    </w:p>
    <w:p w14:paraId="23A22A40" w14:textId="493CFAED">
      <w:pPr>
        <w:rPr>
          <w:b/>
        </w:rPr>
      </w:pPr>
      <w:r>
        <w:rPr>
          <w:b/>
        </w:rPr>
        <w:t>Remark</w:t>
      </w:r>
    </w:p>
    <w:p w14:paraId="3464C2F9" w14:textId="08719276">
      <w:r>
        <w:t>Each of the data collection approaches could also be combined to increase data volume and therefore potential data richness</w:t>
      </w:r>
      <w:r>
        <w:t xml:space="preserve">. </w:t>
      </w:r>
    </w:p>
    <w:p w14:paraId="3E444684" w14:textId="484F41F5">
      <w:pPr>
        <w:rPr>
          <w:b/>
        </w:rPr>
      </w:pPr>
      <w:r>
        <w:rPr>
          <w:b/>
        </w:rPr>
        <w:t>Options</w:t>
      </w:r>
    </w:p>
    <w:p w14:paraId="5C52017B" w14:textId="77777777">
      <w:r>
        <w:t>Option A: Text</w:t>
      </w:r>
      <w:r>
        <w:t xml:space="preserve"> Chat</w:t>
      </w:r>
    </w:p>
    <w:p w14:paraId="60D7D124" w14:textId="7FD6E003">
      <w:r>
        <w:t>Conduct the data collection through a text-based interaction.</w:t>
      </w:r>
    </w:p>
    <w:p w14:paraId="527F4BD6" w14:textId="77777777">
      <w:r>
        <w:t>Option B: Re</w:t>
      </w:r>
      <w:r>
        <w:t>al-Time Voice</w:t>
      </w:r>
    </w:p>
    <w:p w14:paraId="5B9BBCCF" w14:textId="715CDF81">
      <w:r>
        <w:t>Conduct the data collection through a real-time voice interaction.</w:t>
      </w:r>
    </w:p>
    <w:p w14:paraId="101538FC" w14:textId="06A388E2">
      <w:r>
        <w:t>Option C: Data Upload</w:t>
      </w:r>
    </w:p>
    <w:p w14:paraId="1937DD43" w14:textId="41CBF3A8">
      <w:r>
        <w:t>Conduct the data collection through a data upload.</w:t>
      </w:r>
    </w:p>
    <w:p w14:paraId="00A725A6" w14:textId="64BE53A4">
      <w:pPr>
        <w:rPr>
          <w:b/>
        </w:rPr>
      </w:pPr>
      <w:r>
        <w:rPr>
          <w:b/>
        </w:rPr>
        <w:t>Optional Activities</w:t>
      </w:r>
    </w:p>
    <w:p w14:paraId="275BF99E" w14:textId="3DC9BFFB">
      <w:r>
        <w:t>None</w:t>
      </w:r>
    </w:p>
    <w:p w14:paraId="72B91CA9" w14:textId="084E6DBE">
      <w:pPr>
        <w:pStyle w:val="berschrift2"/>
      </w:pPr>
      <w:bookmarkStart w:id="20" w:name="_Toc243650042"/>
      <w:r>
        <w:lastRenderedPageBreak/>
        <w:t xml:space="preserve">Step </w:t>
      </w:r>
      <w:r>
        <w:t>10</w:t>
      </w:r>
      <w:r>
        <w:t>: Utilization and Interpretation of MAS Evaluation Results</w:t>
      </w:r>
      <w:bookmarkEnd w:id="20"/>
    </w:p>
    <w:p w14:paraId="428D83A5" w14:textId="77777777">
      <w:pPr>
        <w:rPr>
          <w:b/>
        </w:rPr>
      </w:pPr>
      <w:r>
        <w:rPr>
          <w:b/>
        </w:rPr>
        <w:t>Activity / Decision</w:t>
      </w:r>
    </w:p>
    <w:p w14:paraId="4A001B58" w14:textId="34294766">
      <w:r>
        <w:t>Prepare, scientifically analyze, and utilize the evaluation results generated by the MAS, including numerical scores, verbatim quotations, comparisons, rationales, and calculation traces. The output format and how to further use it depends on your selected output type.</w:t>
      </w:r>
    </w:p>
    <w:p w14:paraId="0125E6F9" w14:textId="77777777">
      <w:pPr>
        <w:rPr>
          <w:b/>
        </w:rPr>
      </w:pPr>
      <w:r>
        <w:rPr>
          <w:b/>
        </w:rPr>
        <w:t>Goal</w:t>
      </w:r>
    </w:p>
    <w:p w14:paraId="261A966E" w14:textId="159738A5">
      <w:r>
        <w:t>This step establishes how the generated evaluation results are used to address scientific research questions, conduct following analyses, and assess methodological quality.</w:t>
      </w:r>
    </w:p>
    <w:p w14:paraId="6509C7BC" w14:textId="77777777">
      <w:pPr>
        <w:rPr>
          <w:b/>
        </w:rPr>
      </w:pPr>
      <w:r>
        <w:rPr>
          <w:b/>
        </w:rPr>
        <w:t>Options</w:t>
      </w:r>
    </w:p>
    <w:p w14:paraId="43407178" w14:textId="77777777">
      <w:r>
        <w:t>The following evaluation pathways can be combined, as appropriate.</w:t>
      </w:r>
    </w:p>
    <w:p w14:paraId="1A4DD59F" w14:textId="77777777">
      <w:r>
        <w:t>Option A: Quantitative</w:t>
      </w:r>
      <w:r>
        <w:t>-Statistical Comparisons and Benchmarking</w:t>
      </w:r>
    </w:p>
    <w:p w14:paraId="3709041D" w14:textId="77777777">
      <w:r>
        <w:t>Use numerical item scores (integers from 1 to 7), dimension-level means, and aggregated overall scores to compare different units of analysis, such as organizations or individuals, and to conduct longitudinal analyses.</w:t>
      </w:r>
    </w:p>
    <w:p w14:paraId="6FEF8DB8" w14:textId="77777777">
      <w:r>
        <w:t>Export structured report data in formats such as JSON or CSV for further statistical analysis using external software tools, including correlation, regression, or cluster analysis.</w:t>
      </w:r>
    </w:p>
    <w:p w14:paraId="648C3BD6" w14:textId="6B8267FA">
      <w:r>
        <w:t xml:space="preserve">Alternatively quantitative scores of interviewees of one company can be reuploaded and a analysis can be run covering the </w:t>
      </w:r>
      <w:r>
        <w:t>whole content of all interviews (may differ, if the system architecture can reference past interviews during scoring).</w:t>
      </w:r>
    </w:p>
    <w:p w14:paraId="541CCD18" w14:textId="77777777">
      <w:r>
        <w:t>Option B: Qualitative</w:t>
      </w:r>
      <w:r>
        <w:t xml:space="preserve"> Evidence-Based Analysis</w:t>
      </w:r>
    </w:p>
    <w:p w14:paraId="6FF4F84B" w14:textId="77777777">
      <w:r>
        <w:t>Systematically review extracted verbatim quotations and rationales to examine the substantive factors underlying quantitative results and support transparency in the evaluation process.</w:t>
      </w:r>
    </w:p>
    <w:p w14:paraId="23E648A3" w14:textId="37AFEB9C">
      <w:r>
        <w:t>Compare supporting evidence and counter-evidence to identify conflicting signals, organizational tensions, or specific blind spots.</w:t>
      </w:r>
      <w:r>
        <w:t xml:space="preserve"> Such analysis can be conducted using established methods like </w:t>
      </w:r>
      <w:r>
        <w:fldChar w:fldCharType="begin"/>
      </w:r>
      <w:r>
        <w:instrText xml:space="preserve"> ADDIN ZOTERO_ITEM CSL_CITATION {"citationID":"mqCljaVz","properties":{"unsorted":false,"formattedCitation":"(Gioia et al., 2013)","plainCitation":"(Gioia et al., 2013)","noteIndex":0},"citationItems":[{"id":130,"uris":["http://zotero.org/users/local/review/items/UZH4D9QV"],"itemData":{"id":130,"type":"article-journal","abstract":"For all its richness and potential for discovery, qualitative research has been critiqued as too often lacking in scholarly rigor. The authors summarize a systematic approach to new concept development and grounded theory articulation that is designed to bring “qualitative rigor” to the conduct and presentation of inductive research.","container-title":"Organizational Research Methods","DOI":"10.1177/1094428112452151","ISSN":"1094-4281, 1552-7425","issue":"1","journalAbbreviation":"Organizational Research Methods","language":"en","page":"15-31","source":"DOI.org (Crossref)","title":"Seeking Qualitative Rigor in Inductive Research: Notes on the Gioia Methodology","title-short":"Seeking Qualitative Rigor in Inductive Research","volume":"16","author":[{"family":"Gioia","given":"Dennis A."},{"family":"Corley","given":"Kevin G."},{"family":"Hamilton","given":"Aimee L."}],"issued":{"date-parts":[["2013",1]]}}}],"schema":"https://github.com/citation-style-language/schema/raw/master/csl-citation.json"} </w:instrText>
      </w:r>
      <w:r>
        <w:fldChar w:fldCharType="separate"/>
      </w:r>
      <w:r>
        <w:t>(Gioia et al., 2013)</w:t>
      </w:r>
      <w:r>
        <w:fldChar w:fldCharType="end"/>
      </w:r>
      <w:r>
        <w:t>.</w:t>
      </w:r>
    </w:p>
    <w:p w14:paraId="30673232" w14:textId="70247643">
      <w:r>
        <w:t>Alternatively evidence can be reuploaded and evaluated as a whole allowing for more nuanced and robust result, that may identify trends useful for further analysis.</w:t>
      </w:r>
    </w:p>
    <w:p w14:paraId="5E317A7C" w14:textId="77777777">
      <w:pPr>
        <w:rPr>
          <w:b/>
        </w:rPr>
      </w:pPr>
      <w:r>
        <w:rPr>
          <w:b/>
        </w:rPr>
        <w:t>Optional Activities</w:t>
      </w:r>
    </w:p>
    <w:p w14:paraId="2B34D378" w14:textId="77777777">
      <w:r>
        <w:t>Quality Audit and Review of Anomalous Items: Review items classified by the MAS as non-scores (</w:t>
      </w:r>
      <w:proofErr w:type="spellStart"/>
      <w:r>
        <w:t>insufficient_evidence</w:t>
      </w:r>
      <w:proofErr w:type="spellEnd"/>
      <w:r>
        <w:t xml:space="preserve">, </w:t>
      </w:r>
      <w:proofErr w:type="spellStart"/>
      <w:r>
        <w:t>not_applicable</w:t>
      </w:r>
      <w:proofErr w:type="spellEnd"/>
      <w:r>
        <w:t>, or conflicting) or associated with low model confidence. Use the corresponding rationale to determine whether the transcript reflects a genuine evidence gap or whether expert recoding is required.</w:t>
      </w:r>
    </w:p>
    <w:p w14:paraId="24A17611" w14:textId="77777777">
      <w:r>
        <w:t>Iterative Post-Hoc Reconfiguration Without Re-Interviewing: Adjust weighting factors or mathematical aggregation formulas in the evaluation profile after the initial evaluation. Recalculate aggregated results from previously verified item scores without repeating the interview or triggering a new AI coding process.</w:t>
      </w:r>
    </w:p>
    <w:p w14:paraId="613B2AFD" w14:textId="77777777">
      <w:pPr>
        <w:rPr>
          <w:b/>
        </w:rPr>
      </w:pPr>
      <w:r>
        <w:rPr>
          <w:b/>
        </w:rPr>
        <w:lastRenderedPageBreak/>
        <w:t>Milestone</w:t>
      </w:r>
    </w:p>
    <w:p w14:paraId="098FB797" w14:textId="0C705E82">
      <w:pPr>
        <w:rPr>
          <w:rFonts w:ascii="FrontPage" w:hAnsi="FrontPage"/>
          <w:b/>
          <w:kern w:val="28"/>
          <w:sz w:val="28"/>
          <w:szCs w:val="19"/>
        </w:rPr>
      </w:pPr>
      <w:r>
        <w:t xml:space="preserve">A validated, reproducible evaluation report supported by quotations is available in </w:t>
      </w:r>
      <w:r>
        <w:t>different</w:t>
      </w:r>
      <w:r>
        <w:t xml:space="preserve"> format</w:t>
      </w:r>
      <w:r>
        <w:t>s</w:t>
      </w:r>
      <w:r>
        <w:t xml:space="preserve"> ready for further </w:t>
      </w:r>
      <w:r>
        <w:t xml:space="preserve">scientific </w:t>
      </w:r>
      <w:r>
        <w:t>use</w:t>
      </w:r>
      <w:r>
        <w:t>.</w:t>
      </w:r>
      <w:r>
        <w:br w:type="page"/>
      </w:r>
    </w:p>
    <w:p w14:paraId="531A9E52" w14:textId="49E1C5B1">
      <w:pPr>
        <w:pStyle w:val="berschrift1"/>
      </w:pPr>
      <w:bookmarkStart w:id="21" w:name="_Toc243650043"/>
      <w:r>
        <w:lastRenderedPageBreak/>
        <w:t xml:space="preserve">Detailed Explanation of the </w:t>
      </w:r>
      <w:r>
        <w:t>Framework</w:t>
      </w:r>
      <w:bookmarkEnd w:id="21"/>
    </w:p>
    <w:p w14:paraId="76336168" w14:textId="213AC2CC">
      <w:pPr>
        <w:pStyle w:val="berschrift2"/>
      </w:pPr>
      <w:bookmarkStart w:id="22" w:name="Step_1_detailled"/>
      <w:bookmarkStart w:id="23" w:name="_Toc243650044"/>
      <w:r>
        <w:t>Step 1</w:t>
      </w:r>
      <w:bookmarkEnd w:id="22"/>
      <w:r>
        <w:t>: Selection of the Latent Construct</w:t>
      </w:r>
      <w:bookmarkEnd w:id="23"/>
    </w:p>
    <w:p w14:paraId="2C2CD3F6" w14:textId="77777777">
      <w:r>
        <w:t>The first step consists of selecting the latent construct to be measured. A latent construct refers to a theoretical phenomenon that cannot be directly observed but must be inferred from observable indicators. The selection of the construct establishes the primary object of interest and defines the objective of the automated measurement process. It determines which theoretical phenomenon the measurement aims to capture and, consequently, which empirical insights the measurement is intended to provide. A clear specification of the target construct is therefore a prerequisite for the subsequent methodological decisions, as these must be aligned with the intended measurement objective.</w:t>
      </w:r>
    </w:p>
    <w:p w14:paraId="4ECC3D89" w14:textId="77777777">
      <w:r>
        <w:t>No predefined options are specified for this step, as the selection of the construct depends on the research objective and the theoretical context of the investigation. Nevertheless, several optional activities can support this decision and improve its conceptual grounding.</w:t>
      </w:r>
    </w:p>
    <w:p w14:paraId="3D9D6883" w14:textId="2DE92DEB">
      <w:r>
        <w:t xml:space="preserve">One such activity is a review of the relevant literature. Examining the theoretical foundations and existing empirical research helps establish how the construct has previously been conceptualized and investigated. A </w:t>
      </w:r>
      <w:r>
        <w:t xml:space="preserve">structured or </w:t>
      </w:r>
      <w:r>
        <w:t xml:space="preserve">systematic literature review (SLR) can provide a structured overview of its measurement history, established operationalizations, recent developments, and methodological challenges. This is particularly relevant when developing an automated measurement approach, as existing measurement practices may rely on conventional methods, such as questionnaires, whose suitability for the intended research objective requires examination. Reviewing these approaches can help identify unresolved measurement problems and potential gaps that motivate the development of alternative methods. However, identifying a gap in existing measurement approaches does not, by itself, establish that a measurement guided by this framework is feasible or methodologically superior. Such claims require further theoretical and empirical justification. </w:t>
      </w:r>
      <w:proofErr w:type="spellStart"/>
      <w:r>
        <w:t>Neverthless</w:t>
      </w:r>
      <w:proofErr w:type="spellEnd"/>
      <w:r>
        <w:t>, it may be useful to understand where general problems in the measurement are to address them in the MAS by adjusting weights, using a different approach or being able to quantitatively approach the measurement.</w:t>
      </w:r>
    </w:p>
    <w:p w14:paraId="0C61A151" w14:textId="311DDC5D">
      <w:r>
        <w:t>We will not provide a detailed explanation of an SRL and refer you to the standard literature</w:t>
      </w:r>
      <w:r>
        <w:t xml:space="preserve"> </w:t>
      </w:r>
      <w:r>
        <w:fldChar w:fldCharType="begin"/>
      </w:r>
      <w:r>
        <w:instrText xml:space="preserve"> ADDIN ZOTERO_ITEM CSL_CITATION {"citationID":"vcvFFAbB","properties":{"unsorted":false,"formattedCitation":"(e.g. Brocke et al., 2009; Webster &amp; Watson, 2002)","plainCitation":"(e.g. Brocke et al., 2009; Webster &amp; Watson, 2002)","noteIndex":0},"citationItems":[{"id":356,"uris":["http://zotero.org/users/local/review/items/JCLK43A9"],"itemData":{"id":356,"type":"article-journal","container-title":"ECIS 2009 Proceedings","source":"COinS","title":"RECONSTRUCTING THE GIANT: ON THE IMPORTANCE OF RIGOUR IN DOCUMENTING THE LITERATURE SEARCH PROCESS","title-short":"RECONSTRUCTING THE GIANT","URL":"https://aisel.aisnet.org/ecis2009/161","author":[{"family":"Brocke","given":"Jan"},{"family":"Simons","given":"Alexander"},{"family":"Niehaves","given":"Bjoern"},{"family":"Niehaves","given":"Björn"},{"family":"Riemer","given":"Kai"},{"family":"Plattfaut","given":"Ralf"},{"family":"Cleven","given":"Anne"}],"issued":{"date-parts":[["2009",1,1]]}},"prefix":"e.g. "},{"id":358,"uris":["http://zotero.org/users/local/review/items/CS8TL4DG"],"itemData":{"id":358,"type":"article-journal","archive":"JSTOR","container-title":"MIS Quarterly","ISSN":"02767783","issue":"2","page":"xiii-xxiii","publisher":"Management Information Systems Research Center, University of Minnesota","title":"Analyzing the Past to Prepare for the Future: Writing a Literature Review","volume":"26","author":[{"family":"Webster","given":"Jane"},{"family":"Watson","given":"Richard T."}],"issued":{"date-parts":[["2002"]]}}}],"schema":"https://github.com/citation-style-language/schema/raw/master/csl-citation.json"} </w:instrText>
      </w:r>
      <w:r>
        <w:fldChar w:fldCharType="separate"/>
      </w:r>
      <w:r>
        <w:t>(e.g. Brocke et al., 2009; Webster &amp; Watson, 2002)</w:t>
      </w:r>
      <w:r>
        <w:fldChar w:fldCharType="end"/>
      </w:r>
      <w:r>
        <w:t xml:space="preserve"> for further information.</w:t>
      </w:r>
    </w:p>
    <w:p w14:paraId="18764D29" w14:textId="72C172ED">
      <w:r>
        <w:t xml:space="preserve">A second optional activity is the conceptual delimitation of the construct. This involves defining its conceptual boundaries and distinguishing it from related or adjacent constructs. Such distinctions are important because theoretically related concepts may overlap without representing the same phenomenon. If the target construct is insufficiently delimited, subsequent measurement decisions may inadvertently capture aspects of related constructs or omit relevant dimensions of the intended construct. Explicitly defining what belongs to the construct and what falls outside its scope therefore provides a conceptual basis for selecting appropriate indicators and evaluating the validity of the resulting measurement instrument. In particular, this clarification supports content validity by establishing which aspects of the construct should be represented in the measurement. However, conceptual delimitation alone </w:t>
      </w:r>
      <w:r>
        <w:lastRenderedPageBreak/>
        <w:t xml:space="preserve">does not establish that the selected indicators adequately represent the construct. This requires further examination during instrument development and validation. To define a construct it may be a useful start to draw on established definitions and work through past </w:t>
      </w:r>
      <w:r>
        <w:t xml:space="preserve">Literature reviews. Additionally, after an initial self-study it is possible to reach out to leading experts in the field to inquire about additional information and discuss recent trends. This should provide a deeper understanding helping to delineate a construct and related or interconnected aspects. </w:t>
      </w:r>
    </w:p>
    <w:p w14:paraId="751F97D3" w14:textId="541DC9A5">
      <w:pPr>
        <w:pStyle w:val="berschrift2"/>
      </w:pPr>
      <w:bookmarkStart w:id="24" w:name="Step_2_detailled"/>
      <w:bookmarkStart w:id="25" w:name="_Toc243650045"/>
      <w:r>
        <w:t>Step 2</w:t>
      </w:r>
      <w:bookmarkEnd w:id="24"/>
      <w:r>
        <w:t>: Selection of the Output Format</w:t>
      </w:r>
      <w:bookmarkEnd w:id="25"/>
    </w:p>
    <w:p w14:paraId="58106E8A" w14:textId="77777777">
      <w:r>
        <w:t>This step consists of selecting the desired output format for the final evaluation result. The decision determines how the results of the measurement are represented and, consequently, influences the evaluation logic, the processing of the collected data, and the presentation of the findings. The choice should be aligned with the intended use of the measurement and the type of empirical insight required. Two options are distinguished: a qualitative result in the form of an evidence report or profile, and a quantitative result expressed as a numerical score.</w:t>
      </w:r>
    </w:p>
    <w:p w14:paraId="096D8BC3" w14:textId="77777777">
      <w:r>
        <w:rPr>
          <w:b/>
          <w:bCs/>
        </w:rPr>
        <w:t>Option A: Qualitative Result (Evidence Report / Profile)</w:t>
      </w:r>
    </w:p>
    <w:p w14:paraId="4A977355" w14:textId="3A8E28C9">
      <w:r>
        <w:t>Under this option, the measurement produces a structured textual report that presents relevant thematic areas, summarized descriptions, and qualitative findings concerning the object of analysis. This format allows findings to be expressed in a descriptive and contextualized manner without requiring them to be translated into numerical values. It is therefore suitable when the primary objective is to understand and document the characteristics</w:t>
      </w:r>
      <w:r>
        <w:t>, identify trends or clusters of related themes</w:t>
      </w:r>
      <w:r>
        <w:t xml:space="preserve"> of the object of analysis rather than to represent them through a numerical scale. However, the interpretability and usefulness of the report depend on the structure and consistency of the descriptions. If different objects of analysis are described using inconsistent categories, levels of detail, or interpretative criteria, systematic comparison </w:t>
      </w:r>
      <w:r>
        <w:t xml:space="preserve">can </w:t>
      </w:r>
      <w:r>
        <w:t xml:space="preserve">become difficult. Even when a standardized structure is used, textual findings may require additional interpretation to identify similarities and differences across objects, such as organizations. Consequently, a qualitative report can support contextual understanding </w:t>
      </w:r>
      <w:r>
        <w:t xml:space="preserve">by delivering rich in-depth data, revealing clusters or emerging themes </w:t>
      </w:r>
      <w:r>
        <w:t xml:space="preserve">but may offer limited suitability for direct comparisons and statistical analyses. </w:t>
      </w:r>
    </w:p>
    <w:p w14:paraId="2F306643" w14:textId="77777777">
      <w:r>
        <w:rPr>
          <w:b/>
          <w:bCs/>
        </w:rPr>
        <w:t>Option B: Quantitative Score (Numerical Scale Value)</w:t>
      </w:r>
    </w:p>
    <w:p w14:paraId="6ECFDEC5" w14:textId="531C27E5">
      <w:r>
        <w:t>Under this option, the measurement produces numerical values representing the evaluated construct or its constituent dimensions. Scores may be expressed on different scales, such as a Likert-type scale ranging from 1 to 7, a scale from 1 to 100, or a normalized scale ranging from 0 to 1. Depending on the measurement design, scores can be assigned to individual items and subsequently aggregated at the dimension and overall levels. The use of numerical scores requires an explicit scoring logic that defines how the available evidence is translated into numerical values and how individual scores are combined. Without such rules, the resulting values may be difficult to interpret consistently or compare meaningfully across objects of analysis. Furthermore, the numerical representation does not, by itself, establish the validity or precision of the measurement. These properties depend on the theoretical justification of the measurement model and the empirical evidence supporting its application.</w:t>
      </w:r>
    </w:p>
    <w:p w14:paraId="37A221E1" w14:textId="2AAF9899">
      <w:r>
        <w:lastRenderedPageBreak/>
        <w:t xml:space="preserve">An important advantage of quantitative scores is that they facilitate systematic comparisons between objects of analysis and can serve as inputs for statistical analyses. However, the meaning of a numerical score depends on the scale, the scoring procedure, and the assumptions underlying its interpretation. For example, the use of a numerical scale does not automatically imply that differences between scores represent equivalent differences in the underlying construct. Qualitative evidence, such as direct quotations and detailed explanations, can therefore accompany the numerical values to substantiate the evaluations and provide context for their interpretation. This combination can improve the transparency of the scoring process by making the relationship between the observed evidence and the assigned values more explicit. </w:t>
      </w:r>
    </w:p>
    <w:p w14:paraId="61FA8762" w14:textId="721DA777">
      <w:r>
        <w:t xml:space="preserve">The choice between the two options should ultimately reflect the intended purpose of the measurement. A qualitative output prioritizes descriptive detail and contextual interpretation, whereas a quantitative output prioritizes numerical representation and comparability. These formats are not necessarily mutually exclusive: qualitative evidence can also accompany quantitative scores. Whether the framework should produce exclusively qualitative results, exclusively quantitative scores, or a combination of both depends on the research objectives and the requirements of subsequent analyses. </w:t>
      </w:r>
      <w:r>
        <w:t xml:space="preserve">With this decision, especially at an combination, technical feasibility and knowhow should be taken into account. Further, want to stress that the decision in this step is </w:t>
      </w:r>
      <w:r>
        <w:t>pivotal</w:t>
      </w:r>
      <w:r>
        <w:t xml:space="preserve"> for several subsequent step and should </w:t>
      </w:r>
      <w:r>
        <w:t xml:space="preserve">be </w:t>
      </w:r>
      <w:r>
        <w:t>carefully considered.</w:t>
      </w:r>
    </w:p>
    <w:p w14:paraId="463DDC6A" w14:textId="77777777">
      <w:pPr>
        <w:pStyle w:val="berschrift2"/>
      </w:pPr>
      <w:bookmarkStart w:id="26" w:name="Step_3_detailled"/>
      <w:bookmarkStart w:id="27" w:name="_Toc243650046"/>
      <w:r>
        <w:t>Step 3</w:t>
      </w:r>
      <w:bookmarkEnd w:id="26"/>
      <w:r>
        <w:t>: Selection of the Data Basis for Dimensions and Items</w:t>
      </w:r>
      <w:bookmarkEnd w:id="27"/>
    </w:p>
    <w:p w14:paraId="4E3D995C" w14:textId="2A9AE21F">
      <w:r>
        <w:t>This step determines the content basis for measuring the latent construct and defines the dimensions and individual items through which the construct will be operationalized. Dimensions represent conceptually distinguishable aspects of the construct, while individual items specify the content used to assess these aspects. Together, they establish the structure of the measurement approach and determine which information must be collected to evaluate the target construct. The selection of dimensions and items should therefore be consistent with the conceptual definition established i</w:t>
      </w:r>
      <w:r>
        <w:t xml:space="preserve">n </w:t>
      </w:r>
      <w:hyperlink w:anchor="Step_1_detailled" w:history="1">
        <w:r>
          <w:t>Step 1</w:t>
        </w:r>
      </w:hyperlink>
      <w:r>
        <w:t xml:space="preserve"> and</w:t>
      </w:r>
      <w:r>
        <w:t xml:space="preserve"> the intended output format </w:t>
      </w:r>
      <w:r>
        <w:t xml:space="preserve">selected in </w:t>
      </w:r>
      <w:hyperlink w:anchor="Step_2_detailled" w:history="1">
        <w:r>
          <w:t>Step 2</w:t>
        </w:r>
      </w:hyperlink>
      <w:r>
        <w:t>.</w:t>
      </w:r>
    </w:p>
    <w:p w14:paraId="2C3149DF" w14:textId="34E016F2">
      <w:r>
        <w:t xml:space="preserve">The level of detail must be balanced against the practical feasibility of the measurement procedure, particularly when data are collected through interviews. A larger number of dimensions and items may allow the construct to be examined from more perspectives and provide additional opportunities to collect supporting evidence. However, it also increases the amount of information that must be elicited and processed. Depending on the interview design and the complexity of the questions, a large item catalogue can extend interview duration beyond two hours and increase the risk of participant fatigue, potentially affecting the quality of the responses </w:t>
      </w:r>
      <w:r>
        <w:fldChar w:fldCharType="begin"/>
      </w:r>
      <w:r>
        <w:instrText xml:space="preserve"> ADDIN ZOTERO_ITEM CSL_CITATION {"citationID":"2pEWXuz0","properties":{"unsorted":false,"formattedCitation":"(Willis, 2004)","plainCitation":"(Willis, 2004)","noteIndex":0},"citationItems":[{"id":353,"uris":["http://zotero.org/users/local/review/items/7DNUF43F"],"itemData":{"id":353,"type":"book","ISBN":"0-7619-2803-0","publisher":"sage publications","title":"Cognitive interviewing","author":[{"family":"Willis","given":"Gordon B."}],"issued":{"date-parts":[["2004"]]}}}],"schema":"https://github.com/citation-style-language/schema/raw/master/csl-citation.json"} </w:instrText>
      </w:r>
      <w:r>
        <w:fldChar w:fldCharType="separate"/>
      </w:r>
      <w:r>
        <w:t>(Willis, 2004)</w:t>
      </w:r>
      <w:r>
        <w:fldChar w:fldCharType="end"/>
      </w:r>
      <w:r>
        <w:t>. As Data can also be provided by uploading documents, it is possible to support other types of empirical methods. Therefore, it is important to think about how data will be collected or how it optimally should be collected to provide the richest data to explore the construct of interest.</w:t>
      </w:r>
    </w:p>
    <w:p w14:paraId="79EBB59E" w14:textId="5E6CAD78">
      <w:r>
        <w:t xml:space="preserve">In a multi-agent system, some redundancy between items may be useful because related questions can elicit complementary evidence or allow different aspects of a construct to be examined. However, the extent to which redundancy improves evidence coverage depends on the measurement design and the way in which responses are processed. Unnecessary </w:t>
      </w:r>
      <w:r>
        <w:lastRenderedPageBreak/>
        <w:t>duplication should therefore be limited to avoid increasing participant burden without a corresponding methodological benefit. The selection process should aim to achieve sufficient coverage of the construct while keeping the number of dimensions and items manageable. This is especially important for qualitative data collection like interviews</w:t>
      </w:r>
      <w:r>
        <w:t xml:space="preserve">. </w:t>
      </w:r>
    </w:p>
    <w:p w14:paraId="62A364C9" w14:textId="2CB0CCB2">
      <w:r>
        <w:t>Three options are available for establishing the content basis of the</w:t>
      </w:r>
      <w:r>
        <w:t xml:space="preserve"> dimensions and items underling the</w:t>
      </w:r>
      <w:r>
        <w:t xml:space="preserve"> measurement approach: adopting an established measurement scale, deriving dimensions and items from the literature, or developing them on the basis of original empirical studies or theoretical considerations.</w:t>
      </w:r>
    </w:p>
    <w:p w14:paraId="315E4C8F" w14:textId="77777777">
      <w:pPr>
        <w:spacing w:line="360" w:lineRule="auto"/>
      </w:pPr>
      <w:r>
        <w:rPr>
          <w:b/>
          <w:bCs/>
        </w:rPr>
        <w:t>Option A: Established Measurement Scale</w:t>
      </w:r>
    </w:p>
    <w:p w14:paraId="09ABE61D" w14:textId="77777777">
      <w:r>
        <w:t>Under this option, the dimensions and individual items are adopted from an existing, published, psychometrically validated measurement scale. Using an established scale provides a documented starting point for operationalizing the construct and allows the measurement design to draw on prior validation work. Where the original measurement model specifies scoring procedures, weighting schemes, or aggregation rules, these can serve as a reference for the development of the intended measurement approach.</w:t>
      </w:r>
    </w:p>
    <w:p w14:paraId="22A7AA0C" w14:textId="167D7CB6">
      <w:r>
        <w:t xml:space="preserve">However, the applicability of an established scale depends on the extent to which its construct definition, dimensions, items, and intended application correspond to the target of the present investigation. A scale validated in one population, context, or data collection setting cannot automatically be assumed to be valid in another. This consideration is particularly relevant when items originally designed for questionnaires are transferred to an interview-based measurement procedure or evaluated through a multi-agent system. Changes in wording, response format, administration, or scoring may affect the relationship between the original validation evidence and the adapted instrument. Consequently, adopting an established scale does not eliminate the need to examine its suitability for the intended application. Moreover, the original weighting and aggregation procedures should not be transferred uncritically if the data collection or scoring method differs from that used in the original scale. </w:t>
      </w:r>
      <w:r>
        <w:t>Nevertheless, using an established scale makes following steps easier by reducing decisions e.g. about aggregation rules or possible interview questions.</w:t>
      </w:r>
      <w:r>
        <w:t xml:space="preserve"> Moreover, scales in general should be critically challenged as they are a proxy for a construct and may not be “more correct” than a adjusted set of items measured with a new measurement approach.</w:t>
      </w:r>
    </w:p>
    <w:p w14:paraId="15335B17" w14:textId="77777777">
      <w:r>
        <w:rPr>
          <w:b/>
          <w:bCs/>
        </w:rPr>
        <w:t>Option B: Current Literature (Systematic Literature Review)</w:t>
      </w:r>
    </w:p>
    <w:p w14:paraId="6E3A34D4" w14:textId="0D6EDE18">
      <w:r>
        <w:t xml:space="preserve">Under this option, dimensions and items are derived from an existing peer-reviewed systematic literature review or from a </w:t>
      </w:r>
      <w:r>
        <w:t xml:space="preserve">(systematic) </w:t>
      </w:r>
      <w:r>
        <w:t>literature review conducted specifically for the measurement project. The review examines research on the target construct or related topics to identify established conceptual dimensions, measurement indicators, and previously used items. Depending on the research objective, it may also identify relevant aspects, influencing factors, and indicators that can inform the development of a measurement structure. These elements can be adopted, adapted, or synthesized into a catalogue of dimensions and items that reflects the available state of knowledge.</w:t>
      </w:r>
    </w:p>
    <w:p w14:paraId="4A09A10D" w14:textId="096A68BA">
      <w:r>
        <w:t xml:space="preserve">This approach can provide a broad overview of how the construct has been conceptualized and measured across different studies. It is particularly useful when no single established scale </w:t>
      </w:r>
      <w:r>
        <w:lastRenderedPageBreak/>
        <w:t>adequately captures the intended measurement target or when the research requires the integration of findings from several theoretical or empirical perspectives. Nevertheless, the breadth of the literature can also create difficulties. Studies may use different construct definitions, theoretical assumptions, operationalizations, and levels of analysis. Consequently, dimensions and items identified across studies cannot necessarily be combined directly without examining their conceptual compatibility. Furthermore, extracting all potentially relevant indicators may result in an extensive item catalogue,</w:t>
      </w:r>
      <w:r>
        <w:t xml:space="preserve"> leading to complications in the following steps like increasing interview duration and complicating the definition of scoring and aggregation rules</w:t>
      </w:r>
      <w:r>
        <w:t>. A literature-based catalogue therefore requires a selection and synthesis process that distinguishes essential content from overlapping, context-specific, or insufficiently supported indicators.</w:t>
      </w:r>
    </w:p>
    <w:p w14:paraId="46EC63D1" w14:textId="35652625">
      <w:r>
        <w:t xml:space="preserve">To </w:t>
      </w:r>
      <w:r>
        <w:t xml:space="preserve">practically </w:t>
      </w:r>
      <w:r>
        <w:t>implement this step, conduct a SLR or use an existing SLR. During the review, identify potential measurement items and the dimensions they represent. Start by mapping these items and dimensions visually, indicating which items contribute to which dimensions. Next, add the relationships and dependencies between dimensions and between individual items. Finally, identify antecedents that may support one item or dimension while hindering another. Use this map to consolidate overlapping items and dimensions and develop an integrated overview of the topic.</w:t>
      </w:r>
    </w:p>
    <w:p w14:paraId="6E744942" w14:textId="77777777">
      <w:r>
        <w:rPr>
          <w:b/>
          <w:bCs/>
        </w:rPr>
        <w:t>Option C: Own Empirical Studies or Theoretical Considerations</w:t>
      </w:r>
    </w:p>
    <w:p w14:paraId="7E2B6B80" w14:textId="77777777">
      <w:r>
        <w:t>Under this option, dimensions and items are developed independently on the basis of theoretical considerations, original empirical studies, or a combination of both. Theoretical models can provide an initial structure for identifying the relevant aspects of the construct, while original qualitative research can generate insights into how the construct manifests in the specific context under investigation. These insights can then be translated into dimensions and individual items that reflect the intended measurement target.</w:t>
      </w:r>
    </w:p>
    <w:p w14:paraId="62C7F786" w14:textId="51534C47">
      <w:r>
        <w:t>The main advantage of this approach is its flexibility. It allows the measurement structure to be tailored to a construct or research context that is insufficiently represented by established scales or the available literature. It may therefore be appropriate when existing operationalizations do not adequately capture the phenomenon of interest</w:t>
      </w:r>
      <w:r>
        <w:t xml:space="preserve"> or if it is new and still emerging</w:t>
      </w:r>
      <w:r>
        <w:t>. However, independently developed dimensions and items lack the accumulated validation evidence that may be available for established measurement scales. Their conceptual relevance, completeness, and ability to capture the intended construct must therefore be examined through additional theoretical and empirical work. Depending on the measurement design, this may include expert assessment, pilot studies, and subsequent reliability and validity analyses</w:t>
      </w:r>
      <w:r>
        <w:t xml:space="preserve"> </w:t>
      </w:r>
      <w:r>
        <w:fldChar w:fldCharType="begin"/>
      </w:r>
      <w:r>
        <w:instrText xml:space="preserve"> ADDIN ZOTERO_ITEM CSL_CITATION {"citationID":"SZb4J3b7","properties":{"unsorted":false,"formattedCitation":"(for validation approaches see e.g. Dixon &amp; Massey Jr., 1951; Mayer &amp; Butler, 1993; O\\uc0\\u8217{}Connor &amp; Joffe, 2020)","plainCitation":"(for validation approaches see e.g. Dixon &amp; Massey Jr., 1951; Mayer &amp; Butler, 1993; O’Connor &amp; Joffe, 2020)","noteIndex":0},"citationItems":[{"id":359,"uris":["http://zotero.org/users/local/review/items/9S8FIGH3"],"itemData":{"id":359,"type":"book","abstract":"This textbook for a basic statistics course assumes, mathematics to only algebraic addition, subtraction, and multiplication. Text discussion, examples, and problems utilize material from a wide variety of subject fields including psychology. Topics covered include distributions, samples, populations, statistical inference, tests of hypotheses, analysis of variance and co-variance, regression and correlation, nonparametric statistics, sequential analysis, etc. There are 26 tables. (PsycINFO Database Record (c) 2016 APA, all rights reserved)","collection-title":"Introduction to statistical analysis","note":"page: x, 370","number-of-pages":"x, 370","publisher":"McGraw-Hill","publisher-place":"New York, NY, US","source":"APA PsycNet","title":"Introduction to statistical analysis","author":[{"family":"Dixon","given":"Wilfrid J."},{"family":"Massey Jr.","given":"Frank J."}],"issued":{"date-parts":[["1951"]]}},"prefix":"for validation approaches see e.g."},{"id":362,"uris":["http://zotero.org/users/local/review/items/MKBVC5ID"],"itemData":{"id":362,"type":"article-journal","container-title":"Ecological Modelling","DOI":"10.1016/0304-3800(93)90105-2","ISSN":"03043800","issue":"1-2","journalAbbreviation":"Ecological Modelling","language":"en","license":"https://www.elsevier.com/tdm/userlicense/1.0/","page":"21-32","source":"DOI.org (Crossref)","title":"Statistical validation","volume":"68","author":[{"family":"Mayer","given":"D.G."},{"family":"Butler","given":"D.G."}],"issued":{"date-parts":[["1993",7]]}}},{"id":361,"uris":["http://zotero.org/users/local/review/items/XQVWES2E"],"itemData":{"id":361,"type":"article-journal","abstract":"Evaluating the intercoder reliability (ICR) of a coding frame is frequently recommended as good practice in qualitative analysis. ICR is a somewhat controversial topic in the qualitative research community, with some arguing that it is an inappropriate or unnecessary step within the goals of qualitative analysis. Yet ICR assessment can yield numerous benefits for qualitative studies, which include improving the systematicity, communicability, and transparency of the coding process; promoting reflexivity and dialogue within research teams; and helping convince diverse audiences of the trustworthiness of the analysis. Few guidelines exist to help researchers negotiate the assessment of ICR in qualitative analysis. The current article explains what ICR is, reviews common arguments for and against its incorporation in qualitative analysis and offers guidance on the practical elements of performing an ICR assessment.","container-title":"International Journal of Qualitative Methods","DOI":"10.1177/1609406919899220","ISSN":"1609-4069, 1609-4069","journalAbbreviation":"International Journal of Qualitative Methods","language":"en","page":"1609406919899220","source":"DOI.org (Crossref)","title":"Intercoder Reliability in Qualitative Research: Debates and Practical Guidelines","title-short":"Intercoder Reliability in Qualitative Research","volume":"19","author":[{"family":"O’Connor","given":"Cliodhna"},{"family":"Joffe","given":"Helene"}],"issued":{"date-parts":[["2020",1,1]]}}}],"schema":"https://github.com/citation-style-language/schema/raw/master/csl-citation.json"} </w:instrText>
      </w:r>
      <w:r>
        <w:fldChar w:fldCharType="separate"/>
      </w:r>
      <w:r>
        <w:rPr>
          <w:rFonts w:cs="Times New Roman"/>
        </w:rPr>
        <w:t>(for validation approaches see e.g. Dixon &amp; Massey Jr., 1951; Mayer &amp; Butler, 1993; O’Connor &amp; Joffe, 2020)</w:t>
      </w:r>
      <w:r>
        <w:fldChar w:fldCharType="end"/>
      </w:r>
      <w:r>
        <w:t>.</w:t>
      </w:r>
    </w:p>
    <w:p w14:paraId="2C6FAA6B" w14:textId="33B619FE">
      <w:r>
        <w:t xml:space="preserve">The three options provide different starting points for defining the measurement structure, but they are not necessarily mutually exclusive. </w:t>
      </w:r>
      <w:r>
        <w:t>An established scale can be supplemented with relevant findings from the literature, while original empirical research can help examine and refine dimensions derived from existing sources. However, combining these approaches may increase the complexity of conceptualizing and operationalizing the construct.</w:t>
      </w:r>
      <w:r>
        <w:t xml:space="preserve"> The appropriate approach depends on the availability and suitability of established operationalizations, the </w:t>
      </w:r>
      <w:r>
        <w:lastRenderedPageBreak/>
        <w:t>research objective, and the degree to which the intended measurement target is already represented in existing knowledge. Regardless of the option selected, the resulting dimensions and items must be conceptually aligned with the target construct and sufficiently specified to guide the subsequent measurement process.</w:t>
      </w:r>
    </w:p>
    <w:p w14:paraId="52E9A36F" w14:textId="367D46D1">
      <w:r>
        <w:t xml:space="preserve">A </w:t>
      </w:r>
      <w:r>
        <w:t>milestone is reached when all dimensions and individual items required for the intended measurement approach have been defined. This includes establishing the content to be assessed and documenting the resulting measurement structure. The completion of this milestone establishes the content basis for subsequent steps</w:t>
      </w:r>
      <w:r>
        <w:t>.</w:t>
      </w:r>
    </w:p>
    <w:p w14:paraId="5A18773D" w14:textId="77777777">
      <w:pPr>
        <w:pStyle w:val="berschrift2"/>
      </w:pPr>
      <w:bookmarkStart w:id="28" w:name="Step_4_detailled"/>
      <w:bookmarkStart w:id="29" w:name="_Toc243650047"/>
      <w:r>
        <w:t>Step 4</w:t>
      </w:r>
      <w:bookmarkEnd w:id="28"/>
      <w:r>
        <w:t>: Definition of the Aggregation Logic</w:t>
      </w:r>
      <w:bookmarkEnd w:id="29"/>
    </w:p>
    <w:p w14:paraId="77A34D27" w14:textId="77777777">
      <w:r>
        <w:t xml:space="preserve">This step defines the mathematical rules used to calculate dimension-level and overall scores from individual item scores. It is applicable only if a </w:t>
      </w:r>
      <w:r>
        <w:rPr>
          <w:b/>
        </w:rPr>
        <w:t>quantitative output format</w:t>
      </w:r>
      <w:r>
        <w:t xml:space="preserve"> was selected in Step 2. The aggregation logic establishes how individual evaluations are combined into higher-level numerical values and determines the contribution of each item to the resulting scores. Defining these rules explicitly is necessary to ensure that the calculation procedure is deterministic and can be applied consistently across objects of analysis.</w:t>
      </w:r>
    </w:p>
    <w:p w14:paraId="0A86D6EA" w14:textId="2893AA0F">
      <w:r>
        <w:t xml:space="preserve">The aggregation logic may be specified during this step or implemented later, for example when building the MAS or adapting an existing system. Nevertheless, considering the scoring procedure at this stage can influence subsequent design decisions, particularly the development of the interview questionnaire </w:t>
      </w:r>
      <w:r>
        <w:t xml:space="preserve">in </w:t>
      </w:r>
      <w:hyperlink w:anchor="Step_6_detailled" w:history="1">
        <w:r>
          <w:t>Step</w:t>
        </w:r>
        <w:r>
          <w:t xml:space="preserve"> 6</w:t>
        </w:r>
      </w:hyperlink>
      <w:r>
        <w:t>. If</w:t>
      </w:r>
      <w:r>
        <w:t xml:space="preserve"> certain items must contribute to specific dimensions or if the scoring procedure requires particular types of evidence, these requirements can affect how questions are formulated and which aspects of the construct need to be addressed during the interview. Defining the aggregation logic early can therefore help align data collection with the intended scoring procedure. Conversely, postponing this decision may require adjustments to the questionnaire or measurement design if the collected data do not support the intended calculations.</w:t>
      </w:r>
    </w:p>
    <w:p w14:paraId="4ED3C3E2" w14:textId="27B58B4F">
      <w:r>
        <w:t>An important preliminary decision concerns the treatment of items for which insufficient evidence was collected. Insufficient evidence can arise for different reasons. If interviews are conducted the interviewee may provide too little information to support an evaluation, the MAS may not have asked sufficient questions to elicit the required information, or the interviewee may not have answered the relevant questions. In addition, an interview may be terminated before all relevant topics have been addressed. Alternatively if data was uploaded, the content my not contain enough material specifically addressing the items and dimension</w:t>
      </w:r>
      <w:r>
        <w:t>s</w:t>
      </w:r>
      <w:r>
        <w:t>. These situations differ in their underlying causes, but each can prevent an item from being evaluated on the basis of the available</w:t>
      </w:r>
      <w:r>
        <w:t xml:space="preserve"> data</w:t>
      </w:r>
      <w:r>
        <w:t>. The aggregation logic must therefore specify how such items are handled rather than assuming that every item will yield a valid score.</w:t>
      </w:r>
    </w:p>
    <w:p w14:paraId="51973B82" w14:textId="77777777">
      <w:r>
        <w:t xml:space="preserve">Items without sufficient evidence may be excluded from the aggregation or handled according to another explicitly defined rule. In particular, an item for which no valid evaluation is possible should not automatically be assigned a score of zero, as zero may represent a substantive evaluation rather than missing information. Treating missing or insufficient evidence as zero could therefore conflate the absence of evaluable information with a low level of the construct. However, excluding such items also has implications: if the available evidence covers only a </w:t>
      </w:r>
      <w:r>
        <w:lastRenderedPageBreak/>
        <w:t>subset of the intended measurement content, the resulting score may not fully represent the construct. Differences in evidence coverage between objects of analysis may consequently affect the comparability of their scores. The reasons for insufficient evidence and the criteria for determining whether an item can be scored should therefore be documented.</w:t>
      </w:r>
    </w:p>
    <w:p w14:paraId="7B9DE931" w14:textId="77777777">
      <w:r>
        <w:t>Therefore, we recommend assigning no numerical score to items for which the available evidence is insufficient or unsuitable. Instead, the source material should be reviewed to assess whether the evidence supports the item and fits the intended measurement context. The MAS can use predefined classifiers, such as “</w:t>
      </w:r>
      <w:proofErr w:type="spellStart"/>
      <w:r>
        <w:t>insufficient_evidence</w:t>
      </w:r>
      <w:proofErr w:type="spellEnd"/>
      <w:r>
        <w:t>,” “</w:t>
      </w:r>
      <w:proofErr w:type="spellStart"/>
      <w:r>
        <w:t>not_applicable</w:t>
      </w:r>
      <w:proofErr w:type="spellEnd"/>
      <w:r>
        <w:t xml:space="preserve">,” and “conflicting,” to identify the nature of the problem and flag the item as invalid for scoring. Items flagged in this way should be excluded from the aggregation of the overall construct score and from subsequent quantitative evaluations until the issue has been resolved. Rather than treating these items as permanently </w:t>
      </w:r>
      <w:proofErr w:type="spellStart"/>
      <w:r>
        <w:t>unscorable</w:t>
      </w:r>
      <w:proofErr w:type="spellEnd"/>
      <w:r>
        <w:t>, the flags should trigger reassessment using additional information where available. Once sufficient and appropriate evidence has been established, a valid score can be assigned and included in subsequent calculations. We follow this approach throughout the remainder of this framework. The next section describes possible aggregation methods for deriving overall construct scores.</w:t>
      </w:r>
    </w:p>
    <w:p w14:paraId="23187F04" w14:textId="50738ABA">
      <w:r>
        <w:rPr>
          <w:b/>
          <w:bCs/>
        </w:rPr>
        <w:t>Option A: Unweighted Arithmetic Mean</w:t>
      </w:r>
    </w:p>
    <w:p w14:paraId="7DCD8FD8" w14:textId="77777777">
      <w:r>
        <w:t>Under this option, dimension-level and overall scores are calculated using the unweighted arithmetic mean of the valid individual item scores included at the respective level. Each validly scored item contributes equally to the calculation. This approach is straightforward to implement and interpret, provided that the underlying scores are numerically suitable for arithmetic aggregation and that equal item weighting is consistent with the intended measurement logic.</w:t>
      </w:r>
    </w:p>
    <w:p w14:paraId="5214580A" w14:textId="77777777">
      <w:r>
        <w:t>For a dimension containing multiple valid item scores, the dimension-level score is calculated by summing these scores and dividing the sum by the number of valid items. Items excluded because of insufficient evidence or other predefined exclusion criteria are not included in the denominator. If no valid item scores are available for a dimension, a dimension-level mean cannot be calculated. Such cases require an explicit rule for reporting the dimension result.</w:t>
      </w:r>
    </w:p>
    <w:p w14:paraId="71825A29" w14:textId="77777777">
      <w:r>
        <w:t>The overall score can be calculated in different ways. One possibility is to calculate the arithmetic mean of all valid individual item scores across the measurement instrument. Under this procedure, the overall score is not calculated as the mean of the dimension-level scores. This distinction matters because averaging dimension-level scores gives each dimension equal weight, whereas averaging all valid item scores gives greater influence to dimensions containing more validly scored items. The two procedures produce the same result only under particular conditions, such as when the dimensions contribute equally through their valid item counts or their scores happen to yield the same weighted and unweighted averages. The intended aggregation procedure must therefore be specified explicitly.</w:t>
      </w:r>
    </w:p>
    <w:p w14:paraId="30C9D1A1" w14:textId="644E8FDE">
      <w:r>
        <w:t xml:space="preserve">When items are excluded from the calculation, the denominator consists only of the items with valid scores. For example, if an instrument contains items classified as </w:t>
      </w:r>
      <w:proofErr w:type="spellStart"/>
      <w:r>
        <w:t>insufficient_evidence</w:t>
      </w:r>
      <w:proofErr w:type="spellEnd"/>
      <w:r>
        <w:t xml:space="preserve">, </w:t>
      </w:r>
      <w:proofErr w:type="spellStart"/>
      <w:r>
        <w:t>not_applicable</w:t>
      </w:r>
      <w:proofErr w:type="spellEnd"/>
      <w:r>
        <w:t xml:space="preserve">, or conflicting, and the selected policy excludes these categories, they are omitted from both the sum and the denominator. The resulting mean represents the average of the remaining valid item scores. However, the interpretation of this mean depends on the number and distribution of valid scores and on whether the available evidence adequately covers the </w:t>
      </w:r>
      <w:r>
        <w:lastRenderedPageBreak/>
        <w:t>intended measurement content. Reporting the proportion of validly scored items alongside the score can help make differences in evidence coverage visible.</w:t>
      </w:r>
    </w:p>
    <w:p w14:paraId="497BD558" w14:textId="70C4DA24">
      <w:r>
        <w:t>The arithmetic mean is commonly used to aggregate item responses in many multi-item measurement instruments, including instruments based on Likert-type response scales</w:t>
      </w:r>
      <w:r>
        <w:t xml:space="preserve"> </w:t>
      </w:r>
      <w:r>
        <w:t xml:space="preserve"> </w:t>
      </w:r>
      <w:r>
        <w:fldChar w:fldCharType="begin"/>
      </w:r>
      <w:r>
        <w:instrText xml:space="preserve"> ADDIN ZOTERO_ITEM CSL_CITATION {"citationID":"ZHmn5xRQ","properties":{"unsorted":false,"formattedCitation":"(Sullivan &amp; Artino, 2013)","plainCitation":"(Sullivan &amp; Artino, 2013)","noteIndex":0},"citationItems":[{"id":354,"uris":["http://zotero.org/users/local/review/items/ADII5XE7"],"itemData":{"id":354,"type":"article-journal","container-title":"Journal of Graduate Medical Education","DOI":"10.4300/JGME-5-4-18","ISSN":"1949-8357, 1949-8349","issue":"4","page":"541-542","source":"DOI.org (Crossref)","title":"Analyzing and Interpreting Data From Likert-Type Scales","volume":"5","author":[{"family":"Sullivan","given":"Gail M."},{"family":"Artino","given":"Anthony R."}],"issued":{"date-parts":[["2013",12]]}}}],"schema":"https://github.com/citation-style-language/schema/raw/master/csl-citation.json"} </w:instrText>
      </w:r>
      <w:r>
        <w:fldChar w:fldCharType="separate"/>
      </w:r>
      <w:r>
        <w:t>(Sullivan &amp; Artino, 2013)</w:t>
      </w:r>
      <w:r>
        <w:fldChar w:fldCharType="end"/>
      </w:r>
      <w:r>
        <w:t>. Nevertheless, the appropriateness of this procedure depends on the measurement model and the assumptions made about the scores. Equal weighting also presupposes that the items should contribute equally to the resulting score</w:t>
      </w:r>
      <w:r>
        <w:t>.</w:t>
      </w:r>
      <w:r>
        <w:t xml:space="preserve"> </w:t>
      </w:r>
      <w:r>
        <w:t>T</w:t>
      </w:r>
      <w:r>
        <w:t xml:space="preserve">his does not follow automatically from the fact that all items measure aspects of the same construct. </w:t>
      </w:r>
      <w:r>
        <w:t xml:space="preserve">Furthermore, aggregating item scores independently may overlook interactions between dimensions, shared antecedents, and potentially conflicting organizational characteristics. For example, organizational resilience may require both agility and a clear hierarchical structure </w:t>
      </w:r>
      <w:r>
        <w:fldChar w:fldCharType="begin"/>
      </w:r>
      <w:r>
        <w:instrText xml:space="preserve"> ADDIN ZOTERO_ITEM CSL_CITATION {"citationID":"phOkxRa2","properties":{"unsorted":false,"formattedCitation":"(Su &amp; Junge, 2023)","plainCitation":"(Su &amp; Junge, 2023)","noteIndex":0},"citationItems":[{"id":363,"uris":["http://zotero.org/users/local/review/items/IA2ZTDJJ"],"itemData":{"id":363,"type":"article-journal","container-title":"European Management Journal","DOI":"10.1016/j.emj.2023.03.002","ISSN":"02632373","issue":"6","journalAbbreviation":"European Management Journal","language":"en","page":"1086-1105","source":"DOI.org (Crossref)","title":"Unlocking the recipe for organizational resilience: A review and future research directions","title-short":"Unlocking the recipe for organizational resilience","volume":"41","author":[{"family":"Su","given":"Wenjia"},{"family":"Junge","given":"Sebastian"}],"issued":{"date-parts":[["2023",12]]}}}],"schema":"https://github.com/citation-style-language/schema/raw/master/csl-citation.json"} </w:instrText>
      </w:r>
      <w:r>
        <w:fldChar w:fldCharType="separate"/>
      </w:r>
      <w:r>
        <w:t>(Su &amp; Junge, 2023)</w:t>
      </w:r>
      <w:r>
        <w:fldChar w:fldCharType="end"/>
      </w:r>
      <w:r>
        <w:t>. Although both characteristics can contribute to resilience, strengthening one may constrain the other, creating a trade-off. Consequently, a company may exhibit high resilience despite not achieving high scores on every individual item. An aggregation method that assumes all items can be maximized simultaneously may therefore underestimate the company's actual resilience. It is thus important to consider interactions between items and dimensions, assess how these interactions affect the interpretation of aggregate scores, and determine whether they should be explicitly incorporated into the scoring approach.</w:t>
      </w:r>
    </w:p>
    <w:p w14:paraId="2EB4723A" w14:textId="77777777">
      <w:r>
        <w:rPr>
          <w:b/>
          <w:bCs/>
        </w:rPr>
        <w:t>Option B: Individual or Weighted Aggregation Rule</w:t>
      </w:r>
    </w:p>
    <w:p w14:paraId="5B8EEC11" w14:textId="77777777">
      <w:r>
        <w:t>Under this option, the contribution of individual items or dimensions is differentiated through predefined weighting factors or a more complex aggregation procedure. Rather than assigning equal weight to all valid item scores, the measurement design specifies how particular items or combinations of items contribute to the resulting dimension-level or overall scores. Such rules may be appropriate when the theoretical model provides a justification for differentiating the importance of particular indicators or when the intended measurement logic requires relationships between items that cannot be represented adequately by a simple arithmetic mean.</w:t>
      </w:r>
    </w:p>
    <w:p w14:paraId="15032F94" w14:textId="7FBD95DF">
      <w:r>
        <w:t>However, weighting factors and more complex aggregation procedures require a clear methodological justification. Arbitrarily assigned weights may introduce subjective assumptions into the resulting scores. Where weights are estimated empirically, their suitability depends on the available data, the estimation procedure, and the stability of the resulting parameters. The additional complexity of a weighting scheme does not, by itself, improve measurement quality.</w:t>
      </w:r>
    </w:p>
    <w:p w14:paraId="39E6DDAB" w14:textId="3ED3C19D">
      <w:r>
        <w:t xml:space="preserve">This aggregation approach may be particularly useful when no established measurement scale exists and items must be derived from the literature. To account for combinations of items that jointly contribute to a construct, Qualitative Comparative Analysis (QCA) offers a potential approach </w:t>
      </w:r>
      <w:r>
        <w:fldChar w:fldCharType="begin"/>
      </w:r>
      <w:r>
        <w:instrText xml:space="preserve"> ADDIN ZOTERO_ITEM CSL_CITATION {"citationID":"ONnM9p6q","properties":{"unsorted":false,"formattedCitation":"(Ragin, 2008)","plainCitation":"(Ragin, 2008)","noteIndex":0},"citationItems":[{"id":355,"uris":["http://zotero.org/users/local/review/items/NYQIWM4U"],"itemData":{"id":355,"type":"book","call-number":"H62 .R235 2008","ISBN":"978-0-226-70273-5","number-of-pages":"225","publisher":"University of Chicago Press","publisher-place":"Chicago","source":"Library of Congress ISBN","title":"Redesigning social inquiry: fuzzy sets and beyond","title-short":"Redesigning social inquiry","author":[{"family":"Ragin","given":"Charles C."}],"issued":{"date-parts":[["2008"]]}}}],"schema":"https://github.com/citation-style-language/schema/raw/master/csl-citation.json"} </w:instrText>
      </w:r>
      <w:r>
        <w:fldChar w:fldCharType="separate"/>
      </w:r>
      <w:r>
        <w:t>(Ragin, 2008)</w:t>
      </w:r>
      <w:r>
        <w:fldChar w:fldCharType="end"/>
      </w:r>
      <w:r>
        <w:t>. QCA is a configurational, set-theoretic method that examines how combinations of conditions relate to an outcome by combining case-based analysis with systematic cross-case comparison. It can help identify necessary and sufficient conditions and reveal how different factors interact to produce an outcome.</w:t>
      </w:r>
    </w:p>
    <w:p w14:paraId="68D2BFA9" w14:textId="70535FD9">
      <w:r>
        <w:t>Three main variants differ in their calibration of set membership: crisp-set QCA (</w:t>
      </w:r>
      <w:proofErr w:type="spellStart"/>
      <w:r>
        <w:t>csQCA</w:t>
      </w:r>
      <w:proofErr w:type="spellEnd"/>
      <w:r>
        <w:t>), which uses binary values (0 or 1)</w:t>
      </w:r>
      <w:r>
        <w:t>,</w:t>
      </w:r>
      <w:r>
        <w:t xml:space="preserve"> fuzzy-set QCA (</w:t>
      </w:r>
      <w:proofErr w:type="spellStart"/>
      <w:r>
        <w:t>fsQCA</w:t>
      </w:r>
      <w:proofErr w:type="spellEnd"/>
      <w:r>
        <w:t>), which allows graded membership between 0 and 1</w:t>
      </w:r>
      <w:r>
        <w:t>,</w:t>
      </w:r>
      <w:r>
        <w:t xml:space="preserve"> and multi-value QCA (</w:t>
      </w:r>
      <w:proofErr w:type="spellStart"/>
      <w:r>
        <w:t>mvQCA</w:t>
      </w:r>
      <w:proofErr w:type="spellEnd"/>
      <w:r>
        <w:t xml:space="preserve">), which uses multiple discrete categories. For guidance on </w:t>
      </w:r>
      <w:r>
        <w:lastRenderedPageBreak/>
        <w:t xml:space="preserve">applying QCA and established research practices, see Ragin </w:t>
      </w:r>
      <w:r>
        <w:fldChar w:fldCharType="begin"/>
      </w:r>
      <w:r>
        <w:instrText xml:space="preserve"> ADDIN ZOTERO_ITEM CSL_CITATION {"citationID":"jLab4O4U","properties":{"unsorted":false,"formattedCitation":"(2008)","plainCitation":"(2008)","noteIndex":0},"citationItems":[{"id":355,"uris":["http://zotero.org/users/local/review/items/NYQIWM4U"],"itemData":{"id":355,"type":"book","call-number":"H62 .R235 2008","ISBN":"978-0-226-70273-5","number-of-pages":"225","publisher":"University of Chicago Press","publisher-place":"Chicago","source":"Library of Congress ISBN","title":"Redesigning social inquiry: fuzzy sets and beyond","title-short":"Redesigning social inquiry","author":[{"family":"Ragin","given":"Charles C."}],"issued":{"date-parts":[["2008"]]}},"suppress-author":true}],"schema":"https://github.com/citation-style-language/schema/raw/master/csl-citation.json"} </w:instrText>
      </w:r>
      <w:r>
        <w:fldChar w:fldCharType="separate"/>
      </w:r>
      <w:r>
        <w:t>(2008)</w:t>
      </w:r>
      <w:r>
        <w:fldChar w:fldCharType="end"/>
      </w:r>
      <w:r>
        <w:t xml:space="preserve">, </w:t>
      </w:r>
      <w:proofErr w:type="spellStart"/>
      <w:r>
        <w:t>Greckhamer</w:t>
      </w:r>
      <w:proofErr w:type="spellEnd"/>
      <w:r>
        <w:t xml:space="preserve"> et al. </w:t>
      </w:r>
      <w:r>
        <w:fldChar w:fldCharType="begin"/>
      </w:r>
      <w:r>
        <w:instrText xml:space="preserve"> ADDIN ZOTERO_ITEM CSL_CITATION {"citationID":"40m61m93","properties":{"unsorted":false,"formattedCitation":"(2018)","plainCitation":"(2018)","noteIndex":0},"citationItems":[{"id":364,"uris":["http://zotero.org/users/local/review/items/35WEEDNZ"],"itemData":{"id":364,"type":"article-journal","abstract":"Qualitative comparative analysis is increasingly applied in strategy and organization research. The main purpose of our essay is to support this growing community of qualitative comparative analysis scholars by identifying best practices that can help guide researchers through the key stages of a qualitative comparative analysis empirical study (model building, sampling, calibration, data analysis, reporting, and interpretation of findings) and by providing examples of such practices drawn from strategy and organization studies. Coupled with this main purpose, we respond to Miller’s essay on configuration research by highlighting our points of agreement regarding his recommendations for configurational research and by addressing some of his concerns regarding qualitative comparative analysis. Our article thus contributes to configurational research by articulating how to leverage qualitative comparative analysis for enriching configurational theories of strategy and organization.","container-title":"Strategic Organization","DOI":"10.1177/1476127018786487","ISSN":"1476-1270, 1741-315X","issue":"4","journalAbbreviation":"Strategic Organization","language":"en","page":"482-495","source":"DOI.org (Crossref)","title":"Studying configurations with qualitative comparative analysis: Best practices in strategy and organization research","title-short":"Studying configurations with qualitative comparative analysis","volume":"16","author":[{"family":"Greckhamer","given":"Thomas"},{"family":"Furnari","given":"Santi"},{"family":"Fiss","given":"Peer C."},{"family":"Aguilera","given":"Ruth V."}],"issued":{"date-parts":[["2018",11]]}},"suppress-author":true}],"schema":"https://github.com/citation-style-language/schema/raw/master/csl-citation.json"} </w:instrText>
      </w:r>
      <w:r>
        <w:fldChar w:fldCharType="separate"/>
      </w:r>
      <w:r>
        <w:t>(2018)</w:t>
      </w:r>
      <w:r>
        <w:fldChar w:fldCharType="end"/>
      </w:r>
      <w:r>
        <w:t xml:space="preserve">, and Pappas and Woodside </w:t>
      </w:r>
      <w:r>
        <w:fldChar w:fldCharType="begin"/>
      </w:r>
      <w:r>
        <w:instrText xml:space="preserve"> ADDIN ZOTERO_ITEM CSL_CITATION {"citationID":"jyQeWVgt","properties":{"unsorted":false,"formattedCitation":"(2021)","plainCitation":"(2021)","noteIndex":0},"citationItems":[{"id":366,"uris":["http://zotero.org/users/local/review/items/RCCBW8RB"],"itemData":{"id":366,"type":"article-journal","container-title":"International Journal of Information Management","DOI":"10.1016/j.ijinfomgt.2021.102310","ISSN":"02684012","journalAbbreviation":"International Journal of Information Management","language":"en","page":"102310","source":"DOI.org (Crossref)","title":"Fuzzy-set Qualitative Comparative Analysis (fsQCA): Guidelines for research practice in Information Systems and marketing","title-short":"Fuzzy-set Qualitative Comparative Analysis (fsQCA)","volume":"58","author":[{"family":"Pappas","given":"Ilias O."},{"family":"Woodside","given":"Arch G."}],"issued":{"date-parts":[["2021",6]]}},"suppress-author":true}],"schema":"https://github.com/citation-style-language/schema/raw/master/csl-citation.json"} </w:instrText>
      </w:r>
      <w:r>
        <w:fldChar w:fldCharType="separate"/>
      </w:r>
      <w:r>
        <w:t>(2021)</w:t>
      </w:r>
      <w:r>
        <w:fldChar w:fldCharType="end"/>
      </w:r>
      <w:r>
        <w:t xml:space="preserve">. Of these variants, </w:t>
      </w:r>
      <w:proofErr w:type="spellStart"/>
      <w:r>
        <w:t>fsQCA</w:t>
      </w:r>
      <w:proofErr w:type="spellEnd"/>
      <w:r>
        <w:t xml:space="preserve"> may be particularly suitable when conditions exhibit different degrees of membership. However, its membership scores should not be interpreted as item weights. Rather, </w:t>
      </w:r>
      <w:proofErr w:type="spellStart"/>
      <w:r>
        <w:t>fsQCA</w:t>
      </w:r>
      <w:proofErr w:type="spellEnd"/>
      <w:r>
        <w:t xml:space="preserve"> can inform the development of a scoring approach by identifying configurations of conditions associated with the construct or outcome of interest.</w:t>
      </w:r>
    </w:p>
    <w:p w14:paraId="2CEEBE34" w14:textId="542CBDA7">
      <w:r>
        <w:t xml:space="preserve">Nevertheless, as the number of items increases, configurational approaches such as QCA become more difficult to apply because the number of possible configurations grows exponentially. This increases the risk of limited diversity, in which only a subset of possible configurations is represented in the observed cases, potentially constraining the analysis </w:t>
      </w:r>
      <w:r>
        <w:fldChar w:fldCharType="begin"/>
      </w:r>
      <w:r>
        <w:instrText xml:space="preserve"> ADDIN ZOTERO_ITEM CSL_CITATION {"citationID":"3Qrgk4Pq","properties":{"unsorted":false,"formattedCitation":"(Marx, 2010)","plainCitation":"(Marx, 2010)","noteIndex":0},"citationItems":[{"id":367,"uris":["http://zotero.org/users/local/review/items/L6HMNGLM"],"itemData":{"id":367,"type":"article-journal","container-title":"International Journal of Multiple Research Approaches","DOI":"10.5172/mra.2010.4.2.138","ISSN":"1834-0806, 1834-0814","issue":"2","journalAbbreviation":"International Journal of Multiple Research Approaches","language":"en","page":"138-158","source":"DOI.org (Crossref)","title":"Crisp-set qualitative comparative analysis (csQCA) and model specification: Benchmarks for future csQCA applications","title-short":"Crisp-set qualitative comparative analysis (csQCA) and model specification","volume":"4","author":[{"family":"Marx","given":"Axel"}],"issued":{"date-parts":[["2010",8]]}}}],"schema":"https://github.com/citation-style-language/schema/raw/master/csl-citation.json"} </w:instrText>
      </w:r>
      <w:r>
        <w:fldChar w:fldCharType="separate"/>
      </w:r>
      <w:r>
        <w:t>(Marx, 2010)</w:t>
      </w:r>
      <w:r>
        <w:fldChar w:fldCharType="end"/>
      </w:r>
      <w:r>
        <w:t>. One way to address this limitation is to group related items into higher-order dimensions, thereby reducing model complexity at the expense of granularity.</w:t>
      </w:r>
    </w:p>
    <w:p w14:paraId="7E18437D" w14:textId="77777777">
      <w:r>
        <w:t>More generally, complex aggregation approaches may require empirical data, methodological expertise, and sufficient observations to estimate or evaluate their parameters. These requirements can be difficult to meet when only a small number of organizations or limited historical data are available. The choice of aggregation method should therefore consider not only its theoretical rationale but also its empirical feasibility, interpretability, and reproducibility. The selected procedure should be documented sufficiently to enable the resulting scores to be recalculated and their derivation examined.</w:t>
      </w:r>
    </w:p>
    <w:p w14:paraId="5CCAF5C0" w14:textId="4C6948BC">
      <w:r>
        <w:t xml:space="preserve">The milestone for this step is reached when the rules for calculating dimension-level and overall scores have been defined, including the treatment of items without valid scores. The specification should identify the aggregation formula, the weighting scheme if applicable, the rules for excluding items, and the handling of cases in which insufficient valid evidence is available. These decisions establish the calculation procedure but do not, by themselves, demonstrate that the resulting scores are valid representations of the latent construct. The appropriateness of the aggregation logic </w:t>
      </w:r>
      <w:r>
        <w:t>should</w:t>
      </w:r>
      <w:r>
        <w:t xml:space="preserve"> be considered in relation to the theoretical measurement model and examined through subsequent evaluation where applicable.</w:t>
      </w:r>
    </w:p>
    <w:p w14:paraId="2BF07B5D" w14:textId="64C363CD">
      <w:pPr>
        <w:pStyle w:val="berschrift2"/>
      </w:pPr>
      <w:bookmarkStart w:id="30" w:name="_Toc243650048"/>
      <w:r>
        <w:t>Step 5: Selection of Data Collection and Ingestion Mode</w:t>
      </w:r>
      <w:bookmarkEnd w:id="30"/>
    </w:p>
    <w:p w14:paraId="43B97268" w14:textId="4BF41829">
      <w:r>
        <w:t xml:space="preserve">This step determines how the data required to measure the latent construct are collected, which data sources are used, and how the resulting primary and secondary data are ingested into the MAS and made available for subsequent evaluation. The decision establishes the data collection procedure and the ingestion pathways through which the system obtains the information needed to evaluate the dimensions and items defined </w:t>
      </w:r>
      <w:r>
        <w:t xml:space="preserve">in </w:t>
      </w:r>
      <w:hyperlink w:anchor="Step_3_detailled" w:history="1">
        <w:r>
          <w:t>Step 3</w:t>
        </w:r>
      </w:hyperlink>
      <w:r>
        <w:t>. The</w:t>
      </w:r>
      <w:r>
        <w:t xml:space="preserve"> selected approach must therefore be compatible with the intended measurement structure and the evidence required to derive the desired output.</w:t>
      </w:r>
    </w:p>
    <w:p w14:paraId="3C66CE88" w14:textId="7BAF2404">
      <w:r>
        <w:t>Depending on the research objective and the availability of suitable data, the measurement can be based on live interactions, existing documents and datasets, or a combination of both. The choice affects not only how information enters the system but also the type, completeness, and contextual richness of the available evidence. Three options are distinguished: interaction-based live data collection, document and file upload, and a hybrid combination of both approaches.</w:t>
      </w:r>
    </w:p>
    <w:p w14:paraId="4F0E0D93" w14:textId="77777777">
      <w:r>
        <w:rPr>
          <w:b/>
          <w:bCs/>
        </w:rPr>
        <w:t>Option A: Interaction-Based Live Data Collection (Interviews via MAS)</w:t>
      </w:r>
    </w:p>
    <w:p w14:paraId="692B95E5" w14:textId="4B5FAF48">
      <w:r>
        <w:lastRenderedPageBreak/>
        <w:t xml:space="preserve">Under this option, data are collected through live interviews conducted with participants using the MAS, for example through a voice agent, depending on the system architecture. The interviews follow a predefined interview </w:t>
      </w:r>
      <w:r>
        <w:t xml:space="preserve">guide (covered in </w:t>
      </w:r>
      <w:hyperlink w:anchor="Step_6_detailled" w:history="1">
        <w:r>
          <w:t>S</w:t>
        </w:r>
        <w:r>
          <w:t>tep 6</w:t>
        </w:r>
      </w:hyperlink>
      <w:r>
        <w:t xml:space="preserve">) derived from the dimensions and items established in </w:t>
      </w:r>
      <w:hyperlink w:anchor="Step_3_detailled" w:history="1">
        <w:r>
          <w:t>Step 3</w:t>
        </w:r>
      </w:hyperlink>
      <w:r>
        <w:t>. The system</w:t>
      </w:r>
      <w:r>
        <w:t xml:space="preserve"> can use predefined refining questions or generate additional </w:t>
      </w:r>
      <w:r>
        <w:t>clarifying follow up</w:t>
      </w:r>
      <w:r>
        <w:t xml:space="preserve"> questions when initial responses are incomplete or insufficiently specific. This allows the data collection process to be adapted to participants' responses while maintaining a connection to the intended measurement structure. The extent to which questions can be generated dynamically depends on the capabilities and configuration of the system.</w:t>
      </w:r>
    </w:p>
    <w:p w14:paraId="482255B2" w14:textId="774C8C09">
      <w:r>
        <w:t xml:space="preserve">A central motivation for this approach is to address the practical limitations of conventional interview-based research. Interviews can provide detailed and nuanced information about the object of analysis, but their preparation, execution, transcription, and subsequent analysis can require substantial manual effort. These resource requirements can limit the number of interviews that can be conducted and processed within a given research project. Automating parts of the interview process through an MAS offers a potential way to reduce this workload and make interview-based data collection more scalable. For example by enabling a system to ask follow-up questions which are generated during the interview based on the current context and a desired information goal, an automated system can conduct interviews similar to a human. This is also supported by </w:t>
      </w:r>
      <w:r>
        <w:t>studies</w:t>
      </w:r>
      <w:r>
        <w:t xml:space="preserve"> exploring </w:t>
      </w:r>
      <w:r>
        <w:t xml:space="preserve">generative/agentic AI use in qualitative research </w:t>
      </w:r>
      <w:r>
        <w:fldChar w:fldCharType="begin"/>
      </w:r>
      <w:r>
        <w:instrText xml:space="preserve"> ADDIN ZOTERO_ITEM CSL_CITATION {"citationID":"Wlz3QB3L","properties":{"unsorted":false,"formattedCitation":"(Anugraha et al., 2026; Pattyn, 2025)","plainCitation":"(Anugraha et al., 2026; Pattyn, 2025)","noteIndex":0},"citationItems":[{"id":371,"uris":["http://zotero.org/users/local/review/items/U5KASCMZ"],"itemData":{"id":371,"type":"article","abstract":"Qualitative insights from user experiences are critical for informing product and policy decisions, but collecting such data at scale is constrained by the time and availability of experts to conduct semi-structured interviews. Recent work has explored using large language models (LLMs) to automate interviewing, yet existing systems lack a principled mechanism for balancing systematic coverage of predefined topics with adaptive exploration, or the ability to pursue follow-ups, deep dives, and emergent themes that arise organically during conversation. In this work, we formulate adaptive semi-structured interviewing as an optimization problem over the interviewer’s behavior. We define interview utility as a trade-off between coverage of a predefined interview topic guide, discovery of relevant emergent themes, and interview cost measured by length. Based on this formulation, we introduceSparkMe, a multi-agent LLM interviewer that performs deliberative planning via simulated conversation rollouts to select questions with high expected utility. We evaluateSparkMethrough controlled experiments with LLM-based interviewees, showing that it achieves higher interview utility, improving topic guide coverage (+4.7% over the best baseline) and eliciting richer emergent insights while using fewer conversational turns than prior LLM interviewing approaches. We further validateSparkMein a user study with 70 participants across 7 professions on the impact of AI on their workflows. Domain experts rateSparkMeas producing high-quality adaptive interviews that surface helpful profession-specific insights not captured by prior approaches. The code, datasets, and evaluation protocols forSparkMeare available as open-source athttps://github.com/SALT-NLP/SparkMe.","DOI":"10.48550/arXiv.2602.21136","language":"en","note":"arXiv:2602.21136 [cs.HC]","number":"arXiv:2602.21136","publisher":"arXiv","source":"arXiv.org","title":"SparkMe: Adaptive Semi-Structured Interviewing for Qualitative Insight Discovery","title-short":"SparkMe","URL":"http://arxiv.org/abs/2602.21136","author":[{"family":"Anugraha","given":"David"},{"family":"Padmakumar","given":"Vishakh"},{"family":"Yang","given":"Diyi"}],"accessed":{"date-parts":[["2026",10,23]]},"issued":{"date-parts":[["2026",2,24]]}}},{"id":370,"uris":["http://zotero.org/users/local/review/items/YWTDQFKI"],"itemData":{"id":370,"type":"article-journal","abstract":"This mixed-methods approach study investigates the potential of introducing generative AI (ChatGPT 4 and BARD) as part of a deductive qualitative research design that requires coding, focusing on possible gains in cost-effectiveness, coding throughput time, and intercoder reliability (Cohen’s Kappa). This study involved semi-structured interviews with five domain experts and analyzed a dataset of 122 respondents that required categorization into six predefined categories. The results from using generative AI coders were compared with those from a previous study where human coders carried out the same task. In this comparison, we evaluated the performance of AI-based coders against two groups of human coders, comprising three experts and three non-experts. Our findings support the replacement of human coders with generative AI ones, specifically ChatGPT for deductive qualitative research methods of limited scope. The experimental group, consisting of three independent generative AI coders, outperformed both control groups in coding effort, with a fourfold (4x) efficiency and throughput time (15x) advantage. The latter could be explained by leveraging parallel processing. Concerning expert vs. non-expert coders, minimal evidence suggests a preference for experts. Although experts code slightly faster (17%), their inter-coder reliability showed no substantial advantage. A hybrid approach, combining ChatGPT and domain experts, shows the most promise. This approach reduces costs, shortens project timelines, and enhances inter-coder reliability, as indicated by higher Cohen’s Kappa values. In conclusion, generative AI, exemplified by ChatGPT, offers a viable alternative to human coders, in combination with human research involvement, delivering cost savings and faster research completion without sacrificing notable reliability. These insights, while limited in scope, show potential for further studies with larger datasets, more inductive qualitative research designs, and other research domains.","container-title":"Journal of Data Science and Intelligent Systems","DOI":"10.47852/bonviewJDSIS42022964","ISSN":"2972-3841","issue":"3","journalAbbreviation":"JDSIS","language":"en","license":"https://creativecommons.org/licenses/by/4.0/","page":"184-191","source":"DOI.org (Crossref)","title":"The Value of Generative AI for Qualitative Research: A Pilot Study","title-short":"The Value of Generative AI for Qualitative Research","volume":"3","author":[{"family":"Pattyn","given":"Frédéric"}],"issued":{"date-parts":[["2025",7,17]]}}}],"schema":"https://github.com/citation-style-language/schema/raw/master/csl-citation.json"} </w:instrText>
      </w:r>
      <w:r>
        <w:fldChar w:fldCharType="separate"/>
      </w:r>
      <w:r>
        <w:t>(Anugraha et al., 2026; Pattyn, 2025)</w:t>
      </w:r>
      <w:r>
        <w:fldChar w:fldCharType="end"/>
      </w:r>
      <w:r>
        <w:t>.</w:t>
      </w:r>
      <w:r>
        <w:t xml:space="preserve"> At the same time, the approach retains the possibility of eliciting contextual information and clarifications that may not be available in existing documents or standardized datasets. The extent to which these advantages are realized depends on the system's ability to conduct appropriate follow-up interactions and collect evidence relevant to the intended measurement.</w:t>
      </w:r>
    </w:p>
    <w:p w14:paraId="683E6FE5" w14:textId="2318AE86">
      <w:r>
        <w:t>However, automated interviewing also introduces methodological considerations. The quality of the collected data depends on the wording and sequencing of questions, the system's ability to recognize incomplete or ambiguous responses, and the appropriateness of its follow-up questions. Furthermore, an interview conducted by an automated agent is not necessarily equivalent to one conducted by a human interviewer. The effects of the interaction format on participants' responses and the comparability of the resulting data therefore require consideration.</w:t>
      </w:r>
    </w:p>
    <w:p w14:paraId="3E57830D" w14:textId="0C48A0B1">
      <w:r>
        <w:t xml:space="preserve">The resulting interview data must be made available to the evaluation components of the MAS in a form that supports the subsequent assessment of the individual items. Depending on the system architecture, this may involve processing the interview transcript or passing structured representations of the collected information to the relevant agents. The ingestion procedure should preserve the information required to evaluate the construct and establish a traceable connection between the collected evidence and the corresponding measurement items. </w:t>
      </w:r>
      <w:r>
        <w:t>If conventional interviewing is preferred to this new approach, interview transcripts can be uploaded and processed. This is described in the next option.</w:t>
      </w:r>
    </w:p>
    <w:p w14:paraId="3E4B61EA" w14:textId="77777777">
      <w:r>
        <w:rPr>
          <w:b/>
          <w:bCs/>
        </w:rPr>
        <w:t>Option B: Document and File Upload (Existing Data and Transcripts)</w:t>
      </w:r>
    </w:p>
    <w:p w14:paraId="6CF81FD4" w14:textId="485202F9">
      <w:r>
        <w:t xml:space="preserve">Under this option, existing documents, transcripts, and datasets are uploaded directly into the system and used as the basis for measurement. Potential sources include previously collected interview transcripts, case studies, organizational reports, and other relevant secondary data. </w:t>
      </w:r>
      <w:r>
        <w:lastRenderedPageBreak/>
        <w:t xml:space="preserve">This approach enables the evaluation of existing information </w:t>
      </w:r>
      <w:r>
        <w:t>being collected from a variety of different possible sources</w:t>
      </w:r>
      <w:r>
        <w:t>. It can therefore be particularly useful when relevant data have already been collected or when the objective is to analyze historical records or extensive text corpora.</w:t>
      </w:r>
    </w:p>
    <w:p w14:paraId="05E9EF58" w14:textId="0CF2B977">
      <w:r>
        <w:t xml:space="preserve">Using existing material can reduce the time and resources required for new data collection and allows researchers to apply the measurement approach retrospectively. It may also enable the analysis of information collected for purposes other than the current measurement objective. However, the suitability of the available material depends on its relevance to the target construct and the extent to which it contains evidence corresponding to the dimensions and items defined </w:t>
      </w:r>
      <w:r>
        <w:t xml:space="preserve">in </w:t>
      </w:r>
      <w:hyperlink w:anchor="Step_3_detailled" w:history="1">
        <w:r>
          <w:t>Step 3</w:t>
        </w:r>
      </w:hyperlink>
      <w:r>
        <w:t>. D</w:t>
      </w:r>
      <w:r>
        <w:t>ocuments created for other purposes may omit relevant aspects of the construct, address them only indirectly, or use terminology that differs from the measurement framework. Consequently, the absence of evidence in an uploaded document does not necessarily indicate the absence of the underlying characteristic</w:t>
      </w:r>
      <w:r>
        <w:t>.</w:t>
      </w:r>
      <w:r>
        <w:t xml:space="preserve"> </w:t>
      </w:r>
      <w:r>
        <w:t>I</w:t>
      </w:r>
      <w:r>
        <w:t xml:space="preserve">t may instead reflect the </w:t>
      </w:r>
      <w:r>
        <w:t xml:space="preserve">diverging </w:t>
      </w:r>
      <w:r>
        <w:t>purpose, scope, or level of detail of the source material.</w:t>
      </w:r>
    </w:p>
    <w:p w14:paraId="7A8FC906" w14:textId="4D1F6A65">
      <w:r>
        <w:t xml:space="preserve">The use of existing documents also limits the system's ability to obtain clarification when information is incomplete or ambiguous. Unlike a live interview, document-based evaluation does not inherently allow the system to ask the original source for additional information. Missing evidence must therefore be handled according to the rules defined in the measurement framework rather than being interpreted automatically as a negative finding. Differences in document length, structure, provenance, and coverage may also affect the amount and quality of evidence available across objects of analysis. </w:t>
      </w:r>
    </w:p>
    <w:p w14:paraId="791FE503" w14:textId="7614EC42">
      <w:r>
        <w:t xml:space="preserve">The ingestion procedure must make the uploaded material accessible to the evaluation components of the MAS. Depending on the file formats and system architecture, this may require extracting text, processing document contents, or transforming data into a representation that supports evidence retrieval. The system must be able to associate relevant information with the dimensions and items being evaluated. Where traceability is required, the extracted evidence should remain linked to its source document and, where feasible, to the relevant passage. </w:t>
      </w:r>
    </w:p>
    <w:p w14:paraId="57A18B6A" w14:textId="77777777">
      <w:r>
        <w:rPr>
          <w:b/>
          <w:bCs/>
        </w:rPr>
        <w:t>Option C: Hybrid Combination (Live Interviews and File Upload)</w:t>
      </w:r>
    </w:p>
    <w:p w14:paraId="6B6E4DED" w14:textId="77777777">
      <w:r>
        <w:t>Under this option, live interviews are combined with uploaded documents and other supplementary data sources. For example, interviews may be supplemented with organizational reports, background information, or documents that provide additional context for the responses. The MAS can then use evidence from both the direct interaction and the supplementary material when evaluating the construct. This approach can expand the analytical context available to the system and provide access to information that may not be elicited during the interview alone.</w:t>
      </w:r>
    </w:p>
    <w:p w14:paraId="4CAD9C2E" w14:textId="0AB973E6">
      <w:r>
        <w:t xml:space="preserve">The combination of sources can be useful when interviews provide explanations, perceptions, or contextual details, while documents supply additional organizational information or evidence relevant to specific items. </w:t>
      </w:r>
      <w:r>
        <w:t xml:space="preserve">A benefit of this setup can be that the system architecture can be </w:t>
      </w:r>
      <w:r>
        <w:t>built</w:t>
      </w:r>
      <w:r>
        <w:t xml:space="preserve"> without the need for a database to save document or previous output, to be referenced in future evaluations, as document can just be reuploaded. This saves computing power, increases traceability, reduces technical complexity and storage requirements.</w:t>
      </w:r>
    </w:p>
    <w:p w14:paraId="01B076EF" w14:textId="11678D8A">
      <w:r>
        <w:lastRenderedPageBreak/>
        <w:t>However, the contribution of each source depends on its relevance to the target construct and the extent to which it provides complementary information. Combining more data does not necessarily improve measurement quality if the additional material is irrelevant, incomplete, or inconsistent with the interview evidence.</w:t>
      </w:r>
    </w:p>
    <w:p w14:paraId="69CF6FC9" w14:textId="3BA23D31">
      <w:r>
        <w:t xml:space="preserve">A key consideration is how evidence from different sources is integrated into the evaluation. Interview statements and documentary information may differ in specificity, purpose, date, or perspective. They may also contradict one another. The system therefore requires explicit rules for determining which evidence is relevant to a given item and how inconsistencies between sources are handled. Without such rules, the inclusion of additional data may lead to inconsistent or insufficiently transparent evaluations. The hybrid approach also increases the importance of maintaining traceability, as the resulting scores or qualitative findings may rely on evidence drawn from multiple sources. </w:t>
      </w:r>
      <w:r>
        <w:t>Such rules may be deployed by the AI indirectly through its internal reasoning.</w:t>
      </w:r>
    </w:p>
    <w:p w14:paraId="56005E5E" w14:textId="5A5653F2">
      <w:r>
        <w:t>The ingestion procedure must support both the interview data and the supplementary material and make the relevant evidence available to the evaluation components of the MAS. Where information from multiple sources contributes to the same item, the system should preserve the relationship between the evaluation and its supporting evidence so that the derivation of the result can be examined</w:t>
      </w:r>
      <w:r>
        <w:t xml:space="preserve"> and a the creation of a “black box” can be prevented</w:t>
      </w:r>
      <w:r>
        <w:t xml:space="preserve">. </w:t>
      </w:r>
    </w:p>
    <w:p w14:paraId="67311FA7" w14:textId="5A126188">
      <w:r>
        <w:t>The three options represent alternative data collection and ingestion strategies rather than fundamentally different measurement objectives. Live interviews allow the system to elicit information interactively, document-based evaluation enables the use of existing material, and the hybrid approach combines both sources. The appropriate choice depends on the research objective, the availability and suitability of existing data, the need for direct interaction, and the practical constraints of the investigation. Regardless of the selected approach, the data collection and ingestion procedure must provide evidence that is sufficiently relevant and accessible to support the evaluation of the predefined dimensions and items. The selection of an ingestion mode does not, by itself, establish that the resulting evidence is complete or that the subsequent measurement is valid</w:t>
      </w:r>
      <w:r>
        <w:t>.</w:t>
      </w:r>
      <w:r>
        <w:t xml:space="preserve"> </w:t>
      </w:r>
      <w:r>
        <w:t>T</w:t>
      </w:r>
      <w:r>
        <w:t>hese aspects must be addressed through the design and evaluation of the measurement procedure.</w:t>
      </w:r>
      <w:r>
        <w:t xml:space="preserve"> Furthermore, data processing limits and token using should be taken into account if complex computations or unusually large date volumes are uploaded. If a context window of a model is exceeded additional compacting mechanisms may be required.</w:t>
      </w:r>
    </w:p>
    <w:p w14:paraId="5ADB17DB" w14:textId="77777777">
      <w:pPr>
        <w:pStyle w:val="berschrift2"/>
      </w:pPr>
      <w:bookmarkStart w:id="31" w:name="Step_6_detailled"/>
      <w:bookmarkStart w:id="32" w:name="_Toc243650049"/>
      <w:r>
        <w:t>Step 6</w:t>
      </w:r>
      <w:bookmarkEnd w:id="31"/>
      <w:r>
        <w:t>: Development of the Interview Guide</w:t>
      </w:r>
      <w:bookmarkEnd w:id="32"/>
    </w:p>
    <w:p w14:paraId="3AE816BD" w14:textId="41342DDC">
      <w:r>
        <w:t xml:space="preserve">This step involves developing the data collection instrument by defining the main questions used to introduce topics and the predefined refining questions used to explore them in greater depth. </w:t>
      </w:r>
      <w:r>
        <w:t xml:space="preserve">This step is </w:t>
      </w:r>
      <w:r>
        <w:rPr>
          <w:b/>
        </w:rPr>
        <w:t>only applicable when a questionnaire is used</w:t>
      </w:r>
      <w:r>
        <w:t xml:space="preserve"> for data collection, for example, in surveys or interviews. If no questionnaire is required, the step can be skipped. Nevertheless, considering potential questions and answer options may still be useful for clarifying the information needed and anticipating how the collected data will be evaluated. The following sections focus specifically on developing questionnaires for use by a MAS that conducts </w:t>
      </w:r>
      <w:r>
        <w:lastRenderedPageBreak/>
        <w:t>interviews. Consequently, some recommendations may be specific to this application and may not apply to questionnaires intended for more general use.</w:t>
      </w:r>
    </w:p>
    <w:p w14:paraId="222F0D4B" w14:textId="02AE2EF3">
      <w:r>
        <w:t xml:space="preserve">The interview guide translates the dimensions and individual items established </w:t>
      </w:r>
      <w:r>
        <w:t xml:space="preserve">in </w:t>
      </w:r>
      <w:hyperlink w:anchor="Step_3_detailled" w:history="1">
        <w:r>
          <w:t>Step 3</w:t>
        </w:r>
      </w:hyperlink>
      <w:r>
        <w:t xml:space="preserve"> into</w:t>
      </w:r>
      <w:r>
        <w:t xml:space="preserve"> an interview structure that enables the collection of relevant empirical evidence. It therefore establishes how the content requirements of the measurement approach are addressed through interaction with the interviewee. The guide should ensure that all relevant dimensions and items can be addressed while allowing sufficient flexibility to clarify incomplete, ambiguous, or insufficiently detailed responses.</w:t>
      </w:r>
    </w:p>
    <w:p w14:paraId="021DBCD5" w14:textId="3E694EE4">
      <w:r>
        <w:t xml:space="preserve">Main questions introduce the topics to be discussed and provide interviewees with an opportunity to describe their experiences, perceptions, or practices in their own words. Predefined refining questions are used to elicit more specific information where necessary. Preparing these questions in advance can reduce the need for dynamically generated follow-up questions and thereby limit the computational resources required by the AI model. It can also reduce the need for time-intensive reasoning processes during the interview, which may increase system latency and disrupt conversational flow. </w:t>
      </w:r>
      <w:r>
        <w:t>Additionally, this can</w:t>
      </w:r>
      <w:r>
        <w:t xml:space="preserve"> support more predictable interaction patterns while retaining the ability to explore responses in greater depth.</w:t>
      </w:r>
    </w:p>
    <w:p w14:paraId="49E1EEE7" w14:textId="34506F9C">
      <w:r>
        <w:t>However, predefined refining questions may not address every situation encountered during an interview. Interviewees can provide unexpected answers, introduce relevant topics that were not anticipated, or respond in ways that require further clarification. The interview guide must therefore balance the efficiency and consistency of predefined questions with the flexibility required to obtain sufficient evidence. One possible approach is to define a server-side clarification budget that limits deviations from the intended topics. For example, the system could permit a maximum of three open follow-up questions and one repetition per topic. Such limits can help constrain interview duration and system resource use, but they should be treated as configurable design parameters rather than universal thresholds. If the limits are too restrictive, the system may fail to collect sufficient evidence</w:t>
      </w:r>
      <w:r>
        <w:t>. I</w:t>
      </w:r>
      <w:r>
        <w:t xml:space="preserve">f they are too permissive, interviews may become unnecessarily long or repetitive. </w:t>
      </w:r>
      <w:r>
        <w:t>Another possible approach is to (manually) pre-test the questionnaire to identify improvement potential which can be achieved by reworking it before the actual data collection.</w:t>
      </w:r>
      <w:r>
        <w:rPr>
          <w:rFonts w:ascii="Times New Roman" w:eastAsia="Times New Roman" w:hAnsi="Times New Roman" w:cs="Times New Roman"/>
          <w:sz w:val="24"/>
        </w:rPr>
        <w:t xml:space="preserve"> </w:t>
      </w:r>
      <w:r>
        <w:t>In principle, modifications may also be made during data collection, as is common practice in interviews</w:t>
      </w:r>
      <w:r>
        <w:t xml:space="preserve"> </w:t>
      </w:r>
      <w:r>
        <w:fldChar w:fldCharType="begin"/>
      </w:r>
      <w:r>
        <w:instrText xml:space="preserve"> ADDIN ZOTERO_ITEM CSL_CITATION {"citationID":"OZzXL7pP","properties":{"unsorted":false,"formattedCitation":"(Rouse, 2016)","plainCitation":"(Rouse, 2016)","noteIndex":0},"citationItems":[{"id":372,"uris":["http://zotero.org/users/local/review/items/DEUM5ZIV"],"itemData":{"id":372,"type":"article-journal","container-title":"Academy of Management Journal","DOI":"10.5465/amj.2013.1219","ISSN":"0001-4273, 1948-0989","issue":"5","journalAbbreviation":"AMJ","language":"en","page":"1605-1629","source":"DOI.org (Crossref)","title":"Beginning’s End: How Founders Psychologically Disengage From Their Organizations","title-short":"Beginning’s End","volume":"59","author":[{"family":"Rouse","given":"Elizabeth D."}],"issued":{"date-parts":[["2016",10]]}}}],"schema":"https://github.com/citation-style-language/schema/raw/master/csl-citation.json"} </w:instrText>
      </w:r>
      <w:r>
        <w:fldChar w:fldCharType="separate"/>
      </w:r>
      <w:r>
        <w:t>(Rouse, 2016)</w:t>
      </w:r>
      <w:r>
        <w:fldChar w:fldCharType="end"/>
      </w:r>
      <w:r>
        <w:t>. However, any changes must be carefully considered to ensure the comparability of the results, especially if the data are intended for further use in quantitative analyses. Therefore, the version of the questionnaire used at each stage of data collection should be clearly documented and transparently reported in the final results.</w:t>
      </w:r>
    </w:p>
    <w:p w14:paraId="7B96DE3F" w14:textId="32694A35">
      <w:r>
        <w:t>The following section describes three options for developing the interview questions</w:t>
      </w:r>
      <w:r>
        <w:t>: deriving them directly from an established scale, using related established scales as references, or developing questions independently.</w:t>
      </w:r>
    </w:p>
    <w:p w14:paraId="65D90EEB" w14:textId="77777777">
      <w:r>
        <w:rPr>
          <w:b/>
          <w:bCs/>
        </w:rPr>
        <w:t>Option A: Questions Based Directly on Items from an Established Scale</w:t>
      </w:r>
    </w:p>
    <w:p w14:paraId="03257363" w14:textId="77777777">
      <w:r>
        <w:t xml:space="preserve">Under this option, questions or statements from an established measurement scale are transferred into an open-ended interview format. The original items serve as the basis for formulating questions that encourage interviewees to provide descriptive responses rather than selecting from predefined response categories. This approach maintains a direct connection </w:t>
      </w:r>
      <w:r>
        <w:lastRenderedPageBreak/>
        <w:t>between the interview guide and the operationalization used in the original scale, potentially supporting conceptual consistency between the established measurement instrument and the intended interview-based approach.</w:t>
      </w:r>
    </w:p>
    <w:p w14:paraId="4C875297" w14:textId="3EDF9268">
      <w:r>
        <w:t>However, items designed for standardized questionnaires are not necessarily suitable as open-ended interview questions without modification. A questionnaire item may be formulated to elicit a rating or agreement judgment, whereas an open-ended question must encourage a response containing sufficient information for subsequent evaluation. Directly transferring item wording may therefore produce questions that are difficult to answer descriptively or that do not elicit the evidence required to assess the corresponding item. Furthermore, changing the response format and administration procedure means that the original scale's validation evidence cannot automatically be transferred to the resulting interview instrument. The adapted questions must therefore be examined to determine whether they elicit information relevant to the intended measurement content.</w:t>
      </w:r>
    </w:p>
    <w:p w14:paraId="5E6FE1DF" w14:textId="5532B2D4">
      <w:r>
        <w:t>One way to develop questions is to use GenAI to generate open-ended questions based on an established scale. Providing examples can help guide the output and improve the relevance and quality of the generated questions. The resulting questions should then be reviewed and refined to ensure that they elicit responses aligned with the intended measurement objectives. This can be done by mentally considering potential answers or asking others to answer the questions and assessing whether their responses capture the intended information. The process can be repeated iteratively until the questions are sufficiently clear and suitable for the intended purpose.</w:t>
      </w:r>
    </w:p>
    <w:p w14:paraId="7E7854BA" w14:textId="252D85B9">
      <w:r>
        <w:rPr>
          <w:b/>
          <w:bCs/>
        </w:rPr>
        <w:t>Option B: Questions Based on Items from Related Established Scales</w:t>
      </w:r>
    </w:p>
    <w:p w14:paraId="695756A8" w14:textId="2417B0B9">
      <w:r>
        <w:t>Under this option, items from established scales measuring similar or related constructs are identified and used as references for developing interview questions. Rather than transferring the original items directly, the researcher adapts their content to address the dimensions and individual ite</w:t>
      </w:r>
      <w:r>
        <w:t xml:space="preserve">ms defined in </w:t>
      </w:r>
      <w:hyperlink w:anchor="Step_3_detailled" w:history="1">
        <w:r>
          <w:t>Step 3</w:t>
        </w:r>
      </w:hyperlink>
      <w:r>
        <w:t>. This approach</w:t>
      </w:r>
      <w:r>
        <w:t xml:space="preserve"> can be useful when no established scale directly matches the intended measurement target but related scales provide relevant conceptual or operational guidance.</w:t>
      </w:r>
    </w:p>
    <w:p w14:paraId="56A46B3C" w14:textId="212E5B3E">
      <w:r>
        <w:t xml:space="preserve">The use of related scales can provide a structured starting point for question development and help identify aspects of the target construct that may otherwise be overlooked. However, conceptual similarity does not guarantee that an item from a related scale captures the intended content of the target item. The researcher must therefore assess the relevance of each selected reference item and ensure that the resulting interview question addresses the intended measurement objective. </w:t>
      </w:r>
    </w:p>
    <w:p w14:paraId="0F792733" w14:textId="124467F2">
      <w:r>
        <w:t xml:space="preserve">Practically to derive such questions the main issue is to identify potentially useful scales measuring constructs with similar items. GenAI may help the identification by suggesting scales through transforming intended target to a higher order. If all items are sufficiently covered by other scales you can proceed like described in the </w:t>
      </w:r>
      <w:hyperlink w:anchor="Ableiten_von_Fragen_Scale_als_Basis" w:history="1">
        <w:r>
          <w:t>last paragraph of O</w:t>
        </w:r>
        <w:r>
          <w:t xml:space="preserve">ption </w:t>
        </w:r>
        <w:r>
          <w:t>A</w:t>
        </w:r>
      </w:hyperlink>
      <w:r>
        <w:t>.</w:t>
      </w:r>
    </w:p>
    <w:p w14:paraId="7CB2AE77" w14:textId="291D102A">
      <w:r>
        <w:rPr>
          <w:b/>
          <w:bCs/>
        </w:rPr>
        <w:t>Option C: Independently Developed Questions</w:t>
      </w:r>
    </w:p>
    <w:p w14:paraId="6DDC0AFB" w14:textId="4680D261">
      <w:r>
        <w:t xml:space="preserve">Under this option, open-ended interview questions are developed specifically for the intended measurement approach without directly relying on existing scale items. This provides flexibility </w:t>
      </w:r>
      <w:r>
        <w:lastRenderedPageBreak/>
        <w:t>to formulate questions according to the conceptual definition of the construct, the dimensions and items and the capabilities of the MAS. It may be particularly appropriate when existing scales do not adequately represent the target construct or when their items cannot be translated effectively into an interview format.</w:t>
      </w:r>
    </w:p>
    <w:p w14:paraId="2D9E33D9" w14:textId="5713ACED">
      <w:r>
        <w:t>The central challenge is to establish that each question can elicit information relevant to the item it is intended to assess. A question may be understandable and generate detailed responses without necessarily producing evidence that supports the intended evaluation. Question development should therefore consider the relationship between the question, the target item, and the evidence required for its assessment. Where the intended content cannot be captured directly through a single question, additional questions or observable proxy indicators may be necessary. However, proxy indicators should be conceptually justified, as an indirect indicator does not automatically provide valid evidence of the target construct.</w:t>
      </w:r>
    </w:p>
    <w:p w14:paraId="75304D25" w14:textId="75B3BA3A">
      <w:r>
        <w:t xml:space="preserve">To practically create questions it is possible to describe the topic to a GenAI and provide information about the items the questions are for. The results can then be refined through an iterative process. Alternatively you can follow established guidelines that describe how questionnaires should be designed </w:t>
      </w:r>
      <w:r>
        <w:fldChar w:fldCharType="begin"/>
      </w:r>
      <w:r>
        <w:instrText xml:space="preserve"> ADDIN ZOTERO_ITEM CSL_CITATION {"citationID":"BsRX6d17","properties":{"unsorted":false,"formattedCitation":"(e.g. Kallio et al., 2016)","plainCitation":"(e.g. Kallio et al., 2016)","noteIndex":0},"citationItems":[{"id":373,"uris":["http://zotero.org/users/local/review/items/5K7F78EG"],"itemData":{"id":373,"type":"article-journal","abstract":"Abstract\n            \n              Aim\n              To produce a framework for the development of a qualitative semi</w:instrText>
      </w:r>
      <w:r>
        <w:rPr>
          <w:rFonts w:ascii="Cambria Math" w:hAnsi="Cambria Math" w:cs="Cambria Math"/>
        </w:rPr>
        <w:instrText>‐</w:instrText>
      </w:r>
      <w:r>
        <w:instrText>structured interview guide.\n            \n            \n              Background\n              Rigorous data collection procedures fundamentally influence the results of studies. The semi</w:instrText>
      </w:r>
      <w:r>
        <w:rPr>
          <w:rFonts w:ascii="Cambria Math" w:hAnsi="Cambria Math" w:cs="Cambria Math"/>
        </w:rPr>
        <w:instrText>‐</w:instrText>
      </w:r>
      <w:r>
        <w:instrText>structured interview is a common data collection method, but methodological research on the development of a semi</w:instrText>
      </w:r>
      <w:r>
        <w:rPr>
          <w:rFonts w:ascii="Cambria Math" w:hAnsi="Cambria Math" w:cs="Cambria Math"/>
        </w:rPr>
        <w:instrText>‐</w:instrText>
      </w:r>
      <w:r>
        <w:instrText>structured interview guide is sparse.\n            \n            \n              Design\n              Systematic methodological review.\n            \n            \n              Data sources\n              \n                We searched PubMed,\n                CINAHL\n                , Scopus and Web of Science for methodological papers on semi</w:instrText>
      </w:r>
      <w:r>
        <w:rPr>
          <w:rFonts w:ascii="Cambria Math" w:hAnsi="Cambria Math" w:cs="Cambria Math"/>
        </w:rPr>
        <w:instrText>‐</w:instrText>
      </w:r>
      <w:r>
        <w:instrText>structured interview guides from October 2004</w:instrText>
      </w:r>
      <w:r>
        <w:rPr>
          <w:rFonts w:cs="Aptos"/>
        </w:rPr>
        <w:instrText>–</w:instrText>
      </w:r>
      <w:r>
        <w:instrText>September 2014. Having examined 2,703 titles and abstracts and 21 full texts, we finally selected 10 papers.\n              \n            \n            \n              Review methods\n              We analysed the data using the qualitative content analysis method.\n            \n            \n              Results\n              Our analysis resulted in new synthesized knowledge on the development of a semi</w:instrText>
      </w:r>
      <w:r>
        <w:rPr>
          <w:rFonts w:ascii="Cambria Math" w:hAnsi="Cambria Math" w:cs="Cambria Math"/>
        </w:rPr>
        <w:instrText>‐</w:instrText>
      </w:r>
      <w:r>
        <w:instrText>structured interview guide, including five phases: (1) identifying the prerequisites for using semi</w:instrText>
      </w:r>
      <w:r>
        <w:rPr>
          <w:rFonts w:ascii="Cambria Math" w:hAnsi="Cambria Math" w:cs="Cambria Math"/>
        </w:rPr>
        <w:instrText>‐</w:instrText>
      </w:r>
      <w:r>
        <w:instrText>structured interviews; (2) retrieving and using previous knowledge; (3) formulating the preliminary semi</w:instrText>
      </w:r>
      <w:r>
        <w:rPr>
          <w:rFonts w:ascii="Cambria Math" w:hAnsi="Cambria Math" w:cs="Cambria Math"/>
        </w:rPr>
        <w:instrText>‐</w:instrText>
      </w:r>
      <w:r>
        <w:instrText>structured interview guide; (4) pilot testing the guide; and (5) presenting the complete semi</w:instrText>
      </w:r>
      <w:r>
        <w:rPr>
          <w:rFonts w:ascii="Cambria Math" w:hAnsi="Cambria Math" w:cs="Cambria Math"/>
        </w:rPr>
        <w:instrText>‐</w:instrText>
      </w:r>
      <w:r>
        <w:instrText>structured interview guide.\n            \n            \n              Conclusion\n              Rigorous development of a qualitative semi</w:instrText>
      </w:r>
      <w:r>
        <w:rPr>
          <w:rFonts w:ascii="Cambria Math" w:hAnsi="Cambria Math" w:cs="Cambria Math"/>
        </w:rPr>
        <w:instrText>‐</w:instrText>
      </w:r>
      <w:r>
        <w:instrText>structured interview guide contributes to the objectivity and trustworthiness of studies and makes the results more plausible. Researchers should consider using this five</w:instrText>
      </w:r>
      <w:r>
        <w:rPr>
          <w:rFonts w:ascii="Cambria Math" w:hAnsi="Cambria Math" w:cs="Cambria Math"/>
        </w:rPr>
        <w:instrText>‐</w:instrText>
      </w:r>
      <w:r>
        <w:instrText>step process to develop a semi</w:instrText>
      </w:r>
      <w:r>
        <w:rPr>
          <w:rFonts w:ascii="Cambria Math" w:hAnsi="Cambria Math" w:cs="Cambria Math"/>
        </w:rPr>
        <w:instrText>‐</w:instrText>
      </w:r>
      <w:r>
        <w:instrText>structured interview guide and justify the decisions made during it.","container-title":"Journal of Advanced Nursing","DOI":"10.1111/jan.13031","ISSN":"0309-2402, 1365-2648","issue":"12","journalAbbreviation":"Journal of Advanced Nursing","language":"en","license":"http://onlinelibrary.wiley.com/termsAndConditions#vor","page":"2954-2965","source":"DOI.org (Crossref)","title":"Systematic methodological review: developing a framework for a qualitative semi</w:instrText>
      </w:r>
      <w:r>
        <w:rPr>
          <w:rFonts w:ascii="Cambria Math" w:hAnsi="Cambria Math" w:cs="Cambria Math"/>
        </w:rPr>
        <w:instrText>‐</w:instrText>
      </w:r>
      <w:r>
        <w:instrText>structured interview guide","title-short":"Systematic methodological review","volume":"72","author":[{"family":"Kallio","given":"Hanna"},{"family":"Pietil</w:instrText>
      </w:r>
      <w:r>
        <w:rPr>
          <w:rFonts w:cs="Aptos"/>
        </w:rPr>
        <w:instrText>ä</w:instrText>
      </w:r>
      <w:r>
        <w:instrText>","given":"Anna</w:instrText>
      </w:r>
      <w:r>
        <w:rPr>
          <w:rFonts w:ascii="Cambria Math" w:hAnsi="Cambria Math" w:cs="Cambria Math"/>
        </w:rPr>
        <w:instrText>‐</w:instrText>
      </w:r>
      <w:r>
        <w:instrText xml:space="preserve">Maija"},{"family":"Johnson","given":"Martin"},{"family":"Kangasniemi","given":"Mari"}],"issued":{"date-parts":[["2016",12]]}},"prefix":"e.g. "}],"schema":"https://github.com/citation-style-language/schema/raw/master/csl-citation.json"} </w:instrText>
      </w:r>
      <w:r>
        <w:fldChar w:fldCharType="separate"/>
      </w:r>
      <w:r>
        <w:t>(e.g. Kallio et al., 2016)</w:t>
      </w:r>
      <w:r>
        <w:fldChar w:fldCharType="end"/>
      </w:r>
      <w:r>
        <w:t xml:space="preserve">. </w:t>
      </w:r>
    </w:p>
    <w:p w14:paraId="3BA59B15" w14:textId="4D4CE217">
      <w:r>
        <w:t>An important consideration in questionnaire development is the intended use of the responses. In exploratory qualitative research, questions can be relatively open-ended to allow respondents to introduce unexpected perspectives or information that may help refine the understanding of a construct. However, questions should still be sufficiently clear to elicit meaningful and interpretable responses.</w:t>
      </w:r>
      <w:r>
        <w:t xml:space="preserve"> </w:t>
      </w:r>
      <w:r>
        <w:t>When responses are subsequently translated into quantitative scores, greater precision may be required. Questions should elicit information that is directly relevant to the measurement objectives and can be consistently interpreted in relation to the predefined items. This is particularly important when a MAS uses interview responses to assign numerical scores to individual items. In such cases, questionnaire development should balance openness, which allows for unexpected but potentially relevant insights, with sufficient specificity to support reliable scoring.</w:t>
      </w:r>
    </w:p>
    <w:p w14:paraId="2937DEA1" w14:textId="5B3B37B0">
      <w:r>
        <w:t>The three options provide different starting points for developing the interview guide and are not necessarily mutually exclusive. Established items may be adapted where appropriate, related scales may inform questions for less well-covered aspects, and independently developed questions may address remaining requirements. Regardless of the approach, the resulting guide should establish a clear relationship between each main question, its predefined refining questions, and the dimensions or items it is intended to address. This relationship is important for ensuring that the interview elicits evidence relevant to the subsequent evaluation rather than merely generating general information about the topic.</w:t>
      </w:r>
    </w:p>
    <w:p w14:paraId="5F649550" w14:textId="546765EC">
      <w:r>
        <w:t>Two optional activities can support the development and evaluation of the interview guide. The first is</w:t>
      </w:r>
      <w:r>
        <w:t xml:space="preserve"> the</w:t>
      </w:r>
      <w:r>
        <w:t xml:space="preserve"> translation into additional languages. Translation can extend the applicability of the guide to participants who use different languages. However, literal translation does not necessarily preserve the meaning, nuance, or interpretability of a question. Where multiple languages are used, the translated versions should therefore be examined for conceptual equivalence and clarity. </w:t>
      </w:r>
    </w:p>
    <w:p w14:paraId="11C630C5" w14:textId="77777777">
      <w:r>
        <w:lastRenderedPageBreak/>
        <w:t>The second optional activity is to validate the interview guide before using it for data collection. The objective is to assess whether the questions elicit information relevant to the intended dimensions and items and whether the interview process supports reliable interpretation of the responses. Several complementary approaches can be used for this purpose.</w:t>
      </w:r>
      <w:r>
        <w:t xml:space="preserve"> </w:t>
      </w:r>
    </w:p>
    <w:p w14:paraId="3D359129" w14:textId="6FDDEC12">
      <w:r>
        <w:t>E</w:t>
      </w:r>
      <w:r>
        <w:t xml:space="preserve">xperts can review the interview guide to assess the conceptual relevance, completeness, and clarity of the questions. </w:t>
      </w:r>
      <w:r>
        <w:t>P</w:t>
      </w:r>
      <w:r>
        <w:t>ilot interviews can be conducted with human participants and analyzed through qualitative coding to determine whether the responses provide evidence relevant to the intended items and reveal ambiguities or gaps in the interview guide. The interview guide can then be refined accordingly. Where a MAS will conduct the interviews, the guide can also be tested using the MAS to examine whether the resulting interviews adequately cover the intended topics and elicit responses that can be interpreted in relation to the measurement structure.</w:t>
      </w:r>
      <w:r>
        <w:t xml:space="preserve"> Finally,</w:t>
      </w:r>
      <w:r>
        <w:t xml:space="preserve"> GenAI </w:t>
      </w:r>
      <w:r>
        <w:t xml:space="preserve">can be used </w:t>
      </w:r>
      <w:r>
        <w:t xml:space="preserve">to simulate an interviewee. For this purpose, GenAI can be prompted to adopt a persona representing a relevant expert or other target respondent and answer the proposed questions from that perspective. The researcher can then examine the simulated responses to identify ambiguous questions, missing topics, or questions that fail to elicit the intended information. Based on these observations, the interview guide can be revised iteratively. This approach provides a preliminary means of testing and refining questions before conducting interviews with human participants </w:t>
      </w:r>
      <w:r>
        <w:fldChar w:fldCharType="begin"/>
      </w:r>
      <w:r>
        <w:instrText xml:space="preserve"> ADDIN ZOTERO_ITEM CSL_CITATION {"citationID":"v5jgZXki","properties":{"unsorted":false,"formattedCitation":"(Wang, 2024)","plainCitation":"(Wang, 2024)","noteIndex":0},"citationItems":[{"id":376,"uris":["http://zotero.org/users/local/review/items/F5HQBMXQ"],"itemData":{"id":376,"type":"article","abstract":"Purpose: This study explores the potential of generative artificial intelligence (GenAI) to generate qualitative research data. It investigates how OpenAI’s GPTs (generative pretrained transformers) can simulate human-like responses in interviews, serving as a pilot tool for developing and refining qualitative research methodologies.","DOI":"10.2139/ssrn.4874356","language":"en","publisher":"SSRN","source":"DOI.org (Crossref)","title":"Interviewing GPTs: Can generative AI intelligence become a new source of qualitative research data?","title-short":"Interviewing GPTs","URL":"https://www.ssrn.com/abstract=4874356","author":[{"family":"Wang","given":"Yanqing"}],"accessed":{"date-parts":[["2026",10,23]]},"issued":{"date-parts":[["2024"]]}}}],"schema":"https://github.com/citation-style-language/schema/raw/master/csl-citation.json"} </w:instrText>
      </w:r>
      <w:r>
        <w:fldChar w:fldCharType="separate"/>
      </w:r>
      <w:r>
        <w:t>(Wang, 2024)</w:t>
      </w:r>
      <w:r>
        <w:fldChar w:fldCharType="end"/>
      </w:r>
      <w:r>
        <w:t>.</w:t>
      </w:r>
    </w:p>
    <w:p w14:paraId="4B0EAA76" w14:textId="7D35FB25">
      <w:r>
        <w:t xml:space="preserve">However, simulated interviews have important limitations. Research on GenAI as a qualitative research participant has identified concerns regarding the depth and contextual richness of AI-generated responses, as well as broader limitations associated with treating language models as substitutes for human participants </w:t>
      </w:r>
      <w:r>
        <w:fldChar w:fldCharType="begin"/>
      </w:r>
      <w:r>
        <w:instrText xml:space="preserve"> ADDIN ZOTERO_ITEM CSL_CITATION {"citationID":"LHYLJZi4","properties":{"unsorted":false,"formattedCitation":"(Kapania et al., 2025)","plainCitation":"(Kapania et al., 2025)","noteIndex":0},"citationItems":[{"id":378,"uris":["http://zotero.org/users/local/review/items/GJ8F8FPQ"],"itemData":{"id":378,"type":"paper-conference","container-title":"Proceedings of the 2025 CHI Conference on Human Factors in Computing Systems","DOI":"10.1145/3706598.3713220","event-title":"CHI 2025: CHI Conference on Human Factors in Computing Systems","ISBN":"979-8-4007-1394-1","language":"en","page":"1-17","publisher":"ACM","publisher-place":"Yokohama Japan","source":"DOI.org (Crossref)","title":"Simulacrum of Stories: Examining Large Language Models as Qualitative Research Participants","title-short":"Simulacrum of Stories","URL":"https://dl.acm.org/doi/10.1145/3706598.3713220","author":[{"family":"Kapania","given":"Shivani"},{"family":"Agnew","given":"William"},{"family":"Eslami","given":"Motahhare"},{"family":"Heidari","given":"Hoda"},{"family":"Fox","given":"Sarah E"}],"accessed":{"date-parts":[["2026",10,23]]},"issued":{"date-parts":[["2025",4,26]]}}}],"schema":"https://github.com/citation-style-language/schema/raw/master/csl-citation.json"} </w:instrText>
      </w:r>
      <w:r>
        <w:fldChar w:fldCharType="separate"/>
      </w:r>
      <w:r>
        <w:t>(</w:t>
      </w:r>
      <w:proofErr w:type="spellStart"/>
      <w:r>
        <w:t>Kapania</w:t>
      </w:r>
      <w:proofErr w:type="spellEnd"/>
      <w:r>
        <w:t xml:space="preserve"> et al., 2025)</w:t>
      </w:r>
      <w:r>
        <w:fldChar w:fldCharType="end"/>
      </w:r>
      <w:r>
        <w:t>. These limitations make simulated interviews unsuitable as a substitute for empirical validation with the intended respondents. Nevertheless, they are less restrictive when GenAI is used solely to identify potential weaknesses in the interview guide rather than to generate research data. Simulated interviews should therefore be treated as a preliminary testing tool, with the final interview guide critically reviewed by the researcher and, where feasible, tested with human participants.</w:t>
      </w:r>
    </w:p>
    <w:p w14:paraId="7671A4E5" w14:textId="41DE6316">
      <w:r>
        <w:t>Generally, t</w:t>
      </w:r>
      <w:r>
        <w:t xml:space="preserve">he evaluation </w:t>
      </w:r>
      <w:r>
        <w:t xml:space="preserve">of the questionnaire </w:t>
      </w:r>
      <w:r>
        <w:t xml:space="preserve">should also consider practical characteristics of the interaction, including interview duration, unnecessary repetition, and the conversational experience. Comparing manually conducted and MAS-conducted pilot interviews can help identify differences in the evidence elicited and reveal whether the automated interaction introduces omissions, redundancies, or difficulties in understanding the questions. Such comparisons require appropriate care: differences between interviews may arise from variation in participants' responses as well as from the interview method itself. Consequently, the observed differences should not automatically be attributed to the MAS without a suitable evaluation design. </w:t>
      </w:r>
    </w:p>
    <w:p w14:paraId="067EB35D" w14:textId="405B277C">
      <w:r>
        <w:t>The milestone for this step is reached when a complete interview guide is available and its suitability for the intended measurement has been evaluated. The guide should include the main questions and relevant predefined refining questions, establish their correspondence with the dimensions and items, and document the rules governing clarification and repetition where applicable. If multiple languages are required, the corresponding versions should also be available and reviewed.</w:t>
      </w:r>
    </w:p>
    <w:p w14:paraId="588738DD" w14:textId="77777777">
      <w:pPr>
        <w:pStyle w:val="berschrift2"/>
        <w:rPr>
          <w:rFonts w:ascii="Times New Roman" w:hAnsi="Times New Roman"/>
          <w:szCs w:val="36"/>
        </w:rPr>
      </w:pPr>
      <w:bookmarkStart w:id="33" w:name="_Toc243650050"/>
      <w:r>
        <w:lastRenderedPageBreak/>
        <w:t>Step 7: Derivation of Anchor Values</w:t>
      </w:r>
      <w:bookmarkEnd w:id="33"/>
    </w:p>
    <w:p w14:paraId="6ED7A1EB" w14:textId="301DCC19">
      <w:r>
        <w:t xml:space="preserve">The purpose of this step is to define reference criteria that support the consistent interpretation and evaluation of evidence for the items </w:t>
      </w:r>
      <w:r>
        <w:t xml:space="preserve">established in </w:t>
      </w:r>
      <w:hyperlink w:anchor="Step_3_detailled" w:history="1">
        <w:r>
          <w:t>Step 3</w:t>
        </w:r>
      </w:hyperlink>
      <w:r>
        <w:t>. Anchor values</w:t>
      </w:r>
      <w:r>
        <w:t xml:space="preserve"> are concrete examples or descriptions of evidence associated with a particular value or range of values on the selected measurement scale. They provide the evaluation system with reference points against which interview responses or other data can be compared. This idea is based </w:t>
      </w:r>
      <w:r>
        <w:t>on the paper of Kim et al</w:t>
      </w:r>
      <w:r>
        <w:t>.</w:t>
      </w:r>
      <w:r>
        <w:t xml:space="preserve"> </w:t>
      </w:r>
      <w:r>
        <w:fldChar w:fldCharType="begin"/>
      </w:r>
      <w:r>
        <w:instrText xml:space="preserve"> ADDIN ZOTERO_ITEM CSL_CITATION {"citationID":"8JX0QD3z","properties":{"unsorted":false,"formattedCitation":"(2024)","plainCitation":"(2024)","noteIndex":0},"citationItems":[{"id":381,"uris":["http://zotero.org/users/local/review/items/ZPJA2AHC"],"itemData":{"id":381,"type":"article","abstract":"Recently, using a powerful proprietary Large Language Model (LLM) (e.g., GPT4) as an evaluator for long-form responses has become the de facto standard. However, for practitioners with large-scale evaluation tasks and custom criteria in consideration (e.g., child-readability), using proprietary LLMs as an evaluator is unreliable due to the closed-source nature, uncontrolled versioning, and prohibitive costs. In this work, we propose PROMETHEUS, a fully open-source LLM that is on par with GPT-4’s evaluation capabilities when the appropriate reference materials (reference answer, score rubric) are accompanied. We first construct the FEEDBACK COLLECTION, a new dataset that consists of 1K fine-grained score rubrics, 20K instructions, and 100K responses and language feedback generated by GPT-4. Using the FEEDBACK COLLECTION, we train PROMETHEUS, a 13B evaluator LLM that can assess any given long-form text based on customized score rubric provided by the user. Experimental results show that PROMETHEUS scores a Pearson correlation of 0.897 with human evaluators when evaluating with 45 customized score rubrics, which is on par with GPT-4 (0.882), and greatly outperforms ChatGPT (0.392). Furthermore, measuring correlation with GPT-4 with 1222 customized score rubrics across four benchmarks (MT Bench, Vicuna Bench, Feedback Bench, Flask Eval) shows similar trends, bolstering PROMETHEUS’s capability as an evaluator LLM. Lastly, PROMETHEUS achieves the highest accuracy on two human preference benchmarks (HHH Alignment &amp; MT Bench Human Judgment) compared to open-sourced reward models explicitly trained on human preference datasets, highlighting its potential as an universal reward model. We open-source our code, dataset, and model 1.","DOI":"10.48550/arXiv.2310.08491","language":"en","note":"arXiv:2310.08491 [cs.CL]","number":"arXiv:2310.08491","publisher":"arXiv","source":"arXiv.org","title":"Prometheus: Inducing Fine-grained Evaluation Capability in Language Models","title-short":"Prometheus","URL":"http://arxiv.org/abs/2310.08491","author":[{"family":"Kim","given":"Seungone"},{"family":"Shin","given":"Jamin"},{"family":"Cho","given":"Yejin"},{"family":"Jang","given":"Joel"},{"family":"Longpre","given":"Shayne"},{"family":"Lee","given":"Hwaran"},{"family":"Yun","given":"Sangdoo"},{"family":"Shin","given":"Seongjin"},{"family":"Kim","given":"Sungdong"},{"family":"Thorne","given":"James"},{"family":"Seo","given":"Minjoon"}],"accessed":{"date-parts":[["2026",10,23]]},"issued":{"date-parts":[["2024",3,9]]}},"suppress-author":true}],"schema":"https://github.com/citation-style-language/schema/raw/master/csl-citation.json"} </w:instrText>
      </w:r>
      <w:r>
        <w:fldChar w:fldCharType="separate"/>
      </w:r>
      <w:r>
        <w:t>(2024)</w:t>
      </w:r>
      <w:r>
        <w:fldChar w:fldCharType="end"/>
      </w:r>
      <w:r>
        <w:t xml:space="preserve"> and the anchoring effect </w:t>
      </w:r>
      <w:r>
        <w:fldChar w:fldCharType="begin"/>
      </w:r>
      <w:r>
        <w:instrText xml:space="preserve"> ADDIN ZOTERO_ITEM CSL_CITATION {"citationID":"4em6ZKrB","properties":{"unsorted":false,"formattedCitation":"(e.g. Furnham &amp; Boo, 2011)","plainCitation":"(e.g. Furnham &amp; Boo, 2011)","noteIndex":0},"citationItems":[{"id":383,"uris":["http://zotero.org/users/local/review/items/RMLTW2ED"],"itemData":{"id":383,"type":"article-journal","container-title":"The Journal of Socio-Economics","DOI":"10.1016/j.socec.2010.10.008","ISSN":"10535357","issue":"1","journalAbbreviation":"The Journal of Socio-Economics","language":"en","page":"35-42","source":"DOI.org (Crossref)","title":"A literature review of the anchoring effect","volume":"40","author":[{"family":"Furnham","given":"Adrian"},{"family":"Boo","given":"Hua Chu"}],"issued":{"date-parts":[["2011",2]]}},"prefix":"e.g. "}],"schema":"https://github.com/citation-style-language/schema/raw/master/csl-citation.json"} </w:instrText>
      </w:r>
      <w:r>
        <w:fldChar w:fldCharType="separate"/>
      </w:r>
      <w:r>
        <w:t>(e.g. Furnham &amp; Boo, 2011)</w:t>
      </w:r>
      <w:r>
        <w:fldChar w:fldCharType="end"/>
      </w:r>
      <w:r>
        <w:t>.</w:t>
      </w:r>
    </w:p>
    <w:p w14:paraId="569D4ACE" w14:textId="48CCAB62">
      <w:r>
        <w:t>For a quantitative output, anchors can illustrate the evidence expected at specific scale values. For a qualitative output, they can exemplify characteristic response patterns or indicate what constitutes stronger or weaker evidence for a particular item. Anchor values can therefore support consistency in evaluation, although their presence alone does not guarantee reliable or valid measurement.</w:t>
      </w:r>
    </w:p>
    <w:p w14:paraId="6B4B967A" w14:textId="09EB8B62">
      <w:r>
        <w:t xml:space="preserve">The number and granularity of anchor values must be determined for the intended measurement approach. </w:t>
      </w:r>
      <w:r>
        <w:t xml:space="preserve">For qualitative results it is advisable to derive at least one anchoring value for each item. For qualitative outputs, a single illustrative example may be sufficient to communicate the intended interpretation, provided that the example does not unduly narrow the range of acceptable responses. Theoretically only extreme values could be fitted with anchoring values to function as guard rails delimiting the extremes of a constructs item. </w:t>
      </w:r>
      <w:r>
        <w:t>This approach reduces the effort required to develop anchors but requires explicit rules for interpreting evidence between them. Depending on the item, it may be more appropriate to describe intermediate levels separately or define ranges of evidence rather than assume that scores can be interpolated uniformly.</w:t>
      </w:r>
      <w:r>
        <w:t xml:space="preserve"> The following describes two ways to derive anchoring values.</w:t>
      </w:r>
    </w:p>
    <w:p w14:paraId="47A330C3" w14:textId="1EFB39EC">
      <w:r>
        <w:rPr>
          <w:rStyle w:val="Fett"/>
        </w:rPr>
        <w:t>Option A: Extraction of Anchor Values from Empirical Evidence</w:t>
      </w:r>
    </w:p>
    <w:p w14:paraId="4DD8B7C3" w14:textId="74D92CCD">
      <w:r>
        <w:t xml:space="preserve">Anchor values can be derived from empirical material and publications, including case studies, experiments, expert interviews, and survey responses. Relevant passages are identified and generalized into descriptions of evidence that represents a particular item at a specified score or within a defined range. Where multiple examples are available, several candidate anchors can initially be collected for the same score. These examples can then be compared, consolidated, and generalized into a representative description. Using multiple examples may reduce dependence on a single case or source, although it does not eliminate selection bias or ensure that the resulting anchor is representative. The selection criteria, source diversity, and consolidation procedure should therefore be documented. </w:t>
      </w:r>
    </w:p>
    <w:p w14:paraId="2A5C7055" w14:textId="77777777">
      <w:r>
        <w:t>GenAI can support the identification, classification, and generalization of relevant passages in large bodies of empirical material. This section focuses on one practical application: deriving empirical anchoring examples for measurement items and, where applicable, their associated scores.</w:t>
      </w:r>
    </w:p>
    <w:p w14:paraId="374E3B1B" w14:textId="77777777">
      <w:r>
        <w:t xml:space="preserve">The process begins by providing GenAI with clear definitions of the measurement items and, for quantitative applications, the criteria associated with each score. GenAI is then instructed to identify passages that provide evidence relevant to a specific item and score, reproduce the supporting passages, explain its classification, and derive a generalized anchoring example that </w:t>
      </w:r>
      <w:r>
        <w:lastRenderedPageBreak/>
        <w:t>captures the underlying behavior or characteristic. The relevant corpus of empirical material is subsequently provided for analysis.</w:t>
      </w:r>
    </w:p>
    <w:p w14:paraId="4F3E468F" w14:textId="77777777">
      <w:r>
        <w:t>The resulting anchors must be reviewed by comparing the original passages, the proposed classification, the underlying reasoning, and the generalized example. Each anchor should accurately reflect the source evidence and correspond to the intended item and score. Unsupported interpretations, contradictory evidence, and generalizations that extend beyond the source material should be identified and addressed before the anchors are used further.</w:t>
      </w:r>
    </w:p>
    <w:p w14:paraId="2325CE4B" w14:textId="42DAA233">
      <w:r>
        <w:t xml:space="preserve">We recommend deriving at least two independent anchors for each item and score to capture variation in the empirical evidence. However, this can result in a substantial number of anchors, particularly for quantitative scales. One way to reduce this workload is to develop anchors initially for selected scale points representing low, intermediate, and high values. For example, on a seven-point scale, anchors could initially be developed for scores of 1, 4, and 7. Anchors for intermediate scores can then be derived </w:t>
      </w:r>
      <w:r>
        <w:t>(e.g. by GenAI)</w:t>
      </w:r>
      <w:r>
        <w:t>, provided that their meaning can be justified and distinguished from adjacent scale points. These additional anchors should also be checked against the underlying evidence rather than inferred solely through interpolation.</w:t>
      </w:r>
    </w:p>
    <w:p w14:paraId="7C67CDC3" w14:textId="77777777">
      <w:r>
        <w:t>Where multiple candidate anchors are collected for the same item and score, GenAI can assist in consolidating them into a single generalized anchor. This consolidation should preserve the relevant characteristics of the original evidence without obscuring meaningful differences or introducing unsupported claims. Throughout the process, human oversight is essential to assess the relevance, traceability, consistency, and plausibility of the resulting anchors.</w:t>
      </w:r>
    </w:p>
    <w:p w14:paraId="5A3FFF4B" w14:textId="26E9CEE7">
      <w:r>
        <w:rPr>
          <w:rStyle w:val="Fett"/>
        </w:rPr>
        <w:t>Option B: AI-Generated or Synthetic Anchor Values</w:t>
      </w:r>
    </w:p>
    <w:p w14:paraId="5F699D5D" w14:textId="5F0610CB">
      <w:r>
        <w:t xml:space="preserve">Anchor values can alternatively be developed from the item definitions and the intended meaning of the measurement scale, either manually or with </w:t>
      </w:r>
      <w:r>
        <w:t>Gen</w:t>
      </w:r>
      <w:r>
        <w:t>AI assistance. In this approach, candidate examples are generated to illustrate the types or levels of evidence that correspond to specified scores. This option is useful when empirical examples are unavailable, difficult to access, or insufficient to cover the intended range of responses. However, generated examples reflect the assumptions and information provided during development and may not adequately represent real-world variation. They may also introduce stereotypical,</w:t>
      </w:r>
      <w:r>
        <w:t xml:space="preserve"> biased,</w:t>
      </w:r>
      <w:r>
        <w:t xml:space="preserve"> overly clear-cut, or artificial distinctions between scale levels. Synthetic anchors should therefore be treated as provisional reference criteria rather than empirical evidence of what responses at a given score typically look like. Their plausibility, coverage, and distinctions between adjacent values should be examined before use. </w:t>
      </w:r>
    </w:p>
    <w:p w14:paraId="6D07BD83" w14:textId="4C794CD3">
      <w:r>
        <w:t xml:space="preserve">Practically GenAI can be prompted with information regarding the items dimensions and the overall objective. After basic information is provided, GenAI should generate anchors and support its decision with </w:t>
      </w:r>
      <w:r>
        <w:t>supplying the reasoning. Final outputs should be (at least on a random basis) evaluated by experts.</w:t>
      </w:r>
    </w:p>
    <w:p w14:paraId="71C6E80D" w14:textId="43A07604">
      <w:r>
        <w:t xml:space="preserve">The two options are not mutually exclusive. Empirical examples can be used to ground </w:t>
      </w:r>
      <w:r>
        <w:t>Gen</w:t>
      </w:r>
      <w:r>
        <w:t>AI-generated anchors, while synthetic examples can help identify gaps in empirical coverage or clarify distinctions between scale levels. Any combination should preserve traceability between the original evidence, the resulting anchor description, and the score or interpretation it is intended to represent.</w:t>
      </w:r>
    </w:p>
    <w:p w14:paraId="76C130CE" w14:textId="3F227D3C">
      <w:r>
        <w:rPr>
          <w:rStyle w:val="Fett"/>
          <w:b w:val="0"/>
        </w:rPr>
        <w:lastRenderedPageBreak/>
        <w:t>A theoretically optional, yet encourage</w:t>
      </w:r>
      <w:r>
        <w:rPr>
          <w:rStyle w:val="Fett"/>
          <w:b w:val="0"/>
        </w:rPr>
        <w:t>d</w:t>
      </w:r>
      <w:r>
        <w:rPr>
          <w:rStyle w:val="Fett"/>
          <w:b w:val="0"/>
        </w:rPr>
        <w:t xml:space="preserve"> activity is the evaluation of derived anchors.</w:t>
      </w:r>
      <w:r>
        <w:t xml:space="preserve"> Experts can assess whether each anchor adequately represents its assigned score or evidence category. For example, they can classify an anchor as appropriate or inappropriate for its intended </w:t>
      </w:r>
      <w:r>
        <w:t>score</w:t>
      </w:r>
      <w:r>
        <w:t xml:space="preserve"> and provide comments explaining their assessment. Anchors receiving negative or inconsistent evaluations can then be revised, replaced, or excluded. Where appropriate, experts can also assess whether adjacent anchors are sufficiently distinguishable and whether the set of anchors covers the relevant range of evidence. A binary yes/no assessment is straightforward to administer, but it may not reveal the degree or reasons for disagreement</w:t>
      </w:r>
      <w:r>
        <w:t xml:space="preserve">. Such feedback can be collected using a survey where experts could also be asked to provide alternatives or </w:t>
      </w:r>
      <w:r>
        <w:t>adjustments</w:t>
      </w:r>
      <w:r>
        <w:t xml:space="preserve"> if the disagree with an anchor. Another option is to conduct</w:t>
      </w:r>
      <w:r>
        <w:t xml:space="preserve"> </w:t>
      </w:r>
      <w:r>
        <w:t xml:space="preserve">interviews which </w:t>
      </w:r>
      <w:r>
        <w:t>may provide more diagnostic information</w:t>
      </w:r>
      <w:r>
        <w:t xml:space="preserve"> as nuanced follow up questions are possible</w:t>
      </w:r>
      <w:r>
        <w:t>. The number of experts, validation procedure, and decision criteria should reflect the intended use of the measurement system and the resources available.</w:t>
      </w:r>
    </w:p>
    <w:p w14:paraId="6C7A593A" w14:textId="77777777">
      <w:r>
        <w:t>The scope of anchor development and validation should be proportionate to the intended measurement granularity. Developing several examples for selected scale values may be more feasible than creating and validating a separate anchor for every score of every item. Conversely, sparse anchors may provide insufficient guidance where distinctions between adjacent scores are important. The decision should therefore consider the complexity of each item, the number of values in the scale, the variability of expected responses, and the consequences of inconsistent scoring.</w:t>
      </w:r>
    </w:p>
    <w:p w14:paraId="289EA99F" w14:textId="292B4B94">
      <w:r>
        <w:t>The milestone for this step is a documented set of anchor values or reference descriptions, linked to the relevant items and, where applicable, scale values or value ranges. The documentation should distinguish empirically derived anchors from synthetic ones, preserve the sources and context of empirical examples, and record any validation and revision undertaken. This provides a reference set for the subsequent evaluation process while making the basis and limitations of the anchors transparent.</w:t>
      </w:r>
    </w:p>
    <w:p w14:paraId="6BAF0460" w14:textId="38622E28">
      <w:pPr>
        <w:pStyle w:val="berschrift2"/>
        <w:rPr>
          <w:rFonts w:ascii="Times New Roman" w:hAnsi="Times New Roman"/>
          <w:szCs w:val="36"/>
        </w:rPr>
      </w:pPr>
      <w:bookmarkStart w:id="34" w:name="Step_8_detailled"/>
      <w:bookmarkStart w:id="35" w:name="_Toc243650051"/>
      <w:r>
        <w:t>Step 8</w:t>
      </w:r>
      <w:bookmarkEnd w:id="34"/>
      <w:r>
        <w:t xml:space="preserve">: </w:t>
      </w:r>
      <w:r>
        <w:t>Set up of the</w:t>
      </w:r>
      <w:r>
        <w:t xml:space="preserve"> Technical </w:t>
      </w:r>
      <w:r>
        <w:t>Infrastructure</w:t>
      </w:r>
      <w:bookmarkEnd w:id="35"/>
    </w:p>
    <w:p w14:paraId="3447D4E8" w14:textId="7FA5F299">
      <w:r>
        <w:t>This step translates the measurement approach developed in the preceding steps into a functional</w:t>
      </w:r>
      <w:r>
        <w:t xml:space="preserve"> MAS</w:t>
      </w:r>
      <w:r>
        <w:t>. It involves selecting or developing the technical architecture, configuring the infrastructure and AI models, integrating the measurement instruments, and defining the instructions that govern data collection and evaluation. The technical implementation should preserve the conceptual and methodological decisions made in the preceding steps while ensuring that the system can collect, process, evaluate, and report evidence in the intended format.</w:t>
      </w:r>
    </w:p>
    <w:p w14:paraId="42BF8FD7" w14:textId="77777777">
      <w:r>
        <w:t>The first decision is whether to use the MAS shell developed by the authors or to develop a custom system architecture. This decision should be made before selecting AI models and implementing API integrations, as the chosen architecture determines the available components, integration requirements, and implementation effort. The two options differ in the degree of technical control and customization they offer. The existing shell provides a predefined technical foundation, whereas a custom architecture allows the system to be designed around specific research and operational requirements.</w:t>
      </w:r>
    </w:p>
    <w:p w14:paraId="4E87AEFA" w14:textId="1B2030F4">
      <w:pPr>
        <w:rPr>
          <w:rStyle w:val="Fett"/>
        </w:rPr>
      </w:pPr>
      <w:r>
        <w:rPr>
          <w:rStyle w:val="Fett"/>
        </w:rPr>
        <w:lastRenderedPageBreak/>
        <w:t>Option A: Use the MAS Shell Developed by the Authors</w:t>
      </w:r>
    </w:p>
    <w:p w14:paraId="49FDF07D" w14:textId="30EFB7EA">
      <w:r>
        <w:t xml:space="preserve">Use the existing MAS shell as the technical foundation for implementing the measurement approach. This option is available </w:t>
      </w:r>
      <w:r>
        <w:t>for</w:t>
      </w:r>
      <w:r>
        <w:t xml:space="preserve"> </w:t>
      </w:r>
      <w:r>
        <w:rPr>
          <w:b/>
        </w:rPr>
        <w:t>quantitative output format</w:t>
      </w:r>
      <w:r>
        <w:rPr>
          <w:b/>
        </w:rPr>
        <w:t>s</w:t>
      </w:r>
      <w:r>
        <w:t>. Researchers choosing this option must complete three main activities.</w:t>
      </w:r>
    </w:p>
    <w:p w14:paraId="2DFFCCE5" w14:textId="776F63F8">
      <w:r>
        <w:t xml:space="preserve">First, select the AI models for the individual functional roles and implement the corresponding API integrations. The selection should consider the capabilities required for each role, expected response quality, latency, API and token costs, context-window limits, and applicable data protection and privacy requirements. Different roles may require different models, and the selection should be aligned with the complexity of the tasks assigned to each agent. </w:t>
      </w:r>
    </w:p>
    <w:p w14:paraId="49642CBB" w14:textId="77777777">
      <w:r>
        <w:t>Second, configure the measurement instruments in the shell. This includes uploading the interview guide or questionnaire, creating an evaluation profile, and importing the dimensions, items, and anchor values defined in the preceding steps. The interview guide and evaluation profile should remain conceptually distinct: the former governs data collection, while the latter specifies how the resulting evidence is interpreted and evaluated. This separation allows either instrument to be adapted to a different research question without necessarily redesigning the other.</w:t>
      </w:r>
    </w:p>
    <w:p w14:paraId="2314DCF9" w14:textId="77777777">
      <w:r>
        <w:t>Third, define the coding instructions for the evaluation agents. These instructions specify how the system should interpret the collected data, assign scores to items where applicable, substantiate its judgments with evidence, and handle incomplete or ambiguous responses. The instructions should be consistent with the previously defined anchors and aggregation logic. For quantitative outputs, they should also specify how item-level results are converted into dimension-level and overall scores, including the handling of insufficient evidence.</w:t>
      </w:r>
    </w:p>
    <w:p w14:paraId="726E0A88" w14:textId="77777777">
      <w:r>
        <w:t>Further information on configuring the existing shell, selecting models, implementing API integrations, and importing the measurement instruments is provided in the technical appendix.</w:t>
      </w:r>
    </w:p>
    <w:p w14:paraId="7E55CBA3" w14:textId="3D02B7B7">
      <w:pPr>
        <w:rPr>
          <w:rStyle w:val="Fett"/>
        </w:rPr>
      </w:pPr>
      <w:r>
        <w:rPr>
          <w:rStyle w:val="Fett"/>
        </w:rPr>
        <w:t>Option B: Develop a Custom System Architecture</w:t>
      </w:r>
    </w:p>
    <w:p w14:paraId="1D638776" w14:textId="02D95DBF">
      <w:r>
        <w:t xml:space="preserve">Researchers may instead design and implement their own architecture to meet the specific requirements of their measurement approach. This option provides greater flexibility in the selection of technologies, system components, data structures, and evaluation procedures, but also requires decisions and implementation work that are already addressed by the existing shell. </w:t>
      </w:r>
      <w:r>
        <w:t>This requires technical expertise and substantially more effort as well as testing.</w:t>
      </w:r>
    </w:p>
    <w:p w14:paraId="0296E797" w14:textId="0F5A7C69">
      <w:r>
        <w:t>The architecture must support the full measurement workflow, including data collection or ingestion, evidence storage, evaluation, and generation of the intended output. Its design should reflect the methodological requirements established in the preceding steps rather than treating the technical implementation as an independent exercise.</w:t>
      </w:r>
    </w:p>
    <w:p w14:paraId="7890DA04" w14:textId="3D94FCB7">
      <w:r>
        <w:t xml:space="preserve">The technical appendix </w:t>
      </w:r>
      <w:r>
        <w:t>provides further guidance on the conceptual, methodological, and technical considerations involved in developing a custom system</w:t>
      </w:r>
      <w:r>
        <w:t>.</w:t>
      </w:r>
      <w:r>
        <w:t xml:space="preserve"> Relevant considerations are summarized below.</w:t>
      </w:r>
      <w:r>
        <w:t xml:space="preserve"> </w:t>
      </w:r>
      <w:r>
        <w:t>They are presented in the order in which they may be relevant during the development process.</w:t>
      </w:r>
      <w:r>
        <w:t xml:space="preserve"> Some aspects may only apply if interviews are to be conducted with the system.</w:t>
      </w:r>
    </w:p>
    <w:p w14:paraId="3EC5C07F" w14:textId="4D816873">
      <w:r>
        <w:rPr>
          <w:b/>
          <w:bCs/>
        </w:rPr>
        <w:t>Phase 1: Conceptual and Scientific Foundations</w:t>
      </w:r>
    </w:p>
    <w:p w14:paraId="4376A007" w14:textId="77777777">
      <w:pPr>
        <w:pStyle w:val="Listenabsatz"/>
        <w:numPr>
          <w:ilvl w:val="0"/>
          <w:numId w:val="4"/>
        </w:numPr>
      </w:pPr>
      <w:r>
        <w:rPr>
          <w:b/>
          <w:bCs/>
        </w:rPr>
        <w:lastRenderedPageBreak/>
        <w:t>Anchor values:</w:t>
      </w:r>
      <w:r>
        <w:t xml:space="preserve"> Integrate concrete reference examples to provide the evaluation agent with defined reference points for assessing open-ended responses.</w:t>
      </w:r>
    </w:p>
    <w:p w14:paraId="38E608DB" w14:textId="77777777">
      <w:pPr>
        <w:pStyle w:val="Listenabsatz"/>
        <w:numPr>
          <w:ilvl w:val="0"/>
          <w:numId w:val="4"/>
        </w:numPr>
      </w:pPr>
      <w:r>
        <w:rPr>
          <w:b/>
          <w:bCs/>
        </w:rPr>
        <w:t>Demographic context data:</w:t>
      </w:r>
      <w:r>
        <w:t xml:space="preserve"> Determine whether contextual information, such as position or experience, should be collected at the beginning of the interview to support subsequent interpretation.</w:t>
      </w:r>
    </w:p>
    <w:p w14:paraId="6BEE8B01" w14:textId="77777777">
      <w:r>
        <w:rPr>
          <w:b/>
          <w:bCs/>
        </w:rPr>
        <w:t>Phase 2: Instrument and Data Model Separation</w:t>
      </w:r>
    </w:p>
    <w:p w14:paraId="39579036" w14:textId="77777777">
      <w:pPr>
        <w:pStyle w:val="Listenabsatz"/>
        <w:numPr>
          <w:ilvl w:val="0"/>
          <w:numId w:val="7"/>
        </w:numPr>
      </w:pPr>
      <w:r>
        <w:rPr>
          <w:b/>
          <w:bCs/>
        </w:rPr>
        <w:t>Separate data collection and evaluation:</w:t>
      </w:r>
      <w:r>
        <w:t xml:space="preserve"> Maintain the interview guide and evaluation profile as independent instruments. This allows the data collection process and evaluation criteria to be adapted independently for different research questions.</w:t>
      </w:r>
    </w:p>
    <w:p w14:paraId="6F44425A" w14:textId="77777777">
      <w:pPr>
        <w:pStyle w:val="Listenabsatz"/>
        <w:numPr>
          <w:ilvl w:val="0"/>
          <w:numId w:val="7"/>
        </w:numPr>
      </w:pPr>
      <w:r>
        <w:rPr>
          <w:b/>
          <w:bCs/>
        </w:rPr>
        <w:t>Structured parsing and control:</w:t>
      </w:r>
      <w:r>
        <w:t xml:space="preserve"> Use structured formats and deterministic parsers to load question catalogues rather than relying on unrestricted dynamic question generation.</w:t>
      </w:r>
    </w:p>
    <w:p w14:paraId="28B275A0" w14:textId="77777777">
      <w:pPr>
        <w:pStyle w:val="Listenabsatz"/>
        <w:numPr>
          <w:ilvl w:val="0"/>
          <w:numId w:val="7"/>
        </w:numPr>
      </w:pPr>
      <w:r>
        <w:rPr>
          <w:b/>
          <w:bCs/>
        </w:rPr>
        <w:t>Multi-stage questioning:</w:t>
      </w:r>
      <w:r>
        <w:t xml:space="preserve"> Combine structured main questions with predefined follow-up questions to address information gaps. Alternatively, a reasoning model can generate follow-up questions, depending on the required quality and generation time.</w:t>
      </w:r>
    </w:p>
    <w:p w14:paraId="61574993" w14:textId="5393DB3F">
      <w:r>
        <w:rPr>
          <w:b/>
          <w:bCs/>
        </w:rPr>
        <w:t>Phase 3: System Architecture and Real-Time Interaction</w:t>
      </w:r>
      <w:r>
        <w:rPr>
          <w:b/>
          <w:bCs/>
        </w:rPr>
        <w:t xml:space="preserve"> (only relevant if interviews are to be conducted)</w:t>
      </w:r>
    </w:p>
    <w:p w14:paraId="6CAE6D0F" w14:textId="77777777">
      <w:pPr>
        <w:pStyle w:val="Listenabsatz"/>
        <w:numPr>
          <w:ilvl w:val="0"/>
          <w:numId w:val="8"/>
        </w:numPr>
      </w:pPr>
      <w:r>
        <w:rPr>
          <w:b/>
          <w:bCs/>
        </w:rPr>
        <w:t>Separate AI interaction from backend control:</w:t>
      </w:r>
      <w:r>
        <w:t xml:space="preserve"> Use the AI model as the interaction interface while enforcing rules, state transitions, and database operations through backend logic.</w:t>
      </w:r>
    </w:p>
    <w:p w14:paraId="7A9ABE6C" w14:textId="77777777">
      <w:pPr>
        <w:pStyle w:val="Listenabsatz"/>
        <w:numPr>
          <w:ilvl w:val="0"/>
          <w:numId w:val="8"/>
        </w:numPr>
      </w:pPr>
      <w:r>
        <w:rPr>
          <w:b/>
          <w:bCs/>
        </w:rPr>
        <w:t>Real-time communication:</w:t>
      </w:r>
      <w:r>
        <w:t xml:space="preserve"> Select communication and processing mechanisms, such as WebRTC, with consideration for latency and conversational continuity.</w:t>
      </w:r>
    </w:p>
    <w:p w14:paraId="1D883DAE" w14:textId="77777777">
      <w:pPr>
        <w:pStyle w:val="Listenabsatz"/>
        <w:numPr>
          <w:ilvl w:val="0"/>
          <w:numId w:val="8"/>
        </w:numPr>
      </w:pPr>
      <w:r>
        <w:rPr>
          <w:b/>
          <w:bCs/>
        </w:rPr>
        <w:t>Deterministic turn and flow control:</w:t>
      </w:r>
      <w:r>
        <w:t xml:space="preserve"> Implement a controlled sequence of receiving, storing, validating, approving, and delivering statements to ensure that only server-validated content is presented to participants.</w:t>
      </w:r>
    </w:p>
    <w:p w14:paraId="0EB30D36" w14:textId="77777777">
      <w:r>
        <w:rPr>
          <w:b/>
          <w:bCs/>
        </w:rPr>
        <w:t>Phase 4: Canonical Data Storage and Context Management</w:t>
      </w:r>
    </w:p>
    <w:p w14:paraId="060E91A9" w14:textId="77777777">
      <w:pPr>
        <w:pStyle w:val="Listenabsatz"/>
        <w:numPr>
          <w:ilvl w:val="0"/>
          <w:numId w:val="9"/>
        </w:numPr>
      </w:pPr>
      <w:r>
        <w:rPr>
          <w:b/>
          <w:bCs/>
        </w:rPr>
        <w:t>Canonical transcript:</w:t>
      </w:r>
      <w:r>
        <w:t xml:space="preserve"> Use server-confirmed and sequenced speech contributions as the authoritative evidence source for evaluation. Record technical failures explicitly as technical gaps.</w:t>
      </w:r>
    </w:p>
    <w:p w14:paraId="77F6A6FB" w14:textId="77777777">
      <w:pPr>
        <w:pStyle w:val="Listenabsatz"/>
        <w:numPr>
          <w:ilvl w:val="0"/>
          <w:numId w:val="9"/>
        </w:numPr>
      </w:pPr>
      <w:r>
        <w:rPr>
          <w:b/>
          <w:bCs/>
        </w:rPr>
        <w:t>Context management:</w:t>
      </w:r>
      <w:r>
        <w:t xml:space="preserve"> For long interactions, consider section-based memory mechanisms and compare the expected conversation length with the model's context window.</w:t>
      </w:r>
    </w:p>
    <w:p w14:paraId="4C70D9ED" w14:textId="77777777">
      <w:pPr>
        <w:pStyle w:val="Listenabsatz"/>
        <w:numPr>
          <w:ilvl w:val="0"/>
          <w:numId w:val="9"/>
        </w:numPr>
      </w:pPr>
      <w:r>
        <w:rPr>
          <w:b/>
          <w:bCs/>
        </w:rPr>
        <w:t>Transactional data persistence:</w:t>
      </w:r>
      <w:r>
        <w:t xml:space="preserve"> Use database transactions to protect system states and interactions against inconsistencies and failures.</w:t>
      </w:r>
    </w:p>
    <w:p w14:paraId="206544EC" w14:textId="77777777">
      <w:r>
        <w:rPr>
          <w:b/>
          <w:bCs/>
        </w:rPr>
        <w:t>Phase 5: Transparent Evaluation and Evidence Validation</w:t>
      </w:r>
    </w:p>
    <w:p w14:paraId="6811D3D2" w14:textId="77777777">
      <w:pPr>
        <w:pStyle w:val="Listenabsatz"/>
        <w:numPr>
          <w:ilvl w:val="0"/>
          <w:numId w:val="10"/>
        </w:numPr>
      </w:pPr>
      <w:r>
        <w:rPr>
          <w:b/>
          <w:bCs/>
        </w:rPr>
        <w:t>Evidence-based verification:</w:t>
      </w:r>
      <w:r>
        <w:t xml:space="preserve"> Support every AI-generated evaluation with exact quotations from the transcript and written explanations.</w:t>
      </w:r>
    </w:p>
    <w:p w14:paraId="0EF80113" w14:textId="77777777">
      <w:pPr>
        <w:pStyle w:val="Listenabsatz"/>
        <w:numPr>
          <w:ilvl w:val="0"/>
          <w:numId w:val="10"/>
        </w:numPr>
      </w:pPr>
      <w:r>
        <w:rPr>
          <w:b/>
          <w:bCs/>
        </w:rPr>
        <w:t>Incomplete evidence:</w:t>
      </w:r>
      <w:r>
        <w:t xml:space="preserve"> Implement explicit non-score states for insufficient or otherwise unusable evidence.</w:t>
      </w:r>
    </w:p>
    <w:p w14:paraId="5B4DEAF3" w14:textId="77777777">
      <w:pPr>
        <w:pStyle w:val="Listenabsatz"/>
        <w:numPr>
          <w:ilvl w:val="0"/>
          <w:numId w:val="10"/>
        </w:numPr>
      </w:pPr>
      <w:r>
        <w:rPr>
          <w:b/>
          <w:bCs/>
        </w:rPr>
        <w:t>Aggregation logic:</w:t>
      </w:r>
      <w:r>
        <w:t xml:space="preserve"> Support configurable aggregation procedures, including weighted means and other mathematical rules, without executing unsafe dynamic code.</w:t>
      </w:r>
    </w:p>
    <w:p w14:paraId="573B5D31" w14:textId="77777777">
      <w:r>
        <w:rPr>
          <w:b/>
          <w:bCs/>
        </w:rPr>
        <w:t>Phase 6: Quality Assurance, Consistency, and Governance</w:t>
      </w:r>
    </w:p>
    <w:p w14:paraId="1B7316BE" w14:textId="77777777">
      <w:pPr>
        <w:pStyle w:val="Listenabsatz"/>
        <w:numPr>
          <w:ilvl w:val="0"/>
          <w:numId w:val="11"/>
        </w:numPr>
      </w:pPr>
      <w:r>
        <w:rPr>
          <w:b/>
          <w:bCs/>
        </w:rPr>
        <w:lastRenderedPageBreak/>
        <w:t>Consistency testing:</w:t>
      </w:r>
      <w:r>
        <w:t xml:space="preserve"> Evaluate identical test data repeatedly and compare system outputs with human expert assessments to examine consistency and inter-rater reliability.</w:t>
      </w:r>
    </w:p>
    <w:p w14:paraId="293C26C1" w14:textId="77777777">
      <w:pPr>
        <w:pStyle w:val="Listenabsatz"/>
        <w:numPr>
          <w:ilvl w:val="0"/>
          <w:numId w:val="11"/>
        </w:numPr>
      </w:pPr>
      <w:r>
        <w:rPr>
          <w:b/>
          <w:bCs/>
        </w:rPr>
        <w:t>Auditability:</w:t>
      </w:r>
      <w:r>
        <w:t xml:space="preserve"> Link reports, profiles, and transcripts using cryptographic fingerprints and audit trails to support traceability and integrity verification.</w:t>
      </w:r>
    </w:p>
    <w:p w14:paraId="0DEB26F5" w14:textId="6C256AEA">
      <w:pPr>
        <w:rPr>
          <w:b/>
        </w:rPr>
      </w:pPr>
      <w:r>
        <w:rPr>
          <w:b/>
        </w:rPr>
        <w:t>General</w:t>
      </w:r>
      <w:r>
        <w:rPr>
          <w:b/>
        </w:rPr>
        <w:t xml:space="preserve"> remarks:</w:t>
      </w:r>
    </w:p>
    <w:p w14:paraId="324C1BE8" w14:textId="0269658A">
      <w:pPr>
        <w:pStyle w:val="Listenabsatz"/>
        <w:numPr>
          <w:ilvl w:val="0"/>
          <w:numId w:val="12"/>
        </w:numPr>
      </w:pPr>
      <w:r>
        <w:rPr>
          <w:b/>
        </w:rPr>
        <w:t>Transparency:</w:t>
      </w:r>
      <w:r>
        <w:t xml:space="preserve"> Throughout the whole system, transparency, traceability and comprehension should be prioritized to make AI results understandable and avoid the formation of a black box.</w:t>
      </w:r>
    </w:p>
    <w:p w14:paraId="18330E52" w14:textId="7B17BCFD">
      <w:pPr>
        <w:pStyle w:val="Listenabsatz"/>
        <w:numPr>
          <w:ilvl w:val="0"/>
          <w:numId w:val="12"/>
        </w:numPr>
      </w:pPr>
      <w:r>
        <w:rPr>
          <w:b/>
        </w:rPr>
        <w:t>Flexibility:</w:t>
      </w:r>
      <w:r>
        <w:t xml:space="preserve"> It is advised to make the system flexible to be adaptable to different context and not just to one specific case. Further if a data collection is intended with the system (like live interviews), the collected data should be accessible without evaluation.</w:t>
      </w:r>
    </w:p>
    <w:p w14:paraId="0024FC7A" w14:textId="2C4EAE5D">
      <w:pPr>
        <w:rPr>
          <w:rStyle w:val="Fett"/>
        </w:rPr>
      </w:pPr>
      <w:r>
        <w:rPr>
          <w:rStyle w:val="Fett"/>
        </w:rPr>
        <w:t>Additional consideration for qualitative outputs</w:t>
      </w:r>
    </w:p>
    <w:p w14:paraId="47739C4B" w14:textId="06550C63">
      <w:r>
        <w:t xml:space="preserve">If a qualitative output format was selected in Step 2, the evaluation approach must be specified in a way that supports the generation of evidence-based qualitative findings rather than assuming that the quantitative shell can be used without modification. Researchers should define how evidence will be organized, how findings will be linked to the relevant dimensions or items, how contradictory or insufficient evidence will be represented, and how the system will distinguish source material from its own interpretations. </w:t>
      </w:r>
      <w:r>
        <w:t>The following describes an idea of a possible setup usable to collect and evaluate qualitative data</w:t>
      </w:r>
      <w:r>
        <w:t>:</w:t>
      </w:r>
    </w:p>
    <w:p w14:paraId="2F3A079F" w14:textId="7FB04FD9">
      <w:pPr>
        <w:rPr>
          <w:bCs/>
        </w:rPr>
      </w:pPr>
      <w:r>
        <w:rPr>
          <w:bCs/>
        </w:rPr>
        <w:t xml:space="preserve">The system consists of </w:t>
      </w:r>
      <w:r>
        <w:rPr>
          <w:bCs/>
        </w:rPr>
        <w:t>several</w:t>
      </w:r>
      <w:r>
        <w:rPr>
          <w:bCs/>
        </w:rPr>
        <w:t xml:space="preserve"> AI agents that perform distinct tasks within a sequential analysis pipeline, combining adaptive interview-based data collection with the identification of emergent topics from anonymized statements.</w:t>
      </w:r>
    </w:p>
    <w:p w14:paraId="0A476701" w14:textId="7454A75E">
      <w:pPr>
        <w:rPr>
          <w:bCs/>
        </w:rPr>
      </w:pPr>
      <w:r>
        <w:rPr>
          <w:bCs/>
        </w:rPr>
        <w:t>One</w:t>
      </w:r>
      <w:r>
        <w:rPr>
          <w:bCs/>
        </w:rPr>
        <w:t xml:space="preserve"> agent prepares an individualized interview guide for each participant. The guide is tailored to the participant's role, tenure, and department, allowing the system to address the same overarching topics through questions adapted to different organizational contexts. This approach aims to ensure systematic coverage of relevant subject areas while preserving flexibility in the subsequent interview.</w:t>
      </w:r>
      <w:r>
        <w:rPr>
          <w:bCs/>
        </w:rPr>
        <w:t xml:space="preserve"> Another</w:t>
      </w:r>
      <w:r>
        <w:rPr>
          <w:bCs/>
        </w:rPr>
        <w:t xml:space="preserve"> agent conducts the interview using the prepared guide. After each response, it dynamically determines whether further probing is necessary to explore the answer in greater depth or whether the interview should proceed to the next topic. The interview process balances the depth of the information collected with a target duration of approximately 20</w:t>
      </w:r>
      <w:r>
        <w:rPr>
          <w:bCs/>
        </w:rPr>
        <w:t xml:space="preserve"> - </w:t>
      </w:r>
      <w:r>
        <w:rPr>
          <w:bCs/>
        </w:rPr>
        <w:t>30 minutes. The resulting output is a complete interview transcript.</w:t>
      </w:r>
    </w:p>
    <w:p w14:paraId="7B3F65B8" w14:textId="667EDC4F">
      <w:pPr>
        <w:rPr>
          <w:bCs/>
        </w:rPr>
      </w:pPr>
      <w:r>
        <w:rPr>
          <w:bCs/>
        </w:rPr>
        <w:t xml:space="preserve">A </w:t>
      </w:r>
      <w:r>
        <w:rPr>
          <w:bCs/>
        </w:rPr>
        <w:t>agent extracts relevant statements from the transcript and removes identifying information. This process extends beyond names to include specific role descriptions and rare contextual details that could indirectly reveal a participant's identity. The agent does not receive background information about the participant. The architecture also separates the subsequent evaluation agent from the raw transcripts and participant profile data, so that it works exclusively with the isolated, anonymized statements.</w:t>
      </w:r>
      <w:r>
        <w:rPr>
          <w:bCs/>
        </w:rPr>
        <w:t xml:space="preserve"> </w:t>
      </w:r>
      <w:r>
        <w:rPr>
          <w:bCs/>
        </w:rPr>
        <w:t xml:space="preserve">The extracted statements are then processed using multilingual embeddings and density-based clustering. The embedding model </w:t>
      </w:r>
      <w:r>
        <w:rPr>
          <w:bCs/>
        </w:rPr>
        <w:t>(can be chosen by the creators)</w:t>
      </w:r>
      <w:r>
        <w:rPr>
          <w:bCs/>
        </w:rPr>
        <w:t xml:space="preserve"> transforms the anonymized statements into a shared multilingual vector space, enabling semantic comparisons across languages. DBSCAN is subsequently applied using cosine distance to group semantically similar statements into topic clusters. Unlike methods that </w:t>
      </w:r>
      <w:r>
        <w:rPr>
          <w:bCs/>
        </w:rPr>
        <w:lastRenderedPageBreak/>
        <w:t>require the number of clusters to be specified in advance, DBSCAN identifies clusters based on the density of neighboring statements. Statements without sufficient neighboring evidence are classified as noise and remain unassigned rather than being forced into an existing topic. This allows topics to emerge from the collected material instead of requiring all statements to be allocated to predefined categories.</w:t>
      </w:r>
    </w:p>
    <w:p w14:paraId="4A2E4458" w14:textId="19893A3B">
      <w:pPr>
        <w:rPr>
          <w:bCs/>
        </w:rPr>
      </w:pPr>
      <w:r>
        <w:rPr>
          <w:bCs/>
        </w:rPr>
        <w:t xml:space="preserve">An additional </w:t>
      </w:r>
      <w:r>
        <w:rPr>
          <w:bCs/>
        </w:rPr>
        <w:t xml:space="preserve">agent receives the resulting statement clusters and generates an </w:t>
      </w:r>
      <w:r>
        <w:rPr>
          <w:bCs/>
          <w:i/>
          <w:iCs/>
        </w:rPr>
        <w:t>Emergent Topic Report</w:t>
      </w:r>
      <w:r>
        <w:rPr>
          <w:bCs/>
        </w:rPr>
        <w:t>. The report synthesizes the emerging topic landscape, identifies major patterns, and describes potential areas for action. To support traceability, the pipeline retains its intermediate artefacts as linked stages, from the original interview guide and transcript through the anonymized statements and clusters to the final report. This structure allows report-level syntheses to be checked against the underlying statements.</w:t>
      </w:r>
    </w:p>
    <w:p w14:paraId="6C00D196" w14:textId="33FF4886">
      <w:pPr>
        <w:rPr>
          <w:bCs/>
        </w:rPr>
      </w:pPr>
      <w:r>
        <w:rPr>
          <w:bCs/>
        </w:rPr>
        <w:t xml:space="preserve">The technical infrastructure can be based on an open-weight language model, for interview preparation, interview execution, statement extraction, and report generation. An open-weight model can be self-hosted on dedicated infrastructure or in a data center designed to meet applicable data protection requirements. For data ingestion, the system </w:t>
      </w:r>
      <w:r>
        <w:rPr>
          <w:bCs/>
        </w:rPr>
        <w:t>could</w:t>
      </w:r>
      <w:r>
        <w:rPr>
          <w:bCs/>
        </w:rPr>
        <w:t xml:space="preserve"> support both </w:t>
      </w:r>
      <w:r>
        <w:rPr>
          <w:bCs/>
        </w:rPr>
        <w:t>a data upload for different</w:t>
      </w:r>
      <w:r>
        <w:rPr>
          <w:bCs/>
        </w:rPr>
        <w:t xml:space="preserve"> file</w:t>
      </w:r>
      <w:r>
        <w:rPr>
          <w:bCs/>
        </w:rPr>
        <w:t xml:space="preserve"> formats</w:t>
      </w:r>
      <w:r>
        <w:rPr>
          <w:bCs/>
        </w:rPr>
        <w:t xml:space="preserve"> </w:t>
      </w:r>
      <w:r>
        <w:rPr>
          <w:bCs/>
        </w:rPr>
        <w:t>and a direct data funnel from a live-interview agent like the one described in this framework/technical appendix</w:t>
      </w:r>
      <w:r>
        <w:rPr>
          <w:bCs/>
        </w:rPr>
        <w:t>.</w:t>
      </w:r>
    </w:p>
    <w:p w14:paraId="41A49E82" w14:textId="6D68EC46">
      <w:pPr>
        <w:rPr>
          <w:rStyle w:val="Fett"/>
          <w:b w:val="0"/>
        </w:rPr>
      </w:pPr>
      <w:r>
        <w:rPr>
          <w:bCs/>
        </w:rPr>
        <w:t xml:space="preserve">This </w:t>
      </w:r>
      <w:r>
        <w:rPr>
          <w:bCs/>
        </w:rPr>
        <w:t xml:space="preserve">described </w:t>
      </w:r>
      <w:r>
        <w:rPr>
          <w:bCs/>
        </w:rPr>
        <w:t xml:space="preserve">architecture </w:t>
      </w:r>
      <w:r>
        <w:rPr>
          <w:bCs/>
        </w:rPr>
        <w:t xml:space="preserve">is just an </w:t>
      </w:r>
      <w:r>
        <w:rPr>
          <w:bCs/>
        </w:rPr>
        <w:t>illustrat</w:t>
      </w:r>
      <w:r>
        <w:rPr>
          <w:bCs/>
        </w:rPr>
        <w:t>ion on</w:t>
      </w:r>
      <w:r>
        <w:rPr>
          <w:bCs/>
        </w:rPr>
        <w:t xml:space="preserve"> how a custom MAS can combine individualized interview preparation, adaptive data collection, anonymization, multilingual semantic clustering, and generative reporting within a single pipeline </w:t>
      </w:r>
      <w:r>
        <w:rPr>
          <w:bCs/>
        </w:rPr>
        <w:t>emphasiz</w:t>
      </w:r>
      <w:r>
        <w:rPr>
          <w:bCs/>
        </w:rPr>
        <w:t>ing on</w:t>
      </w:r>
      <w:r>
        <w:rPr>
          <w:bCs/>
        </w:rPr>
        <w:t xml:space="preserve"> emergent topics</w:t>
      </w:r>
      <w:r>
        <w:rPr>
          <w:bCs/>
        </w:rPr>
        <w:t>.</w:t>
      </w:r>
    </w:p>
    <w:p w14:paraId="47515652" w14:textId="187742ED">
      <w:r>
        <w:rPr>
          <w:rStyle w:val="Fett"/>
          <w:b w:val="0"/>
        </w:rPr>
        <w:t>O</w:t>
      </w:r>
      <w:r>
        <w:rPr>
          <w:rStyle w:val="Fett"/>
          <w:b w:val="0"/>
        </w:rPr>
        <w:t>ptional</w:t>
      </w:r>
      <w:r>
        <w:rPr>
          <w:rStyle w:val="Fett"/>
          <w:b w:val="0"/>
        </w:rPr>
        <w:t>ly</w:t>
      </w:r>
      <w:r>
        <w:rPr>
          <w:rStyle w:val="Fett"/>
          <w:b w:val="0"/>
        </w:rPr>
        <w:t xml:space="preserve"> </w:t>
      </w:r>
      <w:r>
        <w:rPr>
          <w:rStyle w:val="Fett"/>
          <w:b w:val="0"/>
        </w:rPr>
        <w:t>an e</w:t>
      </w:r>
      <w:r>
        <w:rPr>
          <w:rStyle w:val="Fett"/>
          <w:b w:val="0"/>
        </w:rPr>
        <w:t>mpirical validation of the MAS</w:t>
      </w:r>
      <w:r>
        <w:rPr>
          <w:rStyle w:val="Fett"/>
          <w:b w:val="0"/>
        </w:rPr>
        <w:t xml:space="preserve"> can be conducted.</w:t>
      </w:r>
      <w:r>
        <w:rPr>
          <w:rStyle w:val="Fett"/>
        </w:rPr>
        <w:t xml:space="preserve"> </w:t>
      </w:r>
      <w:r>
        <w:t>After configuration or implementation, the complete system can be evaluated to determine whether its outputs behave as expected and whether its measurement procedure produces sufficiently consistent and defensible results. Validation should address the behavior of the integrated system, not only the performance of individual AI models.</w:t>
      </w:r>
      <w:r>
        <w:t xml:space="preserve"> Such tests are advised especially if a custom system architecture is developed. Further we suggest that test are conducted simultaneously throughout the development process to catch problems/bugs early. In the following we describe testing logics. More information, additional tests and tests we applied during the development of the MAS, please see the technical appendix.</w:t>
      </w:r>
    </w:p>
    <w:p w14:paraId="16696A9F" w14:textId="269822A3">
      <w:r>
        <w:t>Synthetic extreme and mixed-profile tests can be used to examine whether the system produces plausible results for predefined response patterns. For example, synthetic transcripts may be designed to represent consistently low or high scores, as well as mixed profiles with different levels across items or dimensions. Researchers can then compare the observed outputs with the expected results to identify unexpected score distributions, systematic biases, or failures in the evaluation logic. On a seven-point scale, for instance, an unexpected tendency to assign scores around the midpoint may warrant further investigation.</w:t>
      </w:r>
    </w:p>
    <w:p w14:paraId="652C1FA4" w14:textId="667CF206">
      <w:r>
        <w:t xml:space="preserve">Consistency and replication tests can examine whether the same transcript produces similar results when evaluated repeatedly. Researchers may compare item scores, overall scores, selected quotations, and written explanations across runs. The number of repetitions should reflect the variability being investigated, the computational budget, and the intended strength of the conclusions. A small number of repetitions can reveal obvious instability, whereas larger </w:t>
      </w:r>
      <w:r>
        <w:lastRenderedPageBreak/>
        <w:t xml:space="preserve">numbers, such as 100 or 1,000 runs </w:t>
      </w:r>
      <w:r>
        <w:t>(</w:t>
      </w:r>
      <w:r>
        <w:t>where feasible</w:t>
      </w:r>
      <w:r>
        <w:t>)</w:t>
      </w:r>
      <w:r>
        <w:t xml:space="preserve"> may support statistical analysis of output variability. These tests can be computationally expensive, particularly when multiple agents or large models are involved, so API and token costs should be estimated before testing. Repeated-run consistency should not be confused with validity: a system can consistently produce the same incorrect result.</w:t>
      </w:r>
    </w:p>
    <w:p w14:paraId="4B6395EB" w14:textId="5EDEA588">
      <w:r>
        <w:t>Human comparison can provide additional evidence about the quality of the measurement procedure.</w:t>
      </w:r>
      <w:r>
        <w:t xml:space="preserve"> This test assesses the result similar to a interrater</w:t>
      </w:r>
      <w:r>
        <w:t>/intercoder</w:t>
      </w:r>
      <w:r>
        <w:t xml:space="preserve"> reliability </w:t>
      </w:r>
      <w:r>
        <w:fldChar w:fldCharType="begin"/>
      </w:r>
      <w:r>
        <w:instrText xml:space="preserve"> ADDIN ZOTERO_ITEM CSL_CITATION {"citationID":"wz8YtlC3","properties":{"unsorted":false,"formattedCitation":"(Flick, 2018; LeBreton &amp; Senter, 2008)","plainCitation":"(Flick, 2018; LeBreton &amp; Senter, 2008)","noteIndex":0},"citationItems":[{"id":385,"uris":["http://zotero.org/users/local/review/items/YQHZHN6F"],"itemData":{"id":385,"type":"book","DOI":"10.4135/9781526416070","ISBN":"978-1-4739-5213-3","publisher":"SAGE Publications Ltd","publisher-place":"1 Oliver's Yard, 55 City Road London EC1Y 1SP","source":"DOI.org (Crossref)","title":"The SAGE Handbook of Qualitative Data Collection","URL":"https://sk.sagepub.com/reference/the-sage-handbook-of-qualitative-data-collection","author":[{"family":"Flick","given":"Uwe"}],"accessed":{"date-parts":[["2026",10,23]]},"issued":{"date-parts":[["2018"]]}}},{"id":384,"uris":["http://zotero.org/users/local/review/items/S6QYB49F"],"itemData":{"id":384,"type":"article-journal","abstract":"The use of interrater reliability (IRR) and interrater agreement (IRA) indices has increased dramatically during the past 20 years. This popularity is, at least in part, because of the increased role of multilevel modeling techniques (e.g., hierarchical linear modeling and multilevel structural equation modeling) in organizational research. IRR and IRA indices are often used to justify aggregating lower-level data used in composition models. The purpose of the current article is to expose researchers to the various issues surrounding the use of IRR and IRA indices often used in conjunction with multilevel models. To achieve this goal, the authors adopt a question-and-answer format and provide a tutorial in the appendices illustrating how these indices may be computed using the SPSS software.","container-title":"Organizational Research Methods","DOI":"10.1177/1094428106296642","ISSN":"1094-4281, 1552-7425","issue":"4","journalAbbreviation":"Organizational Research Methods","language":"en","license":"https://journals.sagepub.com/page/policies/text-and-data-mining-license","page":"815-852","source":"DOI.org (Crossref)","title":"Answers to 20 Questions About Interrater Reliability and Interrater Agreement","volume":"11","author":[{"family":"LeBreton","given":"James M."},{"family":"Senter","given":"Jenell L."}],"issued":{"date-parts":[["2008",10]]}}}],"schema":"https://github.com/citation-style-language/schema/raw/master/csl-citation.json"} </w:instrText>
      </w:r>
      <w:r>
        <w:fldChar w:fldCharType="separate"/>
      </w:r>
      <w:r>
        <w:t>(Flick, 2018; LeBreton &amp; Senter, 2008)</w:t>
      </w:r>
      <w:r>
        <w:fldChar w:fldCharType="end"/>
      </w:r>
      <w:r>
        <w:t>.</w:t>
      </w:r>
      <w:r>
        <w:t xml:space="preserve"> Where quantitative scores are produced, the MAS results can be compared with independent assessments by subject-matter experts or trained researchers using the same measurement criteria. The design should specify who provides the reference assessments, whether assessors work independently, how disagreements are resolved, and which agreement or association statistics are appropriate for the data. For qualitative outputs, comparison may instead focus on the relevance and completeness of identified evidence, the interpretation of passages, the handling of contradictory information, and the quality of the resulting reports. The comparison procedure should therefore be tailored to the selected output format rather than restricted to scale-based scores. </w:t>
      </w:r>
      <w:r>
        <w:t>Agreement with human judgments provides useful evidence for evaluating the quality of the resulting scores, but human assessments should not automatically be treated as error-free ground truth. The same consideration applies when established scales are used as benchmarks, as they may not fully capture the construct of interest. Consequently, discrepancies between the MAS-generated scores and human judgments or established scales should not automatically be interpreted as errors in the MAS. Instead, such discrepancies should be investigated by the researchers, drawing on relevant source material, construct definitions, and expert judgment to determine their underlying causes and implications.</w:t>
      </w:r>
    </w:p>
    <w:p w14:paraId="29FA8414" w14:textId="77777777">
      <w:r>
        <w:t>The scope of validation should be proportionate to the intended application and the claims made about the system. Technical tests can identify implementation defects and unexpected behavior, while comparisons with human assessments can help evaluate consistency and agreement. Broader claims about construct validity, reliability, or generalizability require an appropriate research design and supporting evidence beyond the successful completion of technical tests.</w:t>
      </w:r>
    </w:p>
    <w:p w14:paraId="2B2C1D72" w14:textId="47FC4FC6">
      <w:r>
        <w:t>The milestone for this step is a functional MAS configured for the intended measurement approach, either by adapting the authors' shell or by implementing a custom architecture. The system should integrate the relevant data collection and evaluation instruments, implement the required processing and scoring logic, and generate the intended output format. Any testing completed at this stage, together with known limitations and unresolved validation requirements, should be documented.</w:t>
      </w:r>
    </w:p>
    <w:p w14:paraId="01F7D81F" w14:textId="77777777">
      <w:pPr>
        <w:pStyle w:val="berschrift2"/>
        <w:rPr>
          <w:rFonts w:ascii="Times New Roman" w:hAnsi="Times New Roman"/>
          <w:szCs w:val="36"/>
        </w:rPr>
      </w:pPr>
      <w:bookmarkStart w:id="36" w:name="_Toc243650052"/>
      <w:r>
        <w:t>Step 9: Conducting the Data Collection</w:t>
      </w:r>
      <w:bookmarkEnd w:id="36"/>
    </w:p>
    <w:p w14:paraId="1C2AC93F" w14:textId="0B87A367">
      <w:r>
        <w:t>This step implements the previously defined measurement approach by initiating data collection using the configured system.</w:t>
      </w:r>
      <w:r>
        <w:t xml:space="preserve"> Before collection begins, the relevant parameters must be specified, including the language of interaction and evaluation, the applicable dimensions and items, and the data collection mode. Depending on the selected approach, data are collected directly from participants or imported from existing sources. The collected data then serve as the </w:t>
      </w:r>
      <w:r>
        <w:lastRenderedPageBreak/>
        <w:t>basis for the subsequent evaluation. The availability of the options depends on the selected system architecture.</w:t>
      </w:r>
    </w:p>
    <w:p w14:paraId="74D655E2" w14:textId="765BFC0C">
      <w:r>
        <w:rPr>
          <w:rStyle w:val="Fett"/>
        </w:rPr>
        <w:t>Option A: Text Chat</w:t>
      </w:r>
    </w:p>
    <w:p w14:paraId="30774145" w14:textId="57F685E7">
      <w:r>
        <w:t>Conduct the data collection through a text-based interaction between the participant and the system. This mode allows participants to respond in writing and supports asynchronous participation where the system permits it. The resulting text can be processed without an additional speech-to-text transcription step. However, written responses may differ from spoken responses in length, spontaneity, and level of detail. Further lengthy interactions may influence motivation to type out answers which can result in information loss. The implications of these differences should be considered when comparing results obtained through different interaction modes.</w:t>
      </w:r>
    </w:p>
    <w:p w14:paraId="3BAB40B9" w14:textId="41E13DBD">
      <w:r>
        <w:rPr>
          <w:rStyle w:val="Fett"/>
        </w:rPr>
        <w:t>Option B: Real-Time Interviews</w:t>
      </w:r>
    </w:p>
    <w:p w14:paraId="6A0FB434" w14:textId="562745BD">
      <w:r>
        <w:t>Conduct the data collection through a real-time voice interaction with the system. This mode enables spoken, conversational interviews and allows the system to ask follow-up questions during the interaction. The quality of the resulting data depends partly on the reliability of speech recognition, turn-taking, and the handling of technical interruptions. Where transcripts are generated automatically, the transcription process should be checked for errors that could affect subsequent evaluation.</w:t>
      </w:r>
    </w:p>
    <w:p w14:paraId="133E788E" w14:textId="790A4C5B">
      <w:r>
        <w:rPr>
          <w:rStyle w:val="Fett"/>
        </w:rPr>
        <w:t>Option C: Data Upload</w:t>
      </w:r>
    </w:p>
    <w:p w14:paraId="77811B4F" w14:textId="0BA6A617">
      <w:r>
        <w:t>Collect data by uploading existing material, such as interview transcripts, documents, or other sources permitted by the selected measurement approach. This option allows researchers to analyze previously collected data without conducting new interviews. Before evaluation, the uploaded material should be checked for compatibility with the intended analysis, completeness, and source traceability. Because existing data may have been collected for different purposes or under different conditions, their suitability for the measurement approach should be assessed rather than assumed.</w:t>
      </w:r>
    </w:p>
    <w:p w14:paraId="62E90696" w14:textId="358D3AF1">
      <w:r>
        <w:t>Before using the text chat or live-interview it may be advisable to provide the expert with an introduction to the system and how the process will unfold. This may also be included in the initiation and welcoming statement of the voice agent.</w:t>
      </w:r>
    </w:p>
    <w:p w14:paraId="2F019F89" w14:textId="77777777">
      <w:r>
        <w:t>The three options are not mutually exclusive. Researchers may combine text chat, real-time voice interviews, and uploaded data when this is appropriate for the research question. Combining sources can increase the volume and breadth of available evidence, but it may also introduce differences in context, data quality, and collection procedures. Such differences should be documented and considered during subsequent evaluation.</w:t>
      </w:r>
    </w:p>
    <w:p w14:paraId="6C520BBB" w14:textId="4EE16A05">
      <w:r>
        <w:t>The milestone for this step is a completed data collection or a successful import of the selected data sources, with the relevant collection parameters and source information documented.</w:t>
      </w:r>
      <w:r>
        <w:t xml:space="preserve"> Now the evaluation of data is possible.</w:t>
      </w:r>
    </w:p>
    <w:p w14:paraId="6D1DA58B" w14:textId="77777777">
      <w:pPr>
        <w:pStyle w:val="berschrift2"/>
      </w:pPr>
      <w:bookmarkStart w:id="37" w:name="_Toc243650053"/>
      <w:r>
        <w:lastRenderedPageBreak/>
        <w:t>Step 10: Utilization and Interpretation of MAS Evaluation Results</w:t>
      </w:r>
      <w:bookmarkEnd w:id="37"/>
    </w:p>
    <w:p w14:paraId="2564BB83" w14:textId="0D1EF4B7">
      <w:r>
        <w:t>This step concerns the preparation, scientific analysis, interpretation, and further use of the evaluation results generated by the MAS. Depending on the selected output format, these results may include numerical item scores, dimension-level and overall scores, verbatim quotations, explanatory rationales, comparisons, thematic clusters, emerging themes and calculation traces. The purpose of this step is to translate these outputs into scientifically interpretable findings that address the research questions and support subsequent analyses. The appropriate analytical procedures depend on the measurement objective, the selected output format, and the intended use of the results.</w:t>
      </w:r>
    </w:p>
    <w:p w14:paraId="247A475D" w14:textId="77777777">
      <w:r>
        <w:t>The evaluation results should be interpreted in relation to the theoretical construct and the methodological decisions established in the preceding steps. In particular, the relationship between the reported findings and the underlying evidence should be preserved so that researchers can examine how the results were derived. This is relevant both for assessing the substantive meaning of the findings and for identifying potential limitations in the underlying data collection, coding, or scoring process. The generation of an evaluation report does not, by itself, establish the validity of its conclusions. Their interpretation must account for the quality and completeness of the available evidence, the assumptions underlying the measurement approach, and the limitations of the analytical procedures applied.</w:t>
      </w:r>
    </w:p>
    <w:p w14:paraId="02108C29" w14:textId="77777777">
      <w:r>
        <w:t>The following analytical pathways can be combined where appropriate. Their applicability depends on whether the MAS produces quantitative scores, qualitative findings, or a combination of both.</w:t>
      </w:r>
    </w:p>
    <w:p w14:paraId="4FDDBE69" w14:textId="77777777">
      <w:r>
        <w:rPr>
          <w:rStyle w:val="Fett"/>
        </w:rPr>
        <w:t>Option A: Quantitative-Statistical Comparisons and Benchmarking</w:t>
      </w:r>
    </w:p>
    <w:p w14:paraId="08DEA0DC" w14:textId="77777777">
      <w:r>
        <w:t>When the MAS produces numerical scores, item-level values, dimension-level scores, and aggregated overall scores can be used to compare units of analysis, such as individuals, teams, or organizations, or to examine changes over time. These comparisons require sufficiently consistent measurement procedures and comparable data across the units or measurement occasions under investigation. Differences in scores may reflect substantive differences in the construct, but they may also arise from differences in evidence coverage, missing item scores, interview conditions, or other aspects of the measurement process. Such factors should therefore be considered before interpreting observed differences as meaningful variation in the underlying construct.</w:t>
      </w:r>
    </w:p>
    <w:p w14:paraId="5FCDD2D0" w14:textId="55133345">
      <w:r>
        <w:t>The structured results should be exportable in different formats and analyzed using external statistical software. Depending on the research question and the properties of the data, subsequent analyses may include correlations, regression models, or cluster analysis. The suitability of these methods depends on the measurement scale, sample size, research design, data structure, and relevant statistical assumptions. Numerical scores alone do not establish that these requirements are satisfied. Researchers should also distinguish descriptive comparisons from statistical inference and avoid interpreting observed associations as evidence of causal relationships unless the research design supports such conclusions.</w:t>
      </w:r>
    </w:p>
    <w:p w14:paraId="761D6CEC" w14:textId="77777777">
      <w:r>
        <w:t xml:space="preserve">A further analytical pathway is to combine the scores of multiple interviewees from the same organization and conduct a collective analysis. This can support the examination of patterns </w:t>
      </w:r>
      <w:r>
        <w:lastRenderedPageBreak/>
        <w:t>within an organization or comparisons across organizations. However, individual-level scores should not automatically be interpreted as organization-level characteristics. Aggregation requires a substantive justification for treating the individual observations as indicators of a shared organizational construct. The number and diversity of interviewees, the consistency of their assessments, and the intended level of analysis are relevant considerations when deciding whether and how individual results should be combined.</w:t>
      </w:r>
    </w:p>
    <w:p w14:paraId="61E88122" w14:textId="77777777">
      <w:r>
        <w:t>An alternative or complementary approach is to analyze the underlying interview evidence collectively rather than relying exclusively on previously calculated scores. This may reveal patterns that are not apparent from the numerical results alone, particularly where different interviewees provide complementary or contradictory accounts. Whether the MAS can access and integrate previous interviews directly depends on the system architecture, data-storage design, and evaluation configuration. If results or transcripts are re-uploaded for further analysis, their provenance should be documented, and the original evaluations should be distinguished from the subsequent analysis. This distinction helps ensure that researchers can identify which findings originate from the initial measurement and which result from a later analytical procedure.</w:t>
      </w:r>
    </w:p>
    <w:p w14:paraId="2FAEE8AB" w14:textId="77777777">
      <w:r>
        <w:rPr>
          <w:rStyle w:val="Fett"/>
        </w:rPr>
        <w:t>Option B: Qualitative Evidence-Based Analysis</w:t>
      </w:r>
    </w:p>
    <w:p w14:paraId="6420B080" w14:textId="4A177E18">
      <w:r>
        <w:t xml:space="preserve">Qualitative analysis examines the substantive evidence underlying the MAS evaluation results. Verbatim quotations and their associated rationales can be reviewed to determine whether the interpretations are adequately supported by the interview material. This allows researchers to examine the relationship between the source evidence and the resulting evaluation and to identify cases in which the assigned score or reported finding may not adequately reflect the available information. Such </w:t>
      </w:r>
      <w:r>
        <w:t xml:space="preserve">a </w:t>
      </w:r>
      <w:r>
        <w:t>review is particularly important when the system produces plausible-sounding explanations that may nevertheless contain unsupported inferences or overlook relevant contextual information.</w:t>
      </w:r>
    </w:p>
    <w:p w14:paraId="55200A2C" w14:textId="40CCA555">
      <w:r>
        <w:t>Supporting evidence and counter-evidence can be compared to identify contradictory signals, organizational tensions, alternative interpretations, and potential blind spots. For example, an organization may exhibit practices that support a particular interpretation of a construct in one area while displaying evidence that challenges the same interpretation elsewhere. These inconsistencies may be analytically relevant rather than merely errors to be resolved. Researchers should therefore examine whether contradictory findings reflect differences between organizational units, competing practices, variations in interviewee perspectives, or limitations in the available evidence. The interpretation should remain grounded in the source material rather than treating the MAS-generated rationale as an independent confirmation of the result.</w:t>
      </w:r>
      <w:r>
        <w:t xml:space="preserve"> On the other hand, just because outputs seem farfetched does not mean that they are automatically wrong as GenAI or agentic AI can identify underlying patters and themes humans struggle to uncover </w:t>
      </w:r>
      <w:r>
        <w:fldChar w:fldCharType="begin"/>
      </w:r>
      <w:r>
        <w:instrText xml:space="preserve"> ADDIN ZOTERO_ITEM CSL_CITATION {"citationID":"99aMrR29","properties":{"unsorted":false,"formattedCitation":"(Chalmers et al., 2026)","plainCitation":"(Chalmers et al., 2026)","noteIndex":0},"citationItems":[{"id":386,"uris":["http://zotero.org/users/local/review/items/YPWTSBLF"],"itemData":{"id":386,"type":"article-journal","abstract":"Abstract\n            Artificial intelligence (AI) is transforming the epistemic, interactional, and institutional foundations of contemporary organizations, yet management and organization studies are only beginning to theorise the implications of this shift. Existing research often treats “AI” as a singular construct, despite the fact that predictive, generative, agentic, and embodied systems rely on different logics and produce distinct organizational outcomes. This article interrogates the limits of this conceptual flattening and argues that cumulative theorising requires more precise specification of the technological systems under study. Drawing on developments across the field, we demonstrate how different modes of AI reshape core organizational constructs, including expertise, judgement, coordination, authority, and institutional adaptation. We advance a heuristic framework that differentiates among contemporary AI systems and clarifies their distinct affordances. The article concludes by outlining a research agenda that focusses on the shifting loci of agency, new decision architectures, and the normative and institutional challenges introduced by increasingly powerful AI systems.","container-title":"Journal of Management Studies","DOI":"10.1111/joms.70063","ISSN":"0022-2380, 1467-6486","issue":"2","journalAbbreviation":"J Management Studies","language":"en","page":"285-314","source":"DOI.org (Crossref)","title":"The Acceleration of Artificial Intelligence: Rethinking Organization and Work in an Era of Rapid Technological Change","title-short":"The Acceleration of Artificial Intelligence","volume":"63","author":[{"family":"Chalmers","given":"Dominic"},{"family":"Hunt","given":"Richard ‘Rick’"},{"family":"Pachidi","given":"Stella"},{"family":"Potočnik","given":"Kristina"},{"family":"Townsend","given":"David"}],"issued":{"date-parts":[["2026",3]]}}}],"schema":"https://github.com/citation-style-language/schema/raw/master/csl-citation.json"} </w:instrText>
      </w:r>
      <w:r>
        <w:fldChar w:fldCharType="separate"/>
      </w:r>
      <w:r>
        <w:t>(Chalmers et al., 2026)</w:t>
      </w:r>
      <w:r>
        <w:fldChar w:fldCharType="end"/>
      </w:r>
      <w:r>
        <w:t xml:space="preserve">. </w:t>
      </w:r>
    </w:p>
    <w:p w14:paraId="4933147F" w14:textId="084B90F9">
      <w:r>
        <w:t xml:space="preserve">Where appropriate, the resulting material can be analyzed using established qualitative research methods. For example, the Gioia methodology provides a structured approach to developing data-grounded concepts and themes and relating them to higher-order theoretical dimensions </w:t>
      </w:r>
      <w:r>
        <w:fldChar w:fldCharType="begin"/>
      </w:r>
      <w:r>
        <w:instrText xml:space="preserve"> ADDIN ZOTERO_ITEM CSL_CITATION {"citationID":"fu9QStNh","properties":{"unsorted":false,"formattedCitation":"(Gioia et al., 2013)","plainCitation":"(Gioia et al., 2013)","noteIndex":0},"citationItems":[{"id":130,"uris":["http://zotero.org/users/local/review/items/UZH4D9QV"],"itemData":{"id":130,"type":"article-journal","abstract":"For all its richness and potential for discovery, qualitative research has been critiqued as too often lacking in scholarly rigor. The authors summarize a systematic approach to new concept development and grounded theory articulation that is designed to bring “qualitative rigor” to the conduct and presentation of inductive research.","container-title":"Organizational Research Methods","DOI":"10.1177/1094428112452151","ISSN":"1094-4281, 1552-7425","issue":"1","journalAbbreviation":"Organizational Research Methods","language":"en","page":"15-31","source":"DOI.org (Crossref)","title":"Seeking Qualitative Rigor in Inductive Research: Notes on the Gioia Methodology","title-short":"Seeking Qualitative Rigor in Inductive Research","volume":"16","author":[{"family":"Gioia","given":"Dennis A."},{"family":"Corley","given":"Kevin G."},{"family":"Hamilton","given":"Aimee L."}],"issued":{"date-parts":[["2013",1]]}}}],"schema":"https://github.com/citation-style-language/schema/raw/master/csl-citation.json"} </w:instrText>
      </w:r>
      <w:r>
        <w:fldChar w:fldCharType="separate"/>
      </w:r>
      <w:r>
        <w:t>(Gioia et al., 2013)</w:t>
      </w:r>
      <w:r>
        <w:fldChar w:fldCharType="end"/>
      </w:r>
      <w:r>
        <w:t xml:space="preserve">. Applying this methodology requires an appropriate research design and the corresponding analytical procedures. The availability of quotations and rationales generated by </w:t>
      </w:r>
      <w:r>
        <w:lastRenderedPageBreak/>
        <w:t>an MAS does not, by itself, constitute an application of the Gioia methodology. Researchers must still undertake the analytical work required by the chosen approach and document how interpretations are developed from the data.</w:t>
      </w:r>
      <w:r>
        <w:t xml:space="preserve"> Nevertheless, if the system architecture is built in a specific way, it is imaginable that a system could autonomously conduct all relevant steps of the Gioia methodology. Of course this requires human oversight, testing and validation, yet </w:t>
      </w:r>
      <w:r>
        <w:t xml:space="preserve">should not </w:t>
      </w:r>
      <w:r>
        <w:t xml:space="preserve">be </w:t>
      </w:r>
      <w:r>
        <w:t>deemed</w:t>
      </w:r>
      <w:r>
        <w:t xml:space="preserve"> technically impossible.</w:t>
      </w:r>
    </w:p>
    <w:p w14:paraId="47A63629" w14:textId="77777777">
      <w:r>
        <w:t>As an alternative or complementary procedure, evidence from multiple interviews can be re-uploaded for collective analysis. Examining the material as a whole may reveal cross-interview patterns, relationships, and contextual nuances that are less apparent when individual evaluations are considered separately. This can be useful when the research objective concerns shared themes, differences between groups, or organizational-level patterns. However, the quality of the resulting interpretation depends on the completeness and comparability of the source material, the instructions provided to the system, and its ability to preserve context and distinguish recurring patterns from isolated observations or contradictory evidence. Researchers should also consider whether differences in interview length or evidence coverage influence which themes are identified.</w:t>
      </w:r>
    </w:p>
    <w:p w14:paraId="0441488D" w14:textId="09E29C0D">
      <w:r>
        <w:rPr>
          <w:rStyle w:val="Fett"/>
          <w:b w:val="0"/>
        </w:rPr>
        <w:t>There are two o</w:t>
      </w:r>
      <w:r>
        <w:rPr>
          <w:rStyle w:val="Fett"/>
          <w:b w:val="0"/>
        </w:rPr>
        <w:t>ptional activit</w:t>
      </w:r>
      <w:r>
        <w:rPr>
          <w:rStyle w:val="Fett"/>
          <w:b w:val="0"/>
        </w:rPr>
        <w:t>ies that can be conducted. The first concerns a</w:t>
      </w:r>
      <w:r>
        <w:rPr>
          <w:rStyle w:val="Fett"/>
          <w:b w:val="0"/>
        </w:rPr>
        <w:t xml:space="preserve"> </w:t>
      </w:r>
      <w:r>
        <w:rPr>
          <w:rStyle w:val="Fett"/>
          <w:b w:val="0"/>
        </w:rPr>
        <w:t>q</w:t>
      </w:r>
      <w:r>
        <w:rPr>
          <w:rStyle w:val="Fett"/>
          <w:b w:val="0"/>
        </w:rPr>
        <w:t xml:space="preserve">uality </w:t>
      </w:r>
      <w:r>
        <w:rPr>
          <w:rStyle w:val="Fett"/>
          <w:b w:val="0"/>
        </w:rPr>
        <w:t>a</w:t>
      </w:r>
      <w:r>
        <w:rPr>
          <w:rStyle w:val="Fett"/>
          <w:b w:val="0"/>
        </w:rPr>
        <w:t xml:space="preserve">udit and </w:t>
      </w:r>
      <w:r>
        <w:rPr>
          <w:rStyle w:val="Fett"/>
          <w:b w:val="0"/>
        </w:rPr>
        <w:t>r</w:t>
      </w:r>
      <w:r>
        <w:rPr>
          <w:rStyle w:val="Fett"/>
          <w:b w:val="0"/>
        </w:rPr>
        <w:t xml:space="preserve">eview of </w:t>
      </w:r>
      <w:r>
        <w:rPr>
          <w:rStyle w:val="Fett"/>
          <w:b w:val="0"/>
        </w:rPr>
        <w:t>a</w:t>
      </w:r>
      <w:r>
        <w:rPr>
          <w:rStyle w:val="Fett"/>
          <w:b w:val="0"/>
        </w:rPr>
        <w:t xml:space="preserve">nomalous </w:t>
      </w:r>
      <w:r>
        <w:rPr>
          <w:rStyle w:val="Fett"/>
          <w:b w:val="0"/>
        </w:rPr>
        <w:t>i</w:t>
      </w:r>
      <w:r>
        <w:rPr>
          <w:rStyle w:val="Fett"/>
          <w:b w:val="0"/>
        </w:rPr>
        <w:t>tems</w:t>
      </w:r>
      <w:r>
        <w:rPr>
          <w:rStyle w:val="Fett"/>
          <w:b w:val="0"/>
        </w:rPr>
        <w:t xml:space="preserve">. </w:t>
      </w:r>
      <w:r>
        <w:t xml:space="preserve">Items classified by the MAS as non-scores, such as </w:t>
      </w:r>
      <w:r>
        <w:t>“</w:t>
      </w:r>
      <w:proofErr w:type="spellStart"/>
      <w:r>
        <w:t>insufficient_evidence</w:t>
      </w:r>
      <w:proofErr w:type="spellEnd"/>
      <w:r>
        <w:t>”</w:t>
      </w:r>
      <w:r>
        <w:t xml:space="preserve">, </w:t>
      </w:r>
      <w:r>
        <w:t>“</w:t>
      </w:r>
      <w:proofErr w:type="spellStart"/>
      <w:r>
        <w:t>not_applicable</w:t>
      </w:r>
      <w:proofErr w:type="spellEnd"/>
      <w:r>
        <w:t>”</w:t>
      </w:r>
      <w:r>
        <w:t xml:space="preserve">, or </w:t>
      </w:r>
      <w:r>
        <w:t>“</w:t>
      </w:r>
      <w:r>
        <w:t>conflicting</w:t>
      </w:r>
      <w:r>
        <w:t>”</w:t>
      </w:r>
      <w:r>
        <w:t>, can be reviewed systematically. Where available, items flagged for low model confidence can also be examined</w:t>
      </w:r>
      <w:r>
        <w:t xml:space="preserve"> (only applicable if the model outputs a confidence score for </w:t>
      </w:r>
      <w:r>
        <w:t>each</w:t>
      </w:r>
      <w:r>
        <w:t xml:space="preserve"> result)</w:t>
      </w:r>
      <w:r>
        <w:t>. The associated rationale</w:t>
      </w:r>
      <w:r>
        <w:t xml:space="preserve"> and source transcript should be inspected to determine whether the classification reflects a genuine lack of evidence, the inapplicability of the item, contradictory information, or a potential error in evidence extraction or coding. These categories should remain conceptually distinct because they represent different reasons why an item may not yield a valid score.</w:t>
      </w:r>
    </w:p>
    <w:p w14:paraId="5788F548" w14:textId="77777777">
      <w:r>
        <w:t xml:space="preserve">Where necessary, a qualified researcher can recode the item or document why the original classification is retained. The review should distinguish corrections to technical or coding errors from substantive changes in interpretation. Any manual intervention should be recorded, including the reason for the change, the evidence considered, and the resulting decision. This documentation supports transparency and reproducibility and makes it possible to examine whether manual review systematically affects particular items or types of cases. If the review reveals recurring problems, the findings may also inform subsequent revisions to the interview </w:t>
      </w:r>
      <w:r>
        <w:t>guide, coding instructions, or system configuration.</w:t>
      </w:r>
    </w:p>
    <w:p w14:paraId="1645293E" w14:textId="3214A8AA">
      <w:r>
        <w:rPr>
          <w:rStyle w:val="Fett"/>
          <w:b w:val="0"/>
        </w:rPr>
        <w:t>The second o</w:t>
      </w:r>
      <w:r>
        <w:rPr>
          <w:rStyle w:val="Fett"/>
          <w:b w:val="0"/>
        </w:rPr>
        <w:t>ptional activity</w:t>
      </w:r>
      <w:r>
        <w:rPr>
          <w:rStyle w:val="Fett"/>
          <w:b w:val="0"/>
        </w:rPr>
        <w:t xml:space="preserve"> is concerned with i</w:t>
      </w:r>
      <w:r>
        <w:rPr>
          <w:rStyle w:val="Fett"/>
          <w:b w:val="0"/>
        </w:rPr>
        <w:t xml:space="preserve">terative </w:t>
      </w:r>
      <w:r>
        <w:rPr>
          <w:rStyle w:val="Fett"/>
          <w:b w:val="0"/>
        </w:rPr>
        <w:t>p</w:t>
      </w:r>
      <w:r>
        <w:rPr>
          <w:rStyle w:val="Fett"/>
          <w:b w:val="0"/>
        </w:rPr>
        <w:t>ost-</w:t>
      </w:r>
      <w:r>
        <w:rPr>
          <w:rStyle w:val="Fett"/>
          <w:b w:val="0"/>
        </w:rPr>
        <w:t>ho</w:t>
      </w:r>
      <w:r>
        <w:rPr>
          <w:rStyle w:val="Fett"/>
          <w:b w:val="0"/>
        </w:rPr>
        <w:t xml:space="preserve">c </w:t>
      </w:r>
      <w:r>
        <w:rPr>
          <w:rStyle w:val="Fett"/>
          <w:b w:val="0"/>
        </w:rPr>
        <w:t>r</w:t>
      </w:r>
      <w:r>
        <w:rPr>
          <w:rStyle w:val="Fett"/>
          <w:b w:val="0"/>
        </w:rPr>
        <w:t xml:space="preserve">econfiguration </w:t>
      </w:r>
      <w:r>
        <w:rPr>
          <w:rStyle w:val="Fett"/>
          <w:b w:val="0"/>
        </w:rPr>
        <w:t>w</w:t>
      </w:r>
      <w:r>
        <w:rPr>
          <w:rStyle w:val="Fett"/>
          <w:b w:val="0"/>
        </w:rPr>
        <w:t xml:space="preserve">ithout </w:t>
      </w:r>
      <w:r>
        <w:rPr>
          <w:rStyle w:val="Fett"/>
          <w:b w:val="0"/>
        </w:rPr>
        <w:t>r</w:t>
      </w:r>
      <w:r>
        <w:rPr>
          <w:rStyle w:val="Fett"/>
          <w:b w:val="0"/>
        </w:rPr>
        <w:t>e-</w:t>
      </w:r>
      <w:r>
        <w:rPr>
          <w:rStyle w:val="Fett"/>
          <w:b w:val="0"/>
        </w:rPr>
        <w:t>i</w:t>
      </w:r>
      <w:r>
        <w:rPr>
          <w:rStyle w:val="Fett"/>
          <w:b w:val="0"/>
        </w:rPr>
        <w:t>nterviewing</w:t>
      </w:r>
      <w:r>
        <w:rPr>
          <w:rStyle w:val="Fett"/>
          <w:b w:val="0"/>
        </w:rPr>
        <w:t xml:space="preserve">. </w:t>
      </w:r>
      <w:r>
        <w:t>Where the scoring architecture supports it, weighting factors or mathematical aggregation formulas can be adjusted after the initial evaluation. The aggregated results can then be recalculated from previously verified item scores without repeating the interview or running the AI coding process again. This can be useful when alternative aggregation rules need to be examined or when researchers want to assess how different weighting decisions affect the resulting dimension-level and overall scores.</w:t>
      </w:r>
    </w:p>
    <w:p w14:paraId="764BFF05" w14:textId="77777777">
      <w:r>
        <w:t xml:space="preserve">This procedure is appropriate only when the underlying item scores remain unchanged and the revised calculation uses the same documented input values. Changes to the aggregation formula </w:t>
      </w:r>
      <w:r>
        <w:lastRenderedPageBreak/>
        <w:t>may alter the resulting scores even though the original evidence and item evaluations remain constant. Researchers should therefore document the alternative rules, retain the original configuration and outputs, and report the extent to which the resulting conclusions depend on the aggregation procedure. Such sensitivity analyses can reveal whether findings are robust to reasonable alternative scoring decisions.</w:t>
      </w:r>
    </w:p>
    <w:p w14:paraId="5C83584D" w14:textId="4868FCBB">
      <w:r>
        <w:t>By contrast, changes to item definitions, anchor values, coding instructions, evidence extraction, or item-level scoring rules may affect the evaluations themselves. In these cases, recalculating the aggregates alone is insufficient</w:t>
      </w:r>
      <w:r>
        <w:t>.</w:t>
      </w:r>
      <w:r>
        <w:t xml:space="preserve"> </w:t>
      </w:r>
      <w:r>
        <w:t>T</w:t>
      </w:r>
      <w:r>
        <w:t>he relevant stages of the evaluation process may need to be repeated. The distinction between recalculation and re-evaluation is essential for determining which results remain comparable across configurations and for maintaining a transparent record of the analytical process.</w:t>
      </w:r>
    </w:p>
    <w:p w14:paraId="35DF7AFC" w14:textId="77777777">
      <w:r>
        <w:t>The milestone for this step is reached when a documented evaluation report is available in the required format for further scientific analysis. Depending on the selected output format, the report contains the relevant scores or qualitative findings, supporting quotations and rationales where applicable, and sufficient information about the evaluation and subsequent analytical procedures to enable review and reproduction. Relevant limitations, missing evidence, manual corrections, and changes to scoring or aggregation rules should also be documented where applicable.</w:t>
      </w:r>
    </w:p>
    <w:p w14:paraId="597DD66F" w14:textId="558961C8">
      <w:r>
        <w:t>The report should be regarded as validated only to the extent that the relevant quality checks and validation procedures have actually been conducted and documented. Its completion marks the availability of the evaluation results for scientific use, but it does not automatically establish the validity of the substantive conclusions or the measurement instrument as a whole. Those conclusions must be supported by the evidence, the research design, and the analyses appropriate to the research question.</w:t>
      </w:r>
    </w:p>
    <w:p w14:paraId="4C98C72D" w14:textId="77777777"/>
    <w:p w14:paraId="7D658DD2" w14:textId="1035969A">
      <w:r>
        <w:t xml:space="preserve">After completing this final step you can adjust the architecture, continue developing the research tool, drawing new conclusions on previously in accessible data collection formats and push the frontier of research. In doing this we encourage every user to critically challenge the steps described, improve them and share the results with others: </w:t>
      </w:r>
      <w:r>
        <w:t xml:space="preserve">Nanos </w:t>
      </w:r>
      <w:proofErr w:type="spellStart"/>
      <w:r>
        <w:t>gigantum</w:t>
      </w:r>
      <w:proofErr w:type="spellEnd"/>
      <w:r>
        <w:t xml:space="preserve"> </w:t>
      </w:r>
      <w:proofErr w:type="spellStart"/>
      <w:r>
        <w:t>humeris</w:t>
      </w:r>
      <w:proofErr w:type="spellEnd"/>
      <w:r>
        <w:t xml:space="preserve"> </w:t>
      </w:r>
      <w:proofErr w:type="spellStart"/>
      <w:r>
        <w:t>insidentes</w:t>
      </w:r>
      <w:proofErr w:type="spellEnd"/>
      <w:r>
        <w:t xml:space="preserve"> (or </w:t>
      </w:r>
      <w:r>
        <w:t>s</w:t>
      </w:r>
      <w:r>
        <w:t xml:space="preserve">tanding on the </w:t>
      </w:r>
      <w:r>
        <w:t>s</w:t>
      </w:r>
      <w:r>
        <w:t xml:space="preserve">houlders of </w:t>
      </w:r>
      <w:r>
        <w:t>g</w:t>
      </w:r>
      <w:r>
        <w:t>iants</w:t>
      </w:r>
      <w:r>
        <w:t>).</w:t>
      </w:r>
    </w:p>
    <w:p w14:paraId="16AD9827" w14:textId="1BE971A3">
      <w:pPr>
        <w:spacing w:after="0" w:line="240" w:lineRule="auto"/>
      </w:pPr>
      <w:r>
        <w:br w:type="page"/>
      </w:r>
    </w:p>
    <w:p w14:paraId="65B94DFC" w14:textId="789CDB59">
      <w:pPr>
        <w:pStyle w:val="berschrift1"/>
        <w:numPr>
          <w:ilvl w:val="0"/>
          <w:numId w:val="0"/>
        </w:numPr>
        <w:ind w:left="432" w:hanging="432"/>
      </w:pPr>
      <w:bookmarkStart w:id="38" w:name="_Toc243650054"/>
      <w:r>
        <w:lastRenderedPageBreak/>
        <w:t>References</w:t>
      </w:r>
      <w:bookmarkEnd w:id="38"/>
    </w:p>
    <w:p w14:paraId="299C02B4" w14:textId="77777777">
      <w:pPr>
        <w:pStyle w:val="Literatur"/>
      </w:pPr>
      <w:r>
        <w:fldChar w:fldCharType="begin"/>
      </w:r>
      <w:r>
        <w:instrText xml:space="preserve"> ADDIN ZOTERO_BIBL {"uncited":[],"omitted":[],"custom":[]} CSL_BIBLIOGRAPHY </w:instrText>
      </w:r>
      <w:r>
        <w:fldChar w:fldCharType="separate"/>
      </w:r>
      <w:r>
        <w:t xml:space="preserve">Anugraha, D., Padmakumar, V., &amp; Yang, D. (2026). </w:t>
      </w:r>
      <w:proofErr w:type="spellStart"/>
      <w:r>
        <w:rPr>
          <w:i/>
          <w:iCs/>
        </w:rPr>
        <w:t>SparkMe</w:t>
      </w:r>
      <w:proofErr w:type="spellEnd"/>
      <w:r>
        <w:rPr>
          <w:i/>
          <w:iCs/>
        </w:rPr>
        <w:t>: Adaptive Semi-Structured Interviewing for Qualitative Insight Discovery</w:t>
      </w:r>
      <w:r>
        <w:t xml:space="preserve"> (arXiv:2602.21136). </w:t>
      </w:r>
      <w:proofErr w:type="spellStart"/>
      <w:r>
        <w:t>arXiv</w:t>
      </w:r>
      <w:proofErr w:type="spellEnd"/>
      <w:r>
        <w:t>. https://doi.org/10.48550/arXiv.2602.21136</w:t>
      </w:r>
    </w:p>
    <w:p w14:paraId="6120818A" w14:textId="77777777">
      <w:pPr>
        <w:pStyle w:val="Literatur"/>
      </w:pPr>
      <w:r>
        <w:t xml:space="preserve">Brocke, J., Simons, A., Niehaves, B., Niehaves, B., Riemer, K., Plattfaut, R., &amp; Cleven, A. (2009). RECONSTRUCTING THE GIANT: ON THE IMPORTANCE OF RIGOUR IN DOCUMENTING THE LITERATURE SEARCH PROCESS. </w:t>
      </w:r>
      <w:r>
        <w:rPr>
          <w:i/>
          <w:iCs/>
        </w:rPr>
        <w:t>ECIS 2009 Proceedings</w:t>
      </w:r>
      <w:r>
        <w:t>. https://aisel.aisnet.org/ecis2009/161</w:t>
      </w:r>
    </w:p>
    <w:p w14:paraId="37167648" w14:textId="77777777">
      <w:pPr>
        <w:pStyle w:val="Literatur"/>
      </w:pPr>
      <w:r>
        <w:t xml:space="preserve">Chalmers, D., Hunt, R. ‘Rick,’ </w:t>
      </w:r>
      <w:proofErr w:type="spellStart"/>
      <w:r>
        <w:t>Pachidi</w:t>
      </w:r>
      <w:proofErr w:type="spellEnd"/>
      <w:r>
        <w:t xml:space="preserve">, S., Potočnik, K., &amp; Townsend, D. (2026). The Acceleration of Artificial Intelligence: Rethinking Organization and Work in an Era of Rapid Technological Change. </w:t>
      </w:r>
      <w:r>
        <w:rPr>
          <w:i/>
          <w:iCs/>
        </w:rPr>
        <w:t>Journal of Management Studies</w:t>
      </w:r>
      <w:r>
        <w:t xml:space="preserve">, </w:t>
      </w:r>
      <w:r>
        <w:rPr>
          <w:i/>
          <w:iCs/>
        </w:rPr>
        <w:t>63</w:t>
      </w:r>
      <w:r>
        <w:t>(2), 285–314. https://doi.org/10.1111/joms.70063</w:t>
      </w:r>
    </w:p>
    <w:p w14:paraId="73C47840" w14:textId="77777777">
      <w:pPr>
        <w:pStyle w:val="Literatur"/>
      </w:pPr>
      <w:r>
        <w:t xml:space="preserve">Dixon, W. J., &amp; Massey Jr., F. J. (1951). </w:t>
      </w:r>
      <w:r>
        <w:rPr>
          <w:i/>
          <w:iCs/>
        </w:rPr>
        <w:t>Introduction to statistical analysis</w:t>
      </w:r>
      <w:r>
        <w:t xml:space="preserve"> (pp. x, 370). McGraw-Hill.</w:t>
      </w:r>
    </w:p>
    <w:p w14:paraId="5346361F" w14:textId="77777777">
      <w:pPr>
        <w:pStyle w:val="Literatur"/>
      </w:pPr>
      <w:r>
        <w:t xml:space="preserve">Flick, U. (2018). </w:t>
      </w:r>
      <w:r>
        <w:rPr>
          <w:i/>
          <w:iCs/>
        </w:rPr>
        <w:t>The SAGE Handbook of Qualitative Data Collection</w:t>
      </w:r>
      <w:r>
        <w:t>. SAGE Publications Ltd. https://doi.org/10.4135/9781526416070</w:t>
      </w:r>
    </w:p>
    <w:p w14:paraId="47971B4D" w14:textId="77777777">
      <w:pPr>
        <w:pStyle w:val="Literatur"/>
      </w:pPr>
      <w:r>
        <w:t xml:space="preserve">Furnham, A., &amp; Boo, H. C. (2011). A literature review of the anchoring effect. </w:t>
      </w:r>
      <w:r>
        <w:rPr>
          <w:i/>
          <w:iCs/>
        </w:rPr>
        <w:t>The Journal of Socio-Economics</w:t>
      </w:r>
      <w:r>
        <w:t xml:space="preserve">, </w:t>
      </w:r>
      <w:r>
        <w:rPr>
          <w:i/>
          <w:iCs/>
        </w:rPr>
        <w:t>40</w:t>
      </w:r>
      <w:r>
        <w:t>(1), 35–42. https://doi.org/10.1016/j.socec.2010.10.008</w:t>
      </w:r>
    </w:p>
    <w:p w14:paraId="0AFF4339" w14:textId="77777777">
      <w:pPr>
        <w:pStyle w:val="Literatur"/>
      </w:pPr>
      <w:r>
        <w:t xml:space="preserve">Gioia, D. A., Corley, K. G., &amp; Hamilton, A. L. (2013). Seeking Qualitative Rigor in Inductive Research: Notes on the Gioia Methodology. </w:t>
      </w:r>
      <w:r>
        <w:rPr>
          <w:i/>
          <w:iCs/>
        </w:rPr>
        <w:t>Organizational Research Methods</w:t>
      </w:r>
      <w:r>
        <w:t xml:space="preserve">, </w:t>
      </w:r>
      <w:r>
        <w:rPr>
          <w:i/>
          <w:iCs/>
        </w:rPr>
        <w:t>16</w:t>
      </w:r>
      <w:r>
        <w:t>(1), 15–31. https://doi.org/10.1177/1094428112452151</w:t>
      </w:r>
    </w:p>
    <w:p w14:paraId="7DC2AAE9" w14:textId="77777777">
      <w:pPr>
        <w:pStyle w:val="Literatur"/>
      </w:pPr>
      <w:proofErr w:type="spellStart"/>
      <w:r>
        <w:t>Greckhamer</w:t>
      </w:r>
      <w:proofErr w:type="spellEnd"/>
      <w:r>
        <w:t xml:space="preserve">, T., Furnari, S., Fiss, P. C., &amp; Aguilera, R. V. (2018). Studying configurations with qualitative comparative analysis: Best practices in strategy and organization research. </w:t>
      </w:r>
      <w:r>
        <w:rPr>
          <w:i/>
          <w:iCs/>
        </w:rPr>
        <w:t>Strategic Organization</w:t>
      </w:r>
      <w:r>
        <w:t xml:space="preserve">, </w:t>
      </w:r>
      <w:r>
        <w:rPr>
          <w:i/>
          <w:iCs/>
        </w:rPr>
        <w:t>16</w:t>
      </w:r>
      <w:r>
        <w:t>(4), 482–495. https://doi.org/10.1177/1476127018786487</w:t>
      </w:r>
    </w:p>
    <w:p w14:paraId="3023983E" w14:textId="77777777">
      <w:pPr>
        <w:pStyle w:val="Literatur"/>
      </w:pPr>
      <w:r>
        <w:t>Kallio, H., Pietilä, A., Johnson, M., &amp; Kangasniemi, M. (2016). Systematic methodological review: Developing a framework for a qualitative semi</w:t>
      </w:r>
      <w:r>
        <w:rPr>
          <w:rFonts w:ascii="Cambria Math" w:hAnsi="Cambria Math" w:cs="Cambria Math"/>
        </w:rPr>
        <w:t>‐</w:t>
      </w:r>
      <w:r>
        <w:t xml:space="preserve">structured interview guide. </w:t>
      </w:r>
      <w:r>
        <w:rPr>
          <w:i/>
          <w:iCs/>
        </w:rPr>
        <w:t>Journal of Advanced Nursing</w:t>
      </w:r>
      <w:r>
        <w:t xml:space="preserve">, </w:t>
      </w:r>
      <w:r>
        <w:rPr>
          <w:i/>
          <w:iCs/>
        </w:rPr>
        <w:t>72</w:t>
      </w:r>
      <w:r>
        <w:t>(12), 2954–2965. https://doi.org/10.1111/jan.13031</w:t>
      </w:r>
    </w:p>
    <w:p w14:paraId="60945611" w14:textId="77777777">
      <w:pPr>
        <w:pStyle w:val="Literatur"/>
      </w:pPr>
      <w:proofErr w:type="spellStart"/>
      <w:r>
        <w:t>Kapania</w:t>
      </w:r>
      <w:proofErr w:type="spellEnd"/>
      <w:r>
        <w:t xml:space="preserve">, S., Agnew, W., Eslami, M., Heidari, H., &amp; Fox, S. E. (2025). Simulacrum of Stories: Examining Large Language Models as Qualitative Research Participants. </w:t>
      </w:r>
      <w:r>
        <w:rPr>
          <w:i/>
          <w:iCs/>
        </w:rPr>
        <w:t>Proceedings of the 2025 CHI Conference on Human Factors in Computing Systems</w:t>
      </w:r>
      <w:r>
        <w:t>, 1–17. https://doi.org/10.1145/3706598.3713220</w:t>
      </w:r>
    </w:p>
    <w:p w14:paraId="35B6B852" w14:textId="77777777">
      <w:pPr>
        <w:pStyle w:val="Literatur"/>
      </w:pPr>
      <w:r>
        <w:t xml:space="preserve">Kim, S., Shin, J., Cho, Y., Jang, J., Longpre, S., Lee, H., Yun, S., Shin, S., Kim, S., Thorne, J., &amp; Seo, M. (2024). </w:t>
      </w:r>
      <w:r>
        <w:rPr>
          <w:i/>
          <w:iCs/>
        </w:rPr>
        <w:t>Prometheus: Inducing Fine-grained Evaluation Capability in Language Models</w:t>
      </w:r>
      <w:r>
        <w:t xml:space="preserve"> (arXiv:2310.08491). </w:t>
      </w:r>
      <w:proofErr w:type="spellStart"/>
      <w:r>
        <w:t>arXiv</w:t>
      </w:r>
      <w:proofErr w:type="spellEnd"/>
      <w:r>
        <w:t>. https://doi.org/10.48550/arXiv.2310.08491</w:t>
      </w:r>
    </w:p>
    <w:p w14:paraId="3DC9FC14" w14:textId="77777777">
      <w:pPr>
        <w:pStyle w:val="Literatur"/>
      </w:pPr>
      <w:proofErr w:type="spellStart"/>
      <w:r>
        <w:rPr>
          <w:lang w:val="it-IT"/>
        </w:rPr>
        <w:t>LeBreton</w:t>
      </w:r>
      <w:proofErr w:type="spellEnd"/>
      <w:r>
        <w:rPr>
          <w:lang w:val="it-IT"/>
        </w:rPr>
        <w:t xml:space="preserve">, J. M., &amp; Senter, J. L. (2008). </w:t>
      </w:r>
      <w:r>
        <w:t xml:space="preserve">Answers to 20 Questions About Interrater Reliability and Interrater Agreement. </w:t>
      </w:r>
      <w:r>
        <w:rPr>
          <w:i/>
          <w:iCs/>
        </w:rPr>
        <w:t>Organizational Research Methods</w:t>
      </w:r>
      <w:r>
        <w:t xml:space="preserve">, </w:t>
      </w:r>
      <w:r>
        <w:rPr>
          <w:i/>
          <w:iCs/>
        </w:rPr>
        <w:t>11</w:t>
      </w:r>
      <w:r>
        <w:t>(4), 815–852. https://doi.org/10.1177/1094428106296642</w:t>
      </w:r>
    </w:p>
    <w:p w14:paraId="08D86063" w14:textId="77777777">
      <w:pPr>
        <w:pStyle w:val="Literatur"/>
      </w:pPr>
      <w:r>
        <w:t>Marx, A. (2010). Crisp-set qualitative comparative analysis (</w:t>
      </w:r>
      <w:proofErr w:type="spellStart"/>
      <w:r>
        <w:t>csQCA</w:t>
      </w:r>
      <w:proofErr w:type="spellEnd"/>
      <w:r>
        <w:t xml:space="preserve">) and model specification: Benchmarks for future </w:t>
      </w:r>
      <w:proofErr w:type="spellStart"/>
      <w:r>
        <w:t>csQCA</w:t>
      </w:r>
      <w:proofErr w:type="spellEnd"/>
      <w:r>
        <w:t xml:space="preserve"> applications. </w:t>
      </w:r>
      <w:r>
        <w:rPr>
          <w:i/>
          <w:iCs/>
        </w:rPr>
        <w:t>International Journal of Multiple Research Approaches</w:t>
      </w:r>
      <w:r>
        <w:t xml:space="preserve">, </w:t>
      </w:r>
      <w:r>
        <w:rPr>
          <w:i/>
          <w:iCs/>
        </w:rPr>
        <w:t>4</w:t>
      </w:r>
      <w:r>
        <w:t>(2), 138–158. https://doi.org/10.5172/mra.2010.4.2.138</w:t>
      </w:r>
    </w:p>
    <w:p w14:paraId="6FF676A0" w14:textId="77777777">
      <w:pPr>
        <w:pStyle w:val="Literatur"/>
      </w:pPr>
      <w:r>
        <w:t xml:space="preserve">Mayer, D. G., &amp; Butler, D. G. (1993). Statistical validation. </w:t>
      </w:r>
      <w:r>
        <w:rPr>
          <w:i/>
          <w:iCs/>
        </w:rPr>
        <w:t>Ecological Modelling</w:t>
      </w:r>
      <w:r>
        <w:t xml:space="preserve">, </w:t>
      </w:r>
      <w:r>
        <w:rPr>
          <w:i/>
          <w:iCs/>
        </w:rPr>
        <w:t>68</w:t>
      </w:r>
      <w:r>
        <w:t>(1–2), 21–32. https://doi.org/10.1016/0304-3800(93)90105-2</w:t>
      </w:r>
    </w:p>
    <w:p w14:paraId="5D31CEF6" w14:textId="77777777">
      <w:pPr>
        <w:pStyle w:val="Literatur"/>
      </w:pPr>
      <w:r>
        <w:lastRenderedPageBreak/>
        <w:t xml:space="preserve">O’Connor, C., &amp; Joffe, H. (2020). Intercoder Reliability in Qualitative Research: Debates and Practical Guidelines. </w:t>
      </w:r>
      <w:r>
        <w:rPr>
          <w:i/>
          <w:iCs/>
        </w:rPr>
        <w:t>International Journal of Qualitative Methods</w:t>
      </w:r>
      <w:r>
        <w:t xml:space="preserve">, </w:t>
      </w:r>
      <w:r>
        <w:rPr>
          <w:i/>
          <w:iCs/>
        </w:rPr>
        <w:t>19</w:t>
      </w:r>
      <w:r>
        <w:t>, 1609406919899220. https://doi.org/10.1177/1609406919899220</w:t>
      </w:r>
    </w:p>
    <w:p w14:paraId="5ADD9080" w14:textId="77777777">
      <w:pPr>
        <w:pStyle w:val="Literatur"/>
      </w:pPr>
      <w:r>
        <w:t>Pappas, I. O., &amp; Woodside, A. G. (2021). Fuzzy-set Qualitative Comparative Analysis (</w:t>
      </w:r>
      <w:proofErr w:type="spellStart"/>
      <w:r>
        <w:t>fsQCA</w:t>
      </w:r>
      <w:proofErr w:type="spellEnd"/>
      <w:r>
        <w:t xml:space="preserve">): Guidelines for research practice in Information Systems and marketing. </w:t>
      </w:r>
      <w:r>
        <w:rPr>
          <w:i/>
          <w:iCs/>
        </w:rPr>
        <w:t>International Journal of Information Management</w:t>
      </w:r>
      <w:r>
        <w:t xml:space="preserve">, </w:t>
      </w:r>
      <w:r>
        <w:rPr>
          <w:i/>
          <w:iCs/>
        </w:rPr>
        <w:t>58</w:t>
      </w:r>
      <w:r>
        <w:t>, 102310. https://doi.org/10.1016/j.ijinfomgt.2021.102310</w:t>
      </w:r>
    </w:p>
    <w:p w14:paraId="00FD763D" w14:textId="77777777">
      <w:pPr>
        <w:pStyle w:val="Literatur"/>
      </w:pPr>
      <w:r>
        <w:t xml:space="preserve">Pattyn, F. (2025). The Value of Generative AI for Qualitative Research: A Pilot Study. </w:t>
      </w:r>
      <w:r>
        <w:rPr>
          <w:i/>
          <w:iCs/>
        </w:rPr>
        <w:t>Journal of Data Science and Intelligent Systems</w:t>
      </w:r>
      <w:r>
        <w:t xml:space="preserve">, </w:t>
      </w:r>
      <w:r>
        <w:rPr>
          <w:i/>
          <w:iCs/>
        </w:rPr>
        <w:t>3</w:t>
      </w:r>
      <w:r>
        <w:t>(3), 184–191. https://doi.org/10.47852/bonviewJDSIS42022964</w:t>
      </w:r>
    </w:p>
    <w:p w14:paraId="16ADBFAE" w14:textId="77777777">
      <w:pPr>
        <w:pStyle w:val="Literatur"/>
      </w:pPr>
      <w:r>
        <w:t xml:space="preserve">Ragin, C. C. (2008). </w:t>
      </w:r>
      <w:r>
        <w:rPr>
          <w:i/>
          <w:iCs/>
        </w:rPr>
        <w:t>Redesigning social inquiry: Fuzzy sets and beyond</w:t>
      </w:r>
      <w:r>
        <w:t>. University of Chicago Press.</w:t>
      </w:r>
    </w:p>
    <w:p w14:paraId="229F2E8F" w14:textId="77777777">
      <w:pPr>
        <w:pStyle w:val="Literatur"/>
      </w:pPr>
      <w:r>
        <w:t xml:space="preserve">Rouse, E. D. (2016). Beginning’s End: How Founders Psychologically Disengage From Their Organizations. </w:t>
      </w:r>
      <w:r>
        <w:rPr>
          <w:i/>
          <w:iCs/>
        </w:rPr>
        <w:t>Academy of Management Journal</w:t>
      </w:r>
      <w:r>
        <w:t xml:space="preserve">, </w:t>
      </w:r>
      <w:r>
        <w:rPr>
          <w:i/>
          <w:iCs/>
        </w:rPr>
        <w:t>59</w:t>
      </w:r>
      <w:r>
        <w:t>(5), 1605–1629. https://doi.org/10.5465/amj.2013.1219</w:t>
      </w:r>
    </w:p>
    <w:p w14:paraId="4FC9F9B4" w14:textId="77777777">
      <w:pPr>
        <w:pStyle w:val="Literatur"/>
        <w:rPr>
          <w:lang w:val="fr-FR"/>
        </w:rPr>
      </w:pPr>
      <w:r>
        <w:t xml:space="preserve">Su, W., &amp; Junge, S. (2023). Unlocking the recipe for organizational resilience: A review and future research directions. </w:t>
      </w:r>
      <w:proofErr w:type="spellStart"/>
      <w:r>
        <w:rPr>
          <w:i/>
          <w:iCs/>
          <w:lang w:val="fr-FR"/>
        </w:rPr>
        <w:t>European</w:t>
      </w:r>
      <w:proofErr w:type="spellEnd"/>
      <w:r>
        <w:rPr>
          <w:i/>
          <w:iCs/>
          <w:lang w:val="fr-FR"/>
        </w:rPr>
        <w:t xml:space="preserve"> Management Journal</w:t>
      </w:r>
      <w:r>
        <w:rPr>
          <w:lang w:val="fr-FR"/>
        </w:rPr>
        <w:t xml:space="preserve">, </w:t>
      </w:r>
      <w:r>
        <w:rPr>
          <w:i/>
          <w:iCs/>
          <w:lang w:val="fr-FR"/>
        </w:rPr>
        <w:t>41</w:t>
      </w:r>
      <w:r>
        <w:rPr>
          <w:lang w:val="fr-FR"/>
        </w:rPr>
        <w:t>(6), 1086–1105. https://doi.org/10.1016/j.emj.2023.03.002</w:t>
      </w:r>
    </w:p>
    <w:p w14:paraId="127D571B" w14:textId="77777777">
      <w:pPr>
        <w:pStyle w:val="Literatur"/>
      </w:pPr>
      <w:r>
        <w:rPr>
          <w:lang w:val="fr-FR"/>
        </w:rPr>
        <w:t xml:space="preserve">Sullivan, G. M., &amp; Artino, A. R. (2013). </w:t>
      </w:r>
      <w:r>
        <w:t xml:space="preserve">Analyzing and Interpreting Data From Likert-Type Scales. </w:t>
      </w:r>
      <w:r>
        <w:rPr>
          <w:i/>
          <w:iCs/>
        </w:rPr>
        <w:t>Journal of Graduate Medical Education</w:t>
      </w:r>
      <w:r>
        <w:t xml:space="preserve">, </w:t>
      </w:r>
      <w:r>
        <w:rPr>
          <w:i/>
          <w:iCs/>
        </w:rPr>
        <w:t>5</w:t>
      </w:r>
      <w:r>
        <w:t>(4), 541–542. https://doi.org/10.4300/JGME-5-4-18</w:t>
      </w:r>
    </w:p>
    <w:p w14:paraId="6D836765" w14:textId="77777777">
      <w:pPr>
        <w:pStyle w:val="Literatur"/>
        <w:rPr>
          <w:lang w:val="nl-NL"/>
        </w:rPr>
      </w:pPr>
      <w:r>
        <w:t xml:space="preserve">Wang, Y. (2024). </w:t>
      </w:r>
      <w:r>
        <w:rPr>
          <w:i/>
          <w:iCs/>
        </w:rPr>
        <w:t>Interviewing GPTs: Can generative AI intelligence become a new source of qualitative research data?</w:t>
      </w:r>
      <w:r>
        <w:t xml:space="preserve"> </w:t>
      </w:r>
      <w:r>
        <w:rPr>
          <w:lang w:val="nl-NL"/>
        </w:rPr>
        <w:t>SSRN. https://doi.org/10.2139/ssrn.4874356</w:t>
      </w:r>
    </w:p>
    <w:p w14:paraId="65227D8F" w14:textId="77777777">
      <w:pPr>
        <w:pStyle w:val="Literatur"/>
      </w:pPr>
      <w:r>
        <w:rPr>
          <w:lang w:val="nl-NL"/>
        </w:rPr>
        <w:t xml:space="preserve">Webster, J., &amp; Watson, R. T. (2002). </w:t>
      </w:r>
      <w:r>
        <w:t xml:space="preserve">Analyzing the Past to Prepare for the Future: Writing a Literature Review. </w:t>
      </w:r>
      <w:r>
        <w:rPr>
          <w:i/>
          <w:iCs/>
        </w:rPr>
        <w:t>MIS Quarterly</w:t>
      </w:r>
      <w:r>
        <w:t xml:space="preserve">, </w:t>
      </w:r>
      <w:r>
        <w:rPr>
          <w:i/>
          <w:iCs/>
        </w:rPr>
        <w:t>26</w:t>
      </w:r>
      <w:r>
        <w:t>(2), xiii–xxiii. JSTOR.</w:t>
      </w:r>
    </w:p>
    <w:p w14:paraId="7737B821" w14:textId="77777777">
      <w:pPr>
        <w:pStyle w:val="Literatur"/>
      </w:pPr>
      <w:r>
        <w:t xml:space="preserve">Willis, G. B. (2004). </w:t>
      </w:r>
      <w:r>
        <w:rPr>
          <w:i/>
          <w:iCs/>
        </w:rPr>
        <w:t>Cognitive interviewing</w:t>
      </w:r>
      <w:r>
        <w:t>. sage publications.</w:t>
      </w:r>
    </w:p>
    <w:p w14:paraId="415EF52D" w14:textId="1E16336B">
      <w:r>
        <w:fldChar w:fldCharType="end"/>
      </w:r>
    </w:p>
    <w:sectPr>
      <w:footerReference w:type="default" r:id="rId11"/>
      <w:pgSz w:w="11906" w:h="16838"/>
      <w:pgMar w:top="1701" w:right="1134" w:bottom="1418" w:left="1701" w:header="709" w:footer="90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4A34B" w14:textId="77777777">
      <w:pPr>
        <w:spacing w:line="240" w:lineRule="auto"/>
      </w:pPr>
      <w:r>
        <w:separator/>
      </w:r>
    </w:p>
  </w:endnote>
  <w:endnote w:type="continuationSeparator" w:id="0">
    <w:p w14:paraId="059B16A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arter">
    <w:panose1 w:val="020005030600000200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FrontPage">
    <w:altName w:val="Calibri"/>
    <w:panose1 w:val="00000400000000000000"/>
    <w:charset w:val="00"/>
    <w:family w:val="auto"/>
    <w:pitch w:val="variable"/>
    <w:sig w:usb0="A00000EF" w:usb1="2000F5C7" w:usb2="00000000" w:usb3="00000000" w:csb0="0000009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itstream Charter">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599688"/>
      <w:docPartObj>
        <w:docPartGallery w:val="Page Numbers (Bottom of Page)"/>
        <w:docPartUnique/>
      </w:docPartObj>
    </w:sdtPr>
    <w:sdtContent>
      <w:p w14:paraId="0C32DFC3" w14:textId="6338F6ED">
        <w:pPr>
          <w:pStyle w:val="Fuzeile"/>
          <w:jc w:val="right"/>
          <w:rPr>
            <w:rFonts w:eastAsia="FrontPage" w:cs="FrontPage"/>
            <w:color w:val="000000"/>
            <w:szCs w:val="20"/>
          </w:rP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6A61C" w14:textId="77777777">
      <w:pPr>
        <w:spacing w:line="240" w:lineRule="auto"/>
      </w:pPr>
      <w:r>
        <w:separator/>
      </w:r>
    </w:p>
  </w:footnote>
  <w:footnote w:type="continuationSeparator" w:id="0">
    <w:p w14:paraId="3ED7BFB4"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000F"/>
    <w:multiLevelType w:val="hybridMultilevel"/>
    <w:tmpl w:val="B61E34E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12CC5D6E"/>
    <w:multiLevelType w:val="hybridMultilevel"/>
    <w:tmpl w:val="2E3E449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1CCA168D"/>
    <w:multiLevelType w:val="multilevel"/>
    <w:tmpl w:val="04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1D2F9D"/>
    <w:multiLevelType w:val="multilevel"/>
    <w:tmpl w:val="C642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A64578"/>
    <w:multiLevelType w:val="multilevel"/>
    <w:tmpl w:val="B95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F7A68"/>
    <w:multiLevelType w:val="multilevel"/>
    <w:tmpl w:val="D2B4D5AA"/>
    <w:lvl w:ilvl="0">
      <w:start w:val="1"/>
      <w:numFmt w:val="decimal"/>
      <w:pStyle w:val="berschrift1"/>
      <w:lvlText w:val="%1"/>
      <w:lvlJc w:val="left"/>
      <w:pPr>
        <w:ind w:left="432" w:hanging="432"/>
      </w:pPr>
      <w:rPr>
        <w:rFonts w:hint="default"/>
        <w:sz w:val="28"/>
        <w:szCs w:val="22"/>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6" w15:restartNumberingAfterBreak="0">
    <w:nsid w:val="30903F25"/>
    <w:multiLevelType w:val="hybridMultilevel"/>
    <w:tmpl w:val="53E8610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31246FCD"/>
    <w:multiLevelType w:val="multilevel"/>
    <w:tmpl w:val="7E6A07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8721CFE"/>
    <w:multiLevelType w:val="hybridMultilevel"/>
    <w:tmpl w:val="D97613A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41B45A77"/>
    <w:multiLevelType w:val="hybridMultilevel"/>
    <w:tmpl w:val="7BFA92A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4966211E"/>
    <w:multiLevelType w:val="hybridMultilevel"/>
    <w:tmpl w:val="6C8232F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56803B1D"/>
    <w:multiLevelType w:val="hybridMultilevel"/>
    <w:tmpl w:val="AC30444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5B730FAF"/>
    <w:multiLevelType w:val="hybridMultilevel"/>
    <w:tmpl w:val="C8AA9D6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5D530B28"/>
    <w:multiLevelType w:val="multilevel"/>
    <w:tmpl w:val="7E6A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E76D38"/>
    <w:multiLevelType w:val="multilevel"/>
    <w:tmpl w:val="7E6A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492962">
    <w:abstractNumId w:val="5"/>
  </w:num>
  <w:num w:numId="2" w16cid:durableId="1345014558">
    <w:abstractNumId w:val="2"/>
  </w:num>
  <w:num w:numId="3" w16cid:durableId="2098672965">
    <w:abstractNumId w:val="4"/>
  </w:num>
  <w:num w:numId="4" w16cid:durableId="1467578504">
    <w:abstractNumId w:val="11"/>
  </w:num>
  <w:num w:numId="5" w16cid:durableId="817576439">
    <w:abstractNumId w:val="14"/>
  </w:num>
  <w:num w:numId="6" w16cid:durableId="486553878">
    <w:abstractNumId w:val="3"/>
  </w:num>
  <w:num w:numId="7" w16cid:durableId="1330644494">
    <w:abstractNumId w:val="0"/>
  </w:num>
  <w:num w:numId="8" w16cid:durableId="1685665859">
    <w:abstractNumId w:val="1"/>
  </w:num>
  <w:num w:numId="9" w16cid:durableId="902520709">
    <w:abstractNumId w:val="8"/>
  </w:num>
  <w:num w:numId="10" w16cid:durableId="1191918818">
    <w:abstractNumId w:val="12"/>
  </w:num>
  <w:num w:numId="11" w16cid:durableId="832918217">
    <w:abstractNumId w:val="6"/>
  </w:num>
  <w:num w:numId="12" w16cid:durableId="1308045379">
    <w:abstractNumId w:val="10"/>
  </w:num>
  <w:num w:numId="13" w16cid:durableId="1537431796">
    <w:abstractNumId w:val="13"/>
  </w:num>
  <w:num w:numId="14" w16cid:durableId="1914965887">
    <w:abstractNumId w:val="7"/>
  </w:num>
  <w:num w:numId="15" w16cid:durableId="1428691360">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52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harter" w:eastAsia="Charter" w:hAnsi="Charter" w:cs="Charter"/>
        <w:sz w:val="22"/>
        <w:szCs w:val="22"/>
        <w:lang w:val="de-DE" w:eastAsia="de-DE"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E3B3E"/>
    <w:pPr>
      <w:spacing w:after="120" w:line="276" w:lineRule="auto"/>
    </w:pPr>
    <w:rPr>
      <w:rFonts w:ascii="Aptos" w:hAnsi="Aptos"/>
      <w:szCs w:val="24"/>
      <w:lang w:val="en-US"/>
    </w:rPr>
  </w:style>
  <w:style w:type="paragraph" w:styleId="berschrift1">
    <w:name w:val="heading 1"/>
    <w:basedOn w:val="Standard"/>
    <w:next w:val="Standard"/>
    <w:uiPriority w:val="9"/>
    <w:qFormat/>
    <w:rsid w:val="008306FD"/>
    <w:pPr>
      <w:keepNext/>
      <w:numPr>
        <w:numId w:val="1"/>
      </w:numPr>
      <w:pBdr>
        <w:top w:val="single" w:sz="4" w:space="1" w:color="auto"/>
        <w:bottom w:val="single" w:sz="4" w:space="1" w:color="auto"/>
      </w:pBdr>
      <w:spacing w:after="320" w:line="320" w:lineRule="atLeast"/>
      <w:jc w:val="left"/>
      <w:outlineLvl w:val="0"/>
    </w:pPr>
    <w:rPr>
      <w:rFonts w:ascii="FrontPage" w:hAnsi="FrontPage"/>
      <w:b/>
      <w:kern w:val="28"/>
      <w:sz w:val="28"/>
      <w:szCs w:val="19"/>
    </w:rPr>
  </w:style>
  <w:style w:type="paragraph" w:styleId="berschrift2">
    <w:name w:val="heading 2"/>
    <w:basedOn w:val="Standard"/>
    <w:next w:val="Standard"/>
    <w:link w:val="berschrift2Zchn"/>
    <w:uiPriority w:val="9"/>
    <w:unhideWhenUsed/>
    <w:qFormat/>
    <w:rsid w:val="008306FD"/>
    <w:pPr>
      <w:keepNext/>
      <w:keepLines/>
      <w:numPr>
        <w:ilvl w:val="1"/>
        <w:numId w:val="1"/>
      </w:numPr>
      <w:suppressLineNumbers/>
      <w:pBdr>
        <w:top w:val="single" w:sz="4" w:space="1" w:color="auto"/>
        <w:bottom w:val="single" w:sz="4" w:space="1" w:color="auto"/>
      </w:pBdr>
      <w:tabs>
        <w:tab w:val="left" w:pos="709"/>
      </w:tabs>
      <w:spacing w:after="280" w:line="280" w:lineRule="atLeast"/>
      <w:jc w:val="left"/>
      <w:outlineLvl w:val="1"/>
    </w:pPr>
    <w:rPr>
      <w:rFonts w:ascii="FrontPage" w:hAnsi="FrontPage"/>
      <w:b/>
      <w:kern w:val="24"/>
      <w:sz w:val="24"/>
      <w:szCs w:val="20"/>
    </w:rPr>
  </w:style>
  <w:style w:type="paragraph" w:styleId="berschrift3">
    <w:name w:val="heading 3"/>
    <w:basedOn w:val="Standard"/>
    <w:next w:val="Standard"/>
    <w:uiPriority w:val="9"/>
    <w:unhideWhenUsed/>
    <w:qFormat/>
    <w:rsid w:val="008306FD"/>
    <w:pPr>
      <w:keepNext/>
      <w:keepLines/>
      <w:numPr>
        <w:ilvl w:val="2"/>
        <w:numId w:val="1"/>
      </w:numPr>
      <w:suppressLineNumbers/>
      <w:pBdr>
        <w:top w:val="single" w:sz="4" w:space="1" w:color="auto"/>
        <w:bottom w:val="single" w:sz="4" w:space="1" w:color="auto"/>
      </w:pBdr>
      <w:spacing w:after="280" w:line="280" w:lineRule="atLeast"/>
      <w:jc w:val="left"/>
      <w:outlineLvl w:val="2"/>
    </w:pPr>
    <w:rPr>
      <w:rFonts w:ascii="FrontPage" w:hAnsi="FrontPage"/>
      <w:b/>
      <w:kern w:val="22"/>
    </w:rPr>
  </w:style>
  <w:style w:type="paragraph" w:styleId="berschrift4">
    <w:name w:val="heading 4"/>
    <w:basedOn w:val="Standard"/>
    <w:next w:val="Standard"/>
    <w:uiPriority w:val="9"/>
    <w:unhideWhenUsed/>
    <w:qFormat/>
    <w:rsid w:val="008306FD"/>
    <w:pPr>
      <w:keepNext/>
      <w:numPr>
        <w:ilvl w:val="3"/>
        <w:numId w:val="1"/>
      </w:numPr>
      <w:pBdr>
        <w:top w:val="single" w:sz="4" w:space="1" w:color="auto"/>
        <w:bottom w:val="single" w:sz="4" w:space="1" w:color="auto"/>
      </w:pBdr>
      <w:spacing w:after="240" w:line="240" w:lineRule="atLeast"/>
      <w:jc w:val="left"/>
      <w:outlineLvl w:val="3"/>
    </w:pPr>
    <w:rPr>
      <w:rFonts w:ascii="FrontPage" w:hAnsi="FrontPage"/>
      <w:b/>
      <w:bCs/>
      <w:kern w:val="22"/>
      <w:szCs w:val="28"/>
    </w:rPr>
  </w:style>
  <w:style w:type="paragraph" w:styleId="berschrift5">
    <w:name w:val="heading 5"/>
    <w:basedOn w:val="Standard"/>
    <w:next w:val="Standard"/>
    <w:uiPriority w:val="9"/>
    <w:semiHidden/>
    <w:unhideWhenUsed/>
    <w:qFormat/>
    <w:rsid w:val="008306FD"/>
    <w:pPr>
      <w:keepNext/>
      <w:numPr>
        <w:ilvl w:val="4"/>
        <w:numId w:val="1"/>
      </w:numPr>
      <w:pBdr>
        <w:top w:val="single" w:sz="4" w:space="1" w:color="auto"/>
        <w:bottom w:val="single" w:sz="4" w:space="1" w:color="auto"/>
      </w:pBdr>
      <w:spacing w:after="240" w:line="240" w:lineRule="atLeast"/>
      <w:ind w:right="6"/>
      <w:jc w:val="left"/>
      <w:outlineLvl w:val="4"/>
    </w:pPr>
    <w:rPr>
      <w:rFonts w:ascii="FrontPage" w:hAnsi="FrontPage"/>
      <w:b/>
      <w:kern w:val="22"/>
    </w:rPr>
  </w:style>
  <w:style w:type="paragraph" w:styleId="berschrift6">
    <w:name w:val="heading 6"/>
    <w:basedOn w:val="Standard"/>
    <w:next w:val="Standard"/>
    <w:uiPriority w:val="9"/>
    <w:semiHidden/>
    <w:unhideWhenUsed/>
    <w:qFormat/>
    <w:rsid w:val="008306FD"/>
    <w:pPr>
      <w:keepNext/>
      <w:keepLines/>
      <w:numPr>
        <w:ilvl w:val="5"/>
        <w:numId w:val="1"/>
      </w:numPr>
      <w:spacing w:before="200" w:after="40"/>
      <w:outlineLvl w:val="5"/>
    </w:pPr>
    <w:rPr>
      <w:b/>
      <w:sz w:val="20"/>
      <w:szCs w:val="20"/>
    </w:rPr>
  </w:style>
  <w:style w:type="paragraph" w:styleId="berschrift7">
    <w:name w:val="heading 7"/>
    <w:basedOn w:val="Standard"/>
    <w:next w:val="Standard"/>
    <w:link w:val="berschrift7Zchn"/>
    <w:uiPriority w:val="9"/>
    <w:semiHidden/>
    <w:unhideWhenUsed/>
    <w:qFormat/>
    <w:rsid w:val="008306FD"/>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8306F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306F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el">
    <w:name w:val="Title"/>
    <w:basedOn w:val="Standard"/>
    <w:next w:val="Standard"/>
    <w:uiPriority w:val="10"/>
    <w:pPr>
      <w:keepNext/>
      <w:keepLines/>
      <w:spacing w:before="480"/>
    </w:pPr>
    <w:rPr>
      <w:b/>
      <w:sz w:val="72"/>
      <w:szCs w:val="72"/>
    </w:rPr>
  </w:style>
  <w:style w:type="paragraph" w:customStyle="1" w:styleId="MetadatenSeite2">
    <w:name w:val="Metadaten_Seite2"/>
    <w:basedOn w:val="Standard"/>
    <w:rsid w:val="00BF3414"/>
    <w:pPr>
      <w:pBdr>
        <w:top w:val="nil"/>
        <w:left w:val="nil"/>
        <w:bottom w:val="nil"/>
        <w:right w:val="nil"/>
        <w:between w:val="nil"/>
      </w:pBdr>
      <w:spacing w:after="260" w:line="240" w:lineRule="auto"/>
      <w:jc w:val="left"/>
    </w:pPr>
    <w:rPr>
      <w:rFonts w:eastAsia="Times New Roman" w:cs="Times New Roman"/>
      <w:szCs w:val="20"/>
    </w:rPr>
  </w:style>
  <w:style w:type="paragraph" w:styleId="Verzeichnis1">
    <w:name w:val="toc 1"/>
    <w:basedOn w:val="Standard"/>
    <w:next w:val="Standard"/>
    <w:autoRedefine/>
    <w:uiPriority w:val="39"/>
    <w:rsid w:val="00E458F8"/>
    <w:pPr>
      <w:tabs>
        <w:tab w:val="left" w:pos="480"/>
        <w:tab w:val="right" w:leader="dot" w:pos="9072"/>
      </w:tabs>
      <w:spacing w:before="120" w:after="60"/>
    </w:pPr>
    <w:rPr>
      <w:rFonts w:cs="Arial"/>
      <w:bCs/>
    </w:rPr>
  </w:style>
  <w:style w:type="paragraph" w:styleId="Kopfzeile">
    <w:name w:val="header"/>
    <w:basedOn w:val="Standard"/>
    <w:rsid w:val="005B44B2"/>
    <w:pPr>
      <w:tabs>
        <w:tab w:val="center" w:pos="4536"/>
        <w:tab w:val="right" w:pos="9072"/>
      </w:tabs>
      <w:spacing w:line="240" w:lineRule="atLeast"/>
      <w:jc w:val="left"/>
    </w:pPr>
    <w:rPr>
      <w:szCs w:val="19"/>
    </w:rPr>
  </w:style>
  <w:style w:type="paragraph" w:styleId="Fuzeile">
    <w:name w:val="footer"/>
    <w:basedOn w:val="Standard"/>
    <w:link w:val="FuzeileZchn"/>
    <w:uiPriority w:val="99"/>
    <w:rsid w:val="005B44B2"/>
    <w:pPr>
      <w:tabs>
        <w:tab w:val="center" w:pos="4820"/>
        <w:tab w:val="right" w:pos="9639"/>
      </w:tabs>
      <w:spacing w:line="240" w:lineRule="atLeast"/>
      <w:jc w:val="left"/>
    </w:pPr>
    <w:rPr>
      <w:rFonts w:ascii="FrontPage" w:hAnsi="FrontPage"/>
      <w:sz w:val="20"/>
      <w:szCs w:val="19"/>
    </w:rPr>
  </w:style>
  <w:style w:type="paragraph" w:customStyle="1" w:styleId="berschriftVerzeichnis">
    <w:name w:val="Überschrift_Verzeichnis"/>
    <w:basedOn w:val="berschrift1"/>
    <w:next w:val="Standard"/>
    <w:rsid w:val="005B44B2"/>
    <w:pPr>
      <w:numPr>
        <w:numId w:val="0"/>
      </w:numPr>
    </w:pPr>
  </w:style>
  <w:style w:type="character" w:styleId="Seitenzahl">
    <w:name w:val="page number"/>
    <w:rsid w:val="005B44B2"/>
    <w:rPr>
      <w:rFonts w:ascii="FrontPage" w:hAnsi="FrontPage"/>
      <w:b/>
      <w:sz w:val="20"/>
      <w:szCs w:val="20"/>
    </w:rPr>
  </w:style>
  <w:style w:type="paragraph" w:customStyle="1" w:styleId="DeckblattTitel3zeiligwei">
    <w:name w:val="Deckblatt_Titel_3zeilig_weiß"/>
    <w:basedOn w:val="Standard"/>
    <w:link w:val="DeckblattTitel3zeiligweiZchnZchn"/>
    <w:rsid w:val="003C743B"/>
    <w:pPr>
      <w:spacing w:line="780" w:lineRule="atLeast"/>
      <w:jc w:val="left"/>
    </w:pPr>
    <w:rPr>
      <w:rFonts w:ascii="FrontPage" w:hAnsi="FrontPage"/>
      <w:color w:val="FFFFFF"/>
      <w:sz w:val="72"/>
      <w:szCs w:val="72"/>
    </w:rPr>
  </w:style>
  <w:style w:type="paragraph" w:customStyle="1" w:styleId="DeckblattSubheadlinewei">
    <w:name w:val="Deckblatt_Subheadline_weiß"/>
    <w:basedOn w:val="Standard"/>
    <w:rsid w:val="003C743B"/>
    <w:pPr>
      <w:spacing w:line="280" w:lineRule="atLeast"/>
      <w:jc w:val="left"/>
    </w:pPr>
    <w:rPr>
      <w:rFonts w:ascii="FrontPage" w:hAnsi="FrontPage"/>
      <w:bCs/>
      <w:color w:val="FFFFFF"/>
      <w:sz w:val="23"/>
      <w:szCs w:val="23"/>
    </w:rPr>
  </w:style>
  <w:style w:type="paragraph" w:styleId="Literaturverzeichnis">
    <w:name w:val="Bibliography"/>
    <w:basedOn w:val="Standard"/>
    <w:next w:val="Standard"/>
    <w:uiPriority w:val="37"/>
    <w:unhideWhenUsed/>
    <w:rsid w:val="00543B2C"/>
    <w:pPr>
      <w:spacing w:after="0" w:line="480" w:lineRule="auto"/>
      <w:ind w:left="720" w:hanging="720"/>
    </w:pPr>
  </w:style>
  <w:style w:type="character" w:styleId="Hyperlink">
    <w:name w:val="Hyperlink"/>
    <w:uiPriority w:val="99"/>
    <w:rsid w:val="005B44B2"/>
    <w:rPr>
      <w:color w:val="0000FF"/>
      <w:u w:val="single"/>
    </w:rPr>
  </w:style>
  <w:style w:type="paragraph" w:styleId="Verzeichnis2">
    <w:name w:val="toc 2"/>
    <w:basedOn w:val="Standard"/>
    <w:next w:val="Standard"/>
    <w:autoRedefine/>
    <w:uiPriority w:val="39"/>
    <w:rsid w:val="002F7E52"/>
    <w:pPr>
      <w:tabs>
        <w:tab w:val="left" w:pos="900"/>
        <w:tab w:val="right" w:leader="dot" w:pos="9072"/>
      </w:tabs>
      <w:spacing w:after="60"/>
      <w:ind w:left="221"/>
    </w:pPr>
    <w:rPr>
      <w:szCs w:val="19"/>
    </w:rPr>
  </w:style>
  <w:style w:type="paragraph" w:styleId="Verzeichnis3">
    <w:name w:val="toc 3"/>
    <w:basedOn w:val="Standard"/>
    <w:next w:val="Standard"/>
    <w:autoRedefine/>
    <w:uiPriority w:val="39"/>
    <w:rsid w:val="00E458F8"/>
    <w:pPr>
      <w:tabs>
        <w:tab w:val="left" w:pos="1200"/>
        <w:tab w:val="right" w:leader="dot" w:pos="9072"/>
      </w:tabs>
      <w:spacing w:after="60"/>
      <w:ind w:left="442"/>
    </w:pPr>
    <w:rPr>
      <w:szCs w:val="19"/>
    </w:rPr>
  </w:style>
  <w:style w:type="character" w:customStyle="1" w:styleId="DeckblattTitel3zeiligweiZchnZchn">
    <w:name w:val="Deckblatt_Titel_3zeilig_weiß Zchn Zchn"/>
    <w:link w:val="DeckblattTitel3zeiligwei"/>
    <w:rsid w:val="003C743B"/>
    <w:rPr>
      <w:rFonts w:ascii="FrontPage" w:hAnsi="FrontPage"/>
      <w:color w:val="FFFFFF"/>
      <w:sz w:val="72"/>
      <w:szCs w:val="72"/>
      <w:lang w:val="de-DE" w:eastAsia="de-DE" w:bidi="ar-SA"/>
    </w:rPr>
  </w:style>
  <w:style w:type="paragraph" w:customStyle="1" w:styleId="berschriftAbschnitt">
    <w:name w:val="Überschrift_Abschnitt"/>
    <w:basedOn w:val="berschriftVerzeichnis"/>
    <w:next w:val="Standard"/>
    <w:rsid w:val="005B44B2"/>
  </w:style>
  <w:style w:type="paragraph" w:styleId="Funotentext">
    <w:name w:val="footnote text"/>
    <w:basedOn w:val="Standard"/>
    <w:link w:val="FunotentextZchn"/>
    <w:uiPriority w:val="99"/>
    <w:semiHidden/>
    <w:rsid w:val="005B44B2"/>
    <w:pPr>
      <w:spacing w:after="60"/>
      <w:ind w:left="425" w:hanging="425"/>
    </w:pPr>
    <w:rPr>
      <w:sz w:val="18"/>
      <w:szCs w:val="20"/>
    </w:rPr>
  </w:style>
  <w:style w:type="character" w:styleId="Funotenzeichen">
    <w:name w:val="footnote reference"/>
    <w:uiPriority w:val="99"/>
    <w:semiHidden/>
    <w:rsid w:val="005B44B2"/>
    <w:rPr>
      <w:vertAlign w:val="superscript"/>
    </w:rPr>
  </w:style>
  <w:style w:type="paragraph" w:customStyle="1" w:styleId="Literatur">
    <w:name w:val="Literatur"/>
    <w:basedOn w:val="Standard"/>
    <w:link w:val="LiteraturZchn"/>
    <w:qFormat/>
    <w:rsid w:val="005B44B2"/>
    <w:pPr>
      <w:spacing w:line="240" w:lineRule="atLeast"/>
      <w:ind w:left="360" w:hanging="360"/>
    </w:pPr>
  </w:style>
  <w:style w:type="paragraph" w:customStyle="1" w:styleId="LiteraturAutoren">
    <w:name w:val="Literatur_Autoren"/>
    <w:basedOn w:val="Literatur"/>
    <w:link w:val="LiteraturAutorenZchn"/>
    <w:rsid w:val="00117489"/>
  </w:style>
  <w:style w:type="character" w:customStyle="1" w:styleId="LiteraturZchn">
    <w:name w:val="Literatur Zchn"/>
    <w:link w:val="Literatur"/>
    <w:rsid w:val="005B44B2"/>
    <w:rPr>
      <w:rFonts w:ascii="Bitstream Charter" w:hAnsi="Bitstream Charter"/>
      <w:sz w:val="22"/>
      <w:szCs w:val="24"/>
      <w:lang w:val="de-DE" w:eastAsia="de-DE" w:bidi="ar-SA"/>
    </w:rPr>
  </w:style>
  <w:style w:type="character" w:customStyle="1" w:styleId="LiteraturAutorenZchn">
    <w:name w:val="Literatur_Autoren Zchn"/>
    <w:link w:val="LiteraturAutoren"/>
    <w:rsid w:val="00117489"/>
    <w:rPr>
      <w:szCs w:val="24"/>
    </w:rPr>
  </w:style>
  <w:style w:type="numbering" w:customStyle="1" w:styleId="Aufzhlung">
    <w:name w:val="Aufzählung"/>
    <w:basedOn w:val="KeineListe"/>
    <w:rsid w:val="005B44B2"/>
  </w:style>
  <w:style w:type="paragraph" w:styleId="Zitat">
    <w:name w:val="Quote"/>
    <w:basedOn w:val="Standard"/>
    <w:qFormat/>
    <w:rsid w:val="0039338F"/>
    <w:pPr>
      <w:ind w:left="567"/>
    </w:pPr>
    <w:rPr>
      <w:sz w:val="20"/>
      <w:szCs w:val="20"/>
    </w:rPr>
  </w:style>
  <w:style w:type="paragraph" w:styleId="Beschriftung">
    <w:name w:val="caption"/>
    <w:basedOn w:val="Standard"/>
    <w:next w:val="Standard"/>
    <w:qFormat/>
    <w:rsid w:val="00835B25"/>
    <w:pPr>
      <w:keepNext/>
      <w:spacing w:before="240" w:line="240" w:lineRule="exact"/>
      <w:jc w:val="left"/>
    </w:pPr>
    <w:rPr>
      <w:bCs/>
      <w:sz w:val="20"/>
      <w:szCs w:val="20"/>
    </w:rPr>
  </w:style>
  <w:style w:type="paragraph" w:styleId="Abbildungsverzeichnis">
    <w:name w:val="table of figures"/>
    <w:basedOn w:val="Standard"/>
    <w:next w:val="Standard"/>
    <w:uiPriority w:val="99"/>
    <w:rsid w:val="00F72D8B"/>
    <w:pPr>
      <w:tabs>
        <w:tab w:val="right" w:leader="dot" w:pos="9072"/>
      </w:tabs>
      <w:spacing w:after="60"/>
      <w:ind w:left="709" w:hanging="709"/>
    </w:pPr>
  </w:style>
  <w:style w:type="table" w:styleId="Tabellenraster">
    <w:name w:val="Table Grid"/>
    <w:basedOn w:val="NormaleTabelle"/>
    <w:rsid w:val="005B44B2"/>
    <w:pPr>
      <w:spacing w:line="24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
    <w:name w:val="Tabelle"/>
    <w:basedOn w:val="Standard"/>
    <w:next w:val="Standard"/>
    <w:rsid w:val="005B44B2"/>
    <w:pPr>
      <w:jc w:val="left"/>
    </w:pPr>
    <w:rPr>
      <w:sz w:val="20"/>
    </w:rPr>
  </w:style>
  <w:style w:type="paragraph" w:customStyle="1" w:styleId="Abkrzungsverzeichnis">
    <w:name w:val="Abkürzungsverzeichnis"/>
    <w:basedOn w:val="Standard"/>
    <w:rsid w:val="003C743B"/>
    <w:pPr>
      <w:tabs>
        <w:tab w:val="left" w:pos="1418"/>
      </w:tabs>
      <w:spacing w:line="240" w:lineRule="atLeast"/>
      <w:ind w:left="1418" w:hanging="1418"/>
      <w:jc w:val="left"/>
    </w:pPr>
  </w:style>
  <w:style w:type="paragraph" w:styleId="Index1">
    <w:name w:val="index 1"/>
    <w:basedOn w:val="Standard"/>
    <w:next w:val="Standard"/>
    <w:semiHidden/>
    <w:rsid w:val="005B44B2"/>
    <w:pPr>
      <w:spacing w:after="60"/>
      <w:ind w:left="221" w:hanging="221"/>
    </w:pPr>
  </w:style>
  <w:style w:type="paragraph" w:styleId="Index2">
    <w:name w:val="index 2"/>
    <w:basedOn w:val="Standard"/>
    <w:next w:val="Standard"/>
    <w:semiHidden/>
    <w:rsid w:val="005B44B2"/>
    <w:pPr>
      <w:spacing w:after="60"/>
      <w:ind w:left="442" w:hanging="221"/>
    </w:pPr>
    <w:rPr>
      <w:sz w:val="20"/>
    </w:rPr>
  </w:style>
  <w:style w:type="paragraph" w:customStyle="1" w:styleId="DeckblattTitel2zeiligwei">
    <w:name w:val="Deckblatt_Titel_2zeilig_weiß"/>
    <w:basedOn w:val="Standard"/>
    <w:rsid w:val="003C743B"/>
    <w:pPr>
      <w:spacing w:line="1080" w:lineRule="atLeast"/>
      <w:jc w:val="left"/>
    </w:pPr>
    <w:rPr>
      <w:rFonts w:ascii="FrontPage" w:hAnsi="FrontPage"/>
      <w:b/>
      <w:color w:val="FFFFFF"/>
      <w:sz w:val="104"/>
    </w:rPr>
  </w:style>
  <w:style w:type="paragraph" w:customStyle="1" w:styleId="DeckblattSubheadlineweifett">
    <w:name w:val="Deckblatt_Subheadline_weiß_fett"/>
    <w:basedOn w:val="DeckblattSubheadlinewei"/>
    <w:rsid w:val="003C743B"/>
    <w:rPr>
      <w:b/>
    </w:rPr>
  </w:style>
  <w:style w:type="paragraph" w:customStyle="1" w:styleId="HervorhebungFett">
    <w:name w:val="Hervorhebung_Fett"/>
    <w:basedOn w:val="Standard"/>
    <w:next w:val="Standard"/>
    <w:rsid w:val="0039338F"/>
    <w:rPr>
      <w:b/>
      <w:szCs w:val="20"/>
    </w:rPr>
  </w:style>
  <w:style w:type="paragraph" w:customStyle="1" w:styleId="HervorhebungKursiv">
    <w:name w:val="Hervorhebung_Kursiv"/>
    <w:basedOn w:val="Standard"/>
    <w:next w:val="Standard"/>
    <w:rsid w:val="0039338F"/>
    <w:rPr>
      <w:i/>
      <w:szCs w:val="20"/>
    </w:rPr>
  </w:style>
  <w:style w:type="paragraph" w:customStyle="1" w:styleId="DeckblattSubheadlineschwarz">
    <w:name w:val="Deckblatt_Subheadline_schwarz"/>
    <w:basedOn w:val="Standard"/>
    <w:rsid w:val="003C743B"/>
    <w:pPr>
      <w:spacing w:line="280" w:lineRule="atLeast"/>
      <w:jc w:val="left"/>
    </w:pPr>
    <w:rPr>
      <w:rFonts w:ascii="FrontPage" w:hAnsi="FrontPage"/>
      <w:color w:val="FFFFFF"/>
      <w:sz w:val="23"/>
    </w:rPr>
  </w:style>
  <w:style w:type="paragraph" w:customStyle="1" w:styleId="DeckblattSubheadlineschwarzfett">
    <w:name w:val="Deckblatt_Subheadline_schwarz_fett"/>
    <w:basedOn w:val="Standard"/>
    <w:rsid w:val="003C743B"/>
    <w:pPr>
      <w:spacing w:line="280" w:lineRule="atLeast"/>
      <w:jc w:val="left"/>
    </w:pPr>
    <w:rPr>
      <w:rFonts w:ascii="FrontPage" w:hAnsi="FrontPage"/>
      <w:b/>
      <w:sz w:val="23"/>
    </w:rPr>
  </w:style>
  <w:style w:type="paragraph" w:styleId="Verzeichnis4">
    <w:name w:val="toc 4"/>
    <w:basedOn w:val="Standard"/>
    <w:next w:val="Standard"/>
    <w:autoRedefine/>
    <w:semiHidden/>
    <w:rsid w:val="002F7E52"/>
    <w:pPr>
      <w:tabs>
        <w:tab w:val="right" w:leader="dot" w:pos="9072"/>
      </w:tabs>
      <w:ind w:left="660"/>
    </w:pPr>
  </w:style>
  <w:style w:type="paragraph" w:styleId="Verzeichnis5">
    <w:name w:val="toc 5"/>
    <w:basedOn w:val="Standard"/>
    <w:next w:val="Standard"/>
    <w:autoRedefine/>
    <w:semiHidden/>
    <w:rsid w:val="002F7E52"/>
    <w:pPr>
      <w:tabs>
        <w:tab w:val="right" w:leader="dot" w:pos="9072"/>
      </w:tabs>
      <w:ind w:left="880"/>
    </w:pPr>
  </w:style>
  <w:style w:type="paragraph" w:styleId="Sprechblasentext">
    <w:name w:val="Balloon Text"/>
    <w:basedOn w:val="Standard"/>
    <w:link w:val="SprechblasentextZchn"/>
    <w:semiHidden/>
    <w:unhideWhenUsed/>
    <w:rsid w:val="003C076D"/>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semiHidden/>
    <w:rsid w:val="003C076D"/>
    <w:rPr>
      <w:rFonts w:ascii="Tahoma" w:hAnsi="Tahoma" w:cs="Tahoma"/>
      <w:sz w:val="16"/>
      <w:szCs w:val="16"/>
    </w:rPr>
  </w:style>
  <w:style w:type="character" w:styleId="Kommentarzeichen">
    <w:name w:val="annotation reference"/>
    <w:basedOn w:val="Absatz-Standardschriftart"/>
    <w:semiHidden/>
    <w:unhideWhenUsed/>
    <w:rsid w:val="008F65A8"/>
    <w:rPr>
      <w:sz w:val="16"/>
      <w:szCs w:val="16"/>
    </w:rPr>
  </w:style>
  <w:style w:type="paragraph" w:styleId="Kommentartext">
    <w:name w:val="annotation text"/>
    <w:basedOn w:val="Standard"/>
    <w:link w:val="KommentartextZchn"/>
    <w:unhideWhenUsed/>
    <w:rsid w:val="008F65A8"/>
    <w:pPr>
      <w:spacing w:line="240" w:lineRule="auto"/>
    </w:pPr>
    <w:rPr>
      <w:sz w:val="20"/>
      <w:szCs w:val="20"/>
    </w:rPr>
  </w:style>
  <w:style w:type="character" w:customStyle="1" w:styleId="KommentartextZchn">
    <w:name w:val="Kommentartext Zchn"/>
    <w:basedOn w:val="Absatz-Standardschriftart"/>
    <w:link w:val="Kommentartext"/>
    <w:rsid w:val="008F65A8"/>
    <w:rPr>
      <w:rFonts w:ascii="Charter" w:hAnsi="Charter"/>
    </w:rPr>
  </w:style>
  <w:style w:type="paragraph" w:styleId="Kommentarthema">
    <w:name w:val="annotation subject"/>
    <w:basedOn w:val="Kommentartext"/>
    <w:next w:val="Kommentartext"/>
    <w:link w:val="KommentarthemaZchn"/>
    <w:semiHidden/>
    <w:unhideWhenUsed/>
    <w:rsid w:val="008F65A8"/>
    <w:rPr>
      <w:b/>
      <w:bCs/>
    </w:rPr>
  </w:style>
  <w:style w:type="character" w:customStyle="1" w:styleId="KommentarthemaZchn">
    <w:name w:val="Kommentarthema Zchn"/>
    <w:basedOn w:val="KommentartextZchn"/>
    <w:link w:val="Kommentarthema"/>
    <w:semiHidden/>
    <w:rsid w:val="008F65A8"/>
    <w:rPr>
      <w:rFonts w:ascii="Charter" w:hAnsi="Charter"/>
      <w:b/>
      <w:bCs/>
    </w:rPr>
  </w:style>
  <w:style w:type="paragraph" w:styleId="Untertitel">
    <w:name w:val="Subtitle"/>
    <w:basedOn w:val="Standard"/>
    <w:next w:val="Standard"/>
    <w:uiPriority w:val="11"/>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character" w:styleId="NichtaufgelsteErwhnung">
    <w:name w:val="Unresolved Mention"/>
    <w:basedOn w:val="Absatz-Standardschriftart"/>
    <w:uiPriority w:val="99"/>
    <w:semiHidden/>
    <w:unhideWhenUsed/>
    <w:rsid w:val="008B6384"/>
    <w:rPr>
      <w:color w:val="605E5C"/>
      <w:shd w:val="clear" w:color="auto" w:fill="E1DFDD"/>
    </w:rPr>
  </w:style>
  <w:style w:type="character" w:customStyle="1" w:styleId="berschrift7Zchn">
    <w:name w:val="Überschrift 7 Zchn"/>
    <w:basedOn w:val="Absatz-Standardschriftart"/>
    <w:link w:val="berschrift7"/>
    <w:uiPriority w:val="9"/>
    <w:semiHidden/>
    <w:rsid w:val="009E40BA"/>
    <w:rPr>
      <w:rFonts w:asciiTheme="majorHAnsi" w:eastAsiaTheme="majorEastAsia" w:hAnsiTheme="majorHAnsi" w:cstheme="majorBidi"/>
      <w:i/>
      <w:iCs/>
      <w:color w:val="243F60" w:themeColor="accent1" w:themeShade="7F"/>
      <w:szCs w:val="24"/>
      <w:lang w:val="en-US"/>
    </w:rPr>
  </w:style>
  <w:style w:type="character" w:customStyle="1" w:styleId="berschrift8Zchn">
    <w:name w:val="Überschrift 8 Zchn"/>
    <w:basedOn w:val="Absatz-Standardschriftart"/>
    <w:link w:val="berschrift8"/>
    <w:uiPriority w:val="9"/>
    <w:semiHidden/>
    <w:rsid w:val="009E40BA"/>
    <w:rPr>
      <w:rFonts w:asciiTheme="majorHAnsi" w:eastAsiaTheme="majorEastAsia" w:hAnsiTheme="majorHAnsi" w:cstheme="majorBidi"/>
      <w:color w:val="272727" w:themeColor="text1" w:themeTint="D8"/>
      <w:sz w:val="21"/>
      <w:szCs w:val="21"/>
      <w:lang w:val="en-US"/>
    </w:rPr>
  </w:style>
  <w:style w:type="character" w:customStyle="1" w:styleId="berschrift9Zchn">
    <w:name w:val="Überschrift 9 Zchn"/>
    <w:basedOn w:val="Absatz-Standardschriftart"/>
    <w:link w:val="berschrift9"/>
    <w:uiPriority w:val="9"/>
    <w:semiHidden/>
    <w:rsid w:val="009E40BA"/>
    <w:rPr>
      <w:rFonts w:asciiTheme="majorHAnsi" w:eastAsiaTheme="majorEastAsia" w:hAnsiTheme="majorHAnsi" w:cstheme="majorBidi"/>
      <w:i/>
      <w:iCs/>
      <w:color w:val="272727" w:themeColor="text1" w:themeTint="D8"/>
      <w:sz w:val="21"/>
      <w:szCs w:val="21"/>
      <w:lang w:val="en-US"/>
    </w:rPr>
  </w:style>
  <w:style w:type="numbering" w:styleId="111111">
    <w:name w:val="Outline List 2"/>
    <w:basedOn w:val="KeineListe"/>
    <w:uiPriority w:val="99"/>
    <w:semiHidden/>
    <w:unhideWhenUsed/>
    <w:rsid w:val="00712769"/>
    <w:pPr>
      <w:numPr>
        <w:numId w:val="2"/>
      </w:numPr>
    </w:pPr>
  </w:style>
  <w:style w:type="paragraph" w:styleId="Listenabsatz">
    <w:name w:val="List Paragraph"/>
    <w:basedOn w:val="Standard"/>
    <w:uiPriority w:val="1"/>
    <w:rsid w:val="00712769"/>
    <w:pPr>
      <w:ind w:left="720"/>
      <w:contextualSpacing/>
    </w:pPr>
  </w:style>
  <w:style w:type="character" w:customStyle="1" w:styleId="berschrift2Zchn">
    <w:name w:val="Überschrift 2 Zchn"/>
    <w:basedOn w:val="Absatz-Standardschriftart"/>
    <w:link w:val="berschrift2"/>
    <w:uiPriority w:val="9"/>
    <w:rsid w:val="0094029B"/>
    <w:rPr>
      <w:rFonts w:ascii="FrontPage" w:hAnsi="FrontPage"/>
      <w:b/>
      <w:kern w:val="24"/>
      <w:sz w:val="24"/>
      <w:szCs w:val="20"/>
      <w:lang w:val="en-US"/>
    </w:rPr>
  </w:style>
  <w:style w:type="paragraph" w:customStyle="1" w:styleId="Default">
    <w:name w:val="Default"/>
    <w:rsid w:val="00F1004E"/>
    <w:pPr>
      <w:autoSpaceDE w:val="0"/>
      <w:autoSpaceDN w:val="0"/>
      <w:adjustRightInd w:val="0"/>
      <w:jc w:val="left"/>
    </w:pPr>
    <w:rPr>
      <w:rFonts w:ascii="Bell MT" w:hAnsi="Bell MT" w:cs="Bell MT"/>
      <w:color w:val="000000"/>
      <w:sz w:val="24"/>
      <w:szCs w:val="24"/>
    </w:rPr>
  </w:style>
  <w:style w:type="character" w:customStyle="1" w:styleId="FunotentextZchn">
    <w:name w:val="Fußnotentext Zchn"/>
    <w:basedOn w:val="Absatz-Standardschriftart"/>
    <w:link w:val="Funotentext"/>
    <w:uiPriority w:val="99"/>
    <w:semiHidden/>
    <w:rsid w:val="0080260B"/>
    <w:rPr>
      <w:sz w:val="18"/>
      <w:szCs w:val="20"/>
    </w:rPr>
  </w:style>
  <w:style w:type="paragraph" w:styleId="Textkrper">
    <w:name w:val="Body Text"/>
    <w:basedOn w:val="Standard"/>
    <w:link w:val="TextkrperZchn"/>
    <w:uiPriority w:val="1"/>
    <w:rsid w:val="00F8631A"/>
    <w:pPr>
      <w:widowControl w:val="0"/>
      <w:autoSpaceDE w:val="0"/>
      <w:autoSpaceDN w:val="0"/>
      <w:spacing w:after="0" w:line="240" w:lineRule="auto"/>
      <w:jc w:val="left"/>
    </w:pPr>
    <w:rPr>
      <w:szCs w:val="22"/>
      <w:lang w:bidi="de-DE"/>
    </w:rPr>
  </w:style>
  <w:style w:type="character" w:customStyle="1" w:styleId="TextkrperZchn">
    <w:name w:val="Textkörper Zchn"/>
    <w:basedOn w:val="Absatz-Standardschriftart"/>
    <w:link w:val="Textkrper"/>
    <w:uiPriority w:val="1"/>
    <w:rsid w:val="00F8631A"/>
    <w:rPr>
      <w:lang w:bidi="de-DE"/>
    </w:rPr>
  </w:style>
  <w:style w:type="character" w:styleId="BesuchterLink">
    <w:name w:val="FollowedHyperlink"/>
    <w:basedOn w:val="Absatz-Standardschriftart"/>
    <w:uiPriority w:val="99"/>
    <w:semiHidden/>
    <w:unhideWhenUsed/>
    <w:rsid w:val="00737E79"/>
    <w:rPr>
      <w:color w:val="800080" w:themeColor="followedHyperlink"/>
      <w:u w:val="single"/>
    </w:rPr>
  </w:style>
  <w:style w:type="character" w:styleId="Endnotenzeichen">
    <w:name w:val="endnote reference"/>
    <w:basedOn w:val="Absatz-Standardschriftart"/>
    <w:uiPriority w:val="99"/>
    <w:semiHidden/>
    <w:unhideWhenUsed/>
    <w:rsid w:val="00BA2153"/>
    <w:rPr>
      <w:vertAlign w:val="superscript"/>
    </w:rPr>
  </w:style>
  <w:style w:type="character" w:customStyle="1" w:styleId="FuzeileZchn">
    <w:name w:val="Fußzeile Zchn"/>
    <w:basedOn w:val="Absatz-Standardschriftart"/>
    <w:link w:val="Fuzeile"/>
    <w:uiPriority w:val="99"/>
    <w:rsid w:val="005752F7"/>
    <w:rPr>
      <w:rFonts w:ascii="FrontPage" w:hAnsi="FrontPage"/>
      <w:sz w:val="20"/>
      <w:szCs w:val="19"/>
    </w:rPr>
  </w:style>
  <w:style w:type="paragraph" w:styleId="StandardWeb">
    <w:name w:val="Normal (Web)"/>
    <w:basedOn w:val="Standard"/>
    <w:uiPriority w:val="99"/>
    <w:semiHidden/>
    <w:unhideWhenUsed/>
    <w:rsid w:val="00DE4643"/>
    <w:rPr>
      <w:rFonts w:ascii="Times New Roman" w:hAnsi="Times New Roman" w:cs="Times New Roman"/>
      <w:sz w:val="24"/>
    </w:rPr>
  </w:style>
  <w:style w:type="paragraph" w:customStyle="1" w:styleId="isselectedend">
    <w:name w:val="isselectedend"/>
    <w:basedOn w:val="Standard"/>
    <w:rsid w:val="00CB424F"/>
    <w:pPr>
      <w:spacing w:before="100" w:beforeAutospacing="1" w:after="100" w:afterAutospacing="1" w:line="240" w:lineRule="auto"/>
      <w:jc w:val="left"/>
    </w:pPr>
    <w:rPr>
      <w:rFonts w:ascii="Times New Roman" w:eastAsia="Times New Roman" w:hAnsi="Times New Roman" w:cs="Times New Roman"/>
      <w:sz w:val="24"/>
    </w:rPr>
  </w:style>
  <w:style w:type="character" w:styleId="Fett">
    <w:name w:val="Strong"/>
    <w:basedOn w:val="Absatz-Standardschriftart"/>
    <w:uiPriority w:val="22"/>
    <w:qFormat/>
    <w:rsid w:val="00CB424F"/>
    <w:rPr>
      <w:b/>
      <w:bCs/>
    </w:rPr>
  </w:style>
  <w:style w:type="character" w:customStyle="1" w:styleId="text-token-text-primary">
    <w:name w:val="text-token-text-primary"/>
    <w:basedOn w:val="Absatz-Standardschriftart"/>
    <w:rsid w:val="00CB424F"/>
  </w:style>
  <w:style w:type="character" w:styleId="HTMLCode">
    <w:name w:val="HTML Code"/>
    <w:basedOn w:val="Absatz-Standardschriftart"/>
    <w:uiPriority w:val="99"/>
    <w:semiHidden/>
    <w:unhideWhenUsed/>
    <w:rsid w:val="008A1CB0"/>
    <w:rPr>
      <w:rFonts w:ascii="Courier New" w:eastAsia="Times New Roman" w:hAnsi="Courier New" w:cs="Courier New"/>
      <w:sz w:val="20"/>
      <w:szCs w:val="20"/>
    </w:rPr>
  </w:style>
  <w:style w:type="paragraph" w:styleId="Inhaltsverzeichnisberschrift">
    <w:name w:val="TOC Heading"/>
    <w:basedOn w:val="berschrift1"/>
    <w:next w:val="Standard"/>
    <w:uiPriority w:val="39"/>
    <w:unhideWhenUsed/>
    <w:qFormat/>
    <w:rsid w:val="00747853"/>
    <w:pPr>
      <w:keepLines/>
      <w:numPr>
        <w:numId w:val="0"/>
      </w:numPr>
      <w:pBdr>
        <w:top w:val="none" w:sz="0" w:space="0" w:color="auto"/>
        <w:bottom w:val="none" w:sz="0" w:space="0" w:color="auto"/>
      </w:pBd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68654">
      <w:bodyDiv w:val="1"/>
      <w:marLeft w:val="0"/>
      <w:marRight w:val="0"/>
      <w:marTop w:val="0"/>
      <w:marBottom w:val="0"/>
      <w:divBdr>
        <w:top w:val="none" w:sz="0" w:space="0" w:color="auto"/>
        <w:left w:val="none" w:sz="0" w:space="0" w:color="auto"/>
        <w:bottom w:val="none" w:sz="0" w:space="0" w:color="auto"/>
        <w:right w:val="none" w:sz="0" w:space="0" w:color="auto"/>
      </w:divBdr>
    </w:div>
    <w:div w:id="565913840">
      <w:bodyDiv w:val="1"/>
      <w:marLeft w:val="0"/>
      <w:marRight w:val="0"/>
      <w:marTop w:val="0"/>
      <w:marBottom w:val="0"/>
      <w:divBdr>
        <w:top w:val="none" w:sz="0" w:space="0" w:color="auto"/>
        <w:left w:val="none" w:sz="0" w:space="0" w:color="auto"/>
        <w:bottom w:val="none" w:sz="0" w:space="0" w:color="auto"/>
        <w:right w:val="none" w:sz="0" w:space="0" w:color="auto"/>
      </w:divBdr>
    </w:div>
    <w:div w:id="6397679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sv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074F016-71BD-42DE-849E-2B5E73910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23247</Words>
  <Characters>146459</Characters>
  <Application>Microsoft Office Word</Application>
  <DocSecurity>0</DocSecurity>
  <Lines>1220</Lines>
  <Paragraphs>338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2026-10-23T06:16:00Z</dcterms:created>
  <dcterms:modified xsi:type="dcterms:W3CDTF">2026-10-23T10:13:00Z</dcterms:modified>
</cp:coreProperties>
</file>