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Plan de Capacitación y Adopción Tecnológica de FitControl SaaS</w:t>
      </w:r>
    </w:p>
    <w:p/>
    <w:p>
      <w:pPr>
        <w:spacing w:line="480" w:lineRule="auto"/>
        <w:jc w:val="center"/>
      </w:pPr>
      <w:r>
        <w:rPr>
          <w:sz w:val="24"/>
        </w:rPr>
        <w:t>Berick Zambrano</w:t>
      </w:r>
    </w:p>
    <w:p>
      <w:pPr>
        <w:spacing w:line="480" w:lineRule="auto"/>
        <w:jc w:val="center"/>
      </w:pPr>
      <w:r>
        <w:rPr>
          <w:sz w:val="24"/>
        </w:rPr>
        <w:t>Departamento de Ingeniería de Software, FitControl Corp</w:t>
      </w:r>
    </w:p>
    <w:p>
      <w:pPr>
        <w:spacing w:line="480" w:lineRule="auto"/>
        <w:jc w:val="center"/>
      </w:pPr>
      <w:r>
        <w:rPr>
          <w:sz w:val="24"/>
        </w:rPr>
        <w:t>Capacitación, Implantación y Adopción de Plataformas Web</w:t>
      </w:r>
    </w:p>
    <w:p>
      <w:pPr>
        <w:spacing w:line="480" w:lineRule="auto"/>
        <w:jc w:val="center"/>
      </w:pPr>
      <w:r>
        <w:rPr>
          <w:sz w:val="24"/>
        </w:rPr>
        <w:t>Dr. Asesor de Adopción Tecnológica</w:t>
      </w:r>
    </w:p>
    <w:p>
      <w:pPr>
        <w:spacing w:line="480" w:lineRule="auto"/>
        <w:jc w:val="center"/>
      </w:pPr>
      <w:r>
        <w:rPr>
          <w:sz w:val="24"/>
        </w:rPr>
        <w:t>22 de Junio de 2026</w:t>
      </w:r>
    </w:p>
    <w:p>
      <w:r>
        <w:br w:type="page"/>
      </w:r>
    </w:p>
    <w:p>
      <w:pPr>
        <w:keepNext/>
        <w:spacing w:before="360" w:after="240"/>
        <w:jc w:val="center"/>
      </w:pPr>
      <w:r>
        <w:rPr>
          <w:rFonts w:ascii="Times New Roman" w:hAnsi="Times New Roman"/>
          <w:b/>
          <w:color w:val="000000"/>
          <w:sz w:val="24"/>
        </w:rPr>
        <w:t>Plan de Capacitación y Adopción Tecnológica del Sistema FitControl SaaS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 xml:space="preserve">La implementación exitosa de la plataforma </w:t>
      </w:r>
      <w:r>
        <w:rPr>
          <w:rFonts w:ascii="Times New Roman" w:hAnsi="Times New Roman"/>
          <w:b/>
          <w:color w:val="000000"/>
          <w:sz w:val="24"/>
        </w:rPr>
        <w:t>FitControl SaaS</w:t>
      </w:r>
      <w:r>
        <w:rPr>
          <w:rFonts w:ascii="Times New Roman" w:hAnsi="Times New Roman"/>
          <w:color w:val="000000"/>
          <w:sz w:val="24"/>
        </w:rPr>
        <w:t xml:space="preserve"> en un club deportivo depende de la adopción efectiva por parte de todos los miembros del ecosistema. El presente </w:t>
      </w:r>
      <w:r>
        <w:rPr>
          <w:rFonts w:ascii="Times New Roman" w:hAnsi="Times New Roman"/>
          <w:b/>
          <w:color w:val="000000"/>
          <w:sz w:val="24"/>
        </w:rPr>
        <w:t>Plan de Capacitación</w:t>
      </w:r>
      <w:r>
        <w:rPr>
          <w:rFonts w:ascii="Times New Roman" w:hAnsi="Times New Roman"/>
          <w:color w:val="000000"/>
          <w:sz w:val="24"/>
        </w:rPr>
        <w:t xml:space="preserve"> está diseñado para instruir de manera progresiva a los distintos perfiles de usuarios del sistema, asegurando que adquieran las competencias técnicas necesarias para operar los módulos administrativos, deportivos, médicos y financieros de la plataforma.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El objetivo general es minimizar la resistencia al cambio, acelerar la curva de aprendizaje y asegurar que la entrada en operación del software se realice de manera fluida y sin interrupciones en el flujo de trabajo cotidiano de la institución deportiva, fundamentando la estrategia en el Modelo de Aceptación Tecnológica (</w:t>
      </w:r>
      <w:r>
        <w:rPr>
          <w:rFonts w:ascii="Times New Roman" w:hAnsi="Times New Roman"/>
          <w:b/>
          <w:color w:val="000000"/>
          <w:sz w:val="24"/>
        </w:rPr>
        <w:t>TAM</w:t>
      </w:r>
      <w:r>
        <w:rPr>
          <w:rFonts w:ascii="Times New Roman" w:hAnsi="Times New Roman"/>
          <w:color w:val="000000"/>
          <w:sz w:val="24"/>
        </w:rPr>
        <w:t>).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Estrategia y Modalidad de Capacitación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La capacitación se implementará bajo un enfoque híbrido (</w:t>
      </w:r>
      <w:r>
        <w:rPr>
          <w:rFonts w:ascii="Times New Roman" w:hAnsi="Times New Roman"/>
          <w:b/>
          <w:color w:val="000000"/>
          <w:sz w:val="24"/>
        </w:rPr>
        <w:t>Blended Learning</w:t>
      </w:r>
      <w:r>
        <w:rPr>
          <w:rFonts w:ascii="Times New Roman" w:hAnsi="Times New Roman"/>
          <w:color w:val="000000"/>
          <w:sz w:val="24"/>
        </w:rPr>
        <w:t>), combinando herramientas de aprendizaje sincrónicas y asincrónicas para ajustarse a la disponibilidad del staff deportivo: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Sesiones Sincrónicas (Talleres Prácticos):</w:t>
      </w:r>
      <w:r>
        <w:rPr>
          <w:rFonts w:ascii="Times New Roman" w:hAnsi="Times New Roman"/>
          <w:color w:val="000000"/>
          <w:sz w:val="24"/>
        </w:rPr>
        <w:t xml:space="preserve"> Sesiones guiadas de forma presencial o virtual por el equipo de implantación de software, enfocadas en los administradores del club y el cuerpo técnico.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Recursos Asincrónicos (Manuales y Videotutoriales):</w:t>
      </w:r>
      <w:r>
        <w:rPr>
          <w:rFonts w:ascii="Times New Roman" w:hAnsi="Times New Roman"/>
          <w:color w:val="000000"/>
          <w:sz w:val="24"/>
        </w:rPr>
        <w:t xml:space="preserve"> Guías visuales breves y grabaciones cortas de pantalla que los usuarios (especialmente jugadores y árbitros) pueden consultar autónomamente.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Ambiente de Práctica (Sandboxing):</w:t>
      </w:r>
      <w:r>
        <w:rPr>
          <w:rFonts w:ascii="Times New Roman" w:hAnsi="Times New Roman"/>
          <w:color w:val="000000"/>
          <w:sz w:val="24"/>
        </w:rPr>
        <w:t xml:space="preserve"> Habilitación de un entorno de pruebas con datos ficticios para que los usuarios interactúen con el sistema antes del despliegue productivo oficial.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Perfiles de Usuarios (Audiencia Objetivo)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La capacitación se segmenta en seis perfiles diferenciados según el nivel de interacción que requieran con los paneles especializados de Filament v4 o el portal público en React: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1. </w:t>
      </w:r>
      <w:r>
        <w:rPr>
          <w:rFonts w:ascii="Times New Roman" w:hAnsi="Times New Roman"/>
          <w:b/>
          <w:color w:val="000000"/>
          <w:sz w:val="24"/>
        </w:rPr>
        <w:t>Super Administrador de FitControl:</w:t>
      </w:r>
      <w:r>
        <w:rPr>
          <w:rFonts w:ascii="Times New Roman" w:hAnsi="Times New Roman"/>
          <w:color w:val="000000"/>
          <w:sz w:val="24"/>
        </w:rPr>
        <w:t xml:space="preserve"> Administrador de la infraestructura SaaS global.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2. </w:t>
      </w:r>
      <w:r>
        <w:rPr>
          <w:rFonts w:ascii="Times New Roman" w:hAnsi="Times New Roman"/>
          <w:b/>
          <w:color w:val="000000"/>
          <w:sz w:val="24"/>
        </w:rPr>
        <w:t>Administrador del Club (Tenant Admin):</w:t>
      </w:r>
      <w:r>
        <w:rPr>
          <w:rFonts w:ascii="Times New Roman" w:hAnsi="Times New Roman"/>
          <w:color w:val="000000"/>
          <w:sz w:val="24"/>
        </w:rPr>
        <w:t xml:space="preserve"> Encargado de la gestión administrativa, de personal y finanzas del club.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3. </w:t>
      </w:r>
      <w:r>
        <w:rPr>
          <w:rFonts w:ascii="Times New Roman" w:hAnsi="Times New Roman"/>
          <w:b/>
          <w:color w:val="000000"/>
          <w:sz w:val="24"/>
        </w:rPr>
        <w:t>Cuerpo Técnico (Entrenadores):</w:t>
      </w:r>
      <w:r>
        <w:rPr>
          <w:rFonts w:ascii="Times New Roman" w:hAnsi="Times New Roman"/>
          <w:color w:val="000000"/>
          <w:sz w:val="24"/>
        </w:rPr>
        <w:t xml:space="preserve"> Responsables del control deportivo de sus equipos.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4. </w:t>
      </w:r>
      <w:r>
        <w:rPr>
          <w:rFonts w:ascii="Times New Roman" w:hAnsi="Times New Roman"/>
          <w:b/>
          <w:color w:val="000000"/>
          <w:sz w:val="24"/>
        </w:rPr>
        <w:t>Departamento de Salud (Médicos):</w:t>
      </w:r>
      <w:r>
        <w:rPr>
          <w:rFonts w:ascii="Times New Roman" w:hAnsi="Times New Roman"/>
          <w:color w:val="000000"/>
          <w:sz w:val="24"/>
        </w:rPr>
        <w:t xml:space="preserve"> Encargados de la integridad física y aptitud médica.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5. </w:t>
      </w:r>
      <w:r>
        <w:rPr>
          <w:rFonts w:ascii="Times New Roman" w:hAnsi="Times New Roman"/>
          <w:b/>
          <w:color w:val="000000"/>
          <w:sz w:val="24"/>
        </w:rPr>
        <w:t>Árbitros:</w:t>
      </w:r>
      <w:r>
        <w:rPr>
          <w:rFonts w:ascii="Times New Roman" w:hAnsi="Times New Roman"/>
          <w:color w:val="000000"/>
          <w:sz w:val="24"/>
        </w:rPr>
        <w:t xml:space="preserve"> Personal responsable de dirigir los partidos y reportar incidencias.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6. </w:t>
      </w:r>
      <w:r>
        <w:rPr>
          <w:rFonts w:ascii="Times New Roman" w:hAnsi="Times New Roman"/>
          <w:b/>
          <w:color w:val="000000"/>
          <w:sz w:val="24"/>
        </w:rPr>
        <w:t>Jugadores (Deportistas):</w:t>
      </w:r>
      <w:r>
        <w:rPr>
          <w:rFonts w:ascii="Times New Roman" w:hAnsi="Times New Roman"/>
          <w:color w:val="000000"/>
          <w:sz w:val="24"/>
        </w:rPr>
        <w:t xml:space="preserve"> Deportistas afiliados que visualizan rendimiento y pagos.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Programa de Capacitación (Módulos por Rol)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El temario de capacitación está estructurado de manera modular para optimizar los tiempos de instrucción según el perfil del participante: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Módulo I: Administración del SaaS (Solo Super Administradores)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Enfocado en la revisión de solicitudes de acceso (</w:t>
      </w:r>
      <w:r>
        <w:rPr>
          <w:rFonts w:ascii="Times New Roman" w:hAnsi="Times New Roman"/>
          <w:color w:val="000000"/>
          <w:sz w:val="24"/>
        </w:rPr>
        <w:t>TenantRequests</w:t>
      </w:r>
      <w:r>
        <w:rPr>
          <w:rFonts w:ascii="Times New Roman" w:hAnsi="Times New Roman"/>
          <w:color w:val="000000"/>
          <w:sz w:val="24"/>
        </w:rPr>
        <w:t xml:space="preserve">), aprobación/rechazo de nuevos inquilinos, gestión de la tabla global de </w:t>
      </w:r>
      <w:r>
        <w:rPr>
          <w:rFonts w:ascii="Times New Roman" w:hAnsi="Times New Roman"/>
          <w:color w:val="000000"/>
          <w:sz w:val="24"/>
        </w:rPr>
        <w:t>Tenants</w:t>
      </w:r>
      <w:r>
        <w:rPr>
          <w:rFonts w:ascii="Times New Roman" w:hAnsi="Times New Roman"/>
          <w:color w:val="000000"/>
          <w:sz w:val="24"/>
        </w:rPr>
        <w:t>, configuración de seguridad RBAC vía Filament Shield y monitoreo de los widgets globales del sistema.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Módulo II: Gestión Administrativa del Club (Administradores de Club)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Cubre la configuración del Onboarding inicial (datos del club, escudo, RUT, Cámara de Comercio), el funcionamiento del Paywall (integración con pasarela Wompi e intercepción del overlay), el CRUD de usuarios, creación de equipos, clasificación de categorías/subcategorías, administración de instalaciones físicas, control de cuotas y mensualidades de deportistas, y descarga de reportes Excel/PDF.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Módulo III: Planificación Deportiva (Entrenadores)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 xml:space="preserve">Instrucción en la navegación del panel </w:t>
      </w:r>
      <w:r>
        <w:rPr>
          <w:rFonts w:ascii="Times New Roman" w:hAnsi="Times New Roman"/>
          <w:color w:val="000000"/>
          <w:sz w:val="24"/>
        </w:rPr>
        <w:t>/entrenador</w:t>
      </w:r>
      <w:r>
        <w:rPr>
          <w:rFonts w:ascii="Times New Roman" w:hAnsi="Times New Roman"/>
          <w:color w:val="000000"/>
          <w:sz w:val="24"/>
        </w:rPr>
        <w:t xml:space="preserve">, programación de entrenamientos, visualización del calendario unificado codificado por colores, toma de asistencia rápida mediante </w:t>
      </w:r>
      <w:r>
        <w:rPr>
          <w:rFonts w:ascii="Times New Roman" w:hAnsi="Times New Roman"/>
          <w:b/>
          <w:color w:val="000000"/>
          <w:sz w:val="24"/>
        </w:rPr>
        <w:t>inline toggles</w:t>
      </w:r>
      <w:r>
        <w:rPr>
          <w:rFonts w:ascii="Times New Roman" w:hAnsi="Times New Roman"/>
          <w:color w:val="000000"/>
          <w:sz w:val="24"/>
        </w:rPr>
        <w:t xml:space="preserve"> y el registro de convocatorias y valoraciones numéricas de rendimiento en partidos.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Módulo IV: Control Médico y Lesiones (Médicos)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 xml:space="preserve">Instrucción en el panel </w:t>
      </w:r>
      <w:r>
        <w:rPr>
          <w:rFonts w:ascii="Times New Roman" w:hAnsi="Times New Roman"/>
          <w:color w:val="000000"/>
          <w:sz w:val="24"/>
        </w:rPr>
        <w:t>/medico</w:t>
      </w:r>
      <w:r>
        <w:rPr>
          <w:rFonts w:ascii="Times New Roman" w:hAnsi="Times New Roman"/>
          <w:color w:val="000000"/>
          <w:sz w:val="24"/>
        </w:rPr>
        <w:t xml:space="preserve"> para registrar lesiones o enfermedades de jugadores, establecer niveles de gravedad (leve, medio, grave) e interactuar con el toggle de aptitud médica que restringe la elegibilidad del deportista para el cuerpo técnico.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Módulo V: Reporte de Partidos (Árbitros)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 xml:space="preserve">Capacitación en el panel </w:t>
      </w:r>
      <w:r>
        <w:rPr>
          <w:rFonts w:ascii="Times New Roman" w:hAnsi="Times New Roman"/>
          <w:color w:val="000000"/>
          <w:sz w:val="24"/>
        </w:rPr>
        <w:t>/arbitro</w:t>
      </w:r>
      <w:r>
        <w:rPr>
          <w:rFonts w:ascii="Times New Roman" w:hAnsi="Times New Roman"/>
          <w:color w:val="000000"/>
          <w:sz w:val="24"/>
        </w:rPr>
        <w:t xml:space="preserve"> para registrar la programación de partidos asignados, redacción de actas de novedades y el ingreso de incidencias de juego (goles, tarjetas amarillas/rojas, lesiones de partido).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Módulo VI: Autogestión Deportiva (Jugadores)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 xml:space="preserve">Uso del portal móvil </w:t>
      </w:r>
      <w:r>
        <w:rPr>
          <w:rFonts w:ascii="Times New Roman" w:hAnsi="Times New Roman"/>
          <w:color w:val="000000"/>
          <w:sz w:val="24"/>
        </w:rPr>
        <w:t>/jugador</w:t>
      </w:r>
      <w:r>
        <w:rPr>
          <w:rFonts w:ascii="Times New Roman" w:hAnsi="Times New Roman"/>
          <w:color w:val="000000"/>
          <w:sz w:val="24"/>
        </w:rPr>
        <w:t xml:space="preserve"> para actualizar datos personales/avatar, consultar la ficha de perfil físico, revisar el histórico individual de asistencia y rendimiento deportivo, y realizar el seguimiento de sus pagos.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Cronograma y Duración de Sesiones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Para garantizar un aprendizaje estructurado y ordenado, se recomienda el siguiente cronograma de sesiones previo a la puesta en marcha definitiva:</w:t>
      </w:r>
    </w:p>
    <w:p>
      <w:pPr>
        <w:keepNext/>
        <w:spacing w:before="240" w:after="40"/>
      </w:pPr>
      <w:r>
        <w:rPr>
          <w:rFonts w:ascii="Times New Roman" w:hAnsi="Times New Roman"/>
          <w:b/>
          <w:sz w:val="24"/>
        </w:rPr>
        <w:t>Tabla 1</w:t>
      </w:r>
    </w:p>
    <w:p>
      <w:pPr>
        <w:keepNext/>
        <w:spacing w:before="0" w:after="120"/>
      </w:pPr>
      <w:r>
        <w:rPr>
          <w:rFonts w:ascii="Times New Roman" w:hAnsi="Times New Roman"/>
          <w:i/>
          <w:sz w:val="24"/>
        </w:rPr>
        <w:t>Cronograma de sesiones de capacitación recomendadas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1872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Sesión de Capacitación</w:t>
            </w:r>
          </w:p>
        </w:tc>
        <w:tc>
          <w:tcPr>
            <w:tcW w:type="dxa" w:w="1872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Población Objetivo</w:t>
            </w:r>
          </w:p>
        </w:tc>
        <w:tc>
          <w:tcPr>
            <w:tcW w:type="dxa" w:w="1872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Horas</w:t>
            </w:r>
          </w:p>
        </w:tc>
        <w:tc>
          <w:tcPr>
            <w:tcW w:type="dxa" w:w="1872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Modalidad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CAP-01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Inducción General e Onboarding del SaaS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Administradores de Club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Sincrónica (Virtual)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CAP-02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Configuración de Usuarios, Roles e Instalaciones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Administradores de Club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Sincrónica (Virtual)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CAP-03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Módulo de Finanzas y Control de Pagos (Wompi)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Administradores de Club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Sincrónica (Virtual)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CAP-04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Programación Deportiva y Asistencia (Toggles)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Entrenadores / Staff Técnico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Sincrónica (Práctica)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CAP-05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Evaluación de Rendimiento y Estadísticas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Entrenadores / Staff Técnico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Sincrónica (Virtual)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CAP-06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Registro Médico, Historial y Aptitud Deportiva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Personal de Salud / Médicos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Sincrónica (Virtual)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CAP-07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Actas de Partido y Reporte de Incidencias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Árbitros de Torneo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2.0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Sincrónica (Virtual)</w:t>
            </w:r>
          </w:p>
        </w:tc>
      </w:tr>
      <w:tr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CAP-08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Navegación del Portal Personal y Estado de Pagos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Jugadores / Deportistas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1872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Asincrónica (Video)</w:t>
            </w:r>
          </w:p>
        </w:tc>
      </w:tr>
    </w:tbl>
    <w:p>
      <w:pPr>
        <w:spacing w:after="12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Evaluación del Aprendizaje y Adopción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La efectividad de la capacitación y el nivel de adopción del sistema por parte del club se evaluará mediante tres métricas concretas: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Prueba de Desempeño Práctico (Hands-On):</w:t>
      </w:r>
      <w:r>
        <w:rPr>
          <w:rFonts w:ascii="Times New Roman" w:hAnsi="Times New Roman"/>
          <w:color w:val="000000"/>
          <w:sz w:val="24"/>
        </w:rPr>
        <w:t xml:space="preserve"> Evaluación directa en el ambiente sandbox mediante la realización de tareas críticas (ej: registrar un partido y su resultado) midiendo la tasa de éxito.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Escala de Usabilidad del Sistema (SUS):</w:t>
      </w:r>
      <w:r>
        <w:rPr>
          <w:rFonts w:ascii="Times New Roman" w:hAnsi="Times New Roman"/>
          <w:color w:val="000000"/>
          <w:sz w:val="24"/>
        </w:rPr>
        <w:t xml:space="preserve"> Cuestionario subjetivo estándar de 10 preguntas respondido por el personal para evaluar la usabilidad percibida del software.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Métricas de Telemetría de Adopción Temprana:</w:t>
      </w:r>
      <w:r>
        <w:rPr>
          <w:rFonts w:ascii="Times New Roman" w:hAnsi="Times New Roman"/>
          <w:color w:val="000000"/>
          <w:sz w:val="24"/>
        </w:rPr>
        <w:t xml:space="preserve"> Medición del porcentaje de usuarios que inician sesión activamente en el entorno de producción durante las dos primeras semanas de operación.</w:t>
      </w:r>
    </w:p>
    <w:p>
      <w:r>
        <w:br w:type="page"/>
      </w:r>
    </w:p>
    <w:p>
      <w:pPr>
        <w:keepNext/>
        <w:spacing w:before="360" w:after="240"/>
        <w:jc w:val="center"/>
      </w:pPr>
      <w:r>
        <w:rPr>
          <w:rFonts w:ascii="Times New Roman" w:hAnsi="Times New Roman"/>
          <w:b/>
          <w:color w:val="000000"/>
          <w:sz w:val="24"/>
        </w:rPr>
        <w:t>Referencias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Davis, F. D. (1989). </w:t>
      </w:r>
      <w:r>
        <w:rPr>
          <w:rFonts w:ascii="Times New Roman" w:hAnsi="Times New Roman"/>
          <w:i/>
          <w:sz w:val="24"/>
        </w:rPr>
        <w:t>A technology acceptance model for empirically testing new end-user information systems: Theory and results</w:t>
      </w:r>
      <w:r>
        <w:rPr>
          <w:rFonts w:ascii="Times New Roman" w:hAnsi="Times New Roman"/>
          <w:sz w:val="24"/>
        </w:rPr>
        <w:t>. MIT.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ISO/IEC 25062:2019. </w:t>
      </w:r>
      <w:r>
        <w:rPr>
          <w:rFonts w:ascii="Times New Roman" w:hAnsi="Times New Roman"/>
          <w:i/>
          <w:sz w:val="24"/>
        </w:rPr>
        <w:t>Systems and software engineering — Software product Quality Requirements and Evaluation (SQuaRE) — Common Industry Format (CIF) for usability test reports</w:t>
      </w:r>
      <w:r>
        <w:rPr>
          <w:rFonts w:ascii="Times New Roman" w:hAnsi="Times New Roman"/>
          <w:sz w:val="24"/>
        </w:rPr>
        <w:t>. ISO.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Filament v4. </w:t>
      </w:r>
      <w:r>
        <w:rPr>
          <w:rFonts w:ascii="Times New Roman" w:hAnsi="Times New Roman"/>
          <w:i/>
          <w:sz w:val="24"/>
        </w:rPr>
        <w:t>Elegant TALL stack components for Laravel developers</w:t>
      </w:r>
      <w:r>
        <w:rPr>
          <w:rFonts w:ascii="Times New Roman" w:hAnsi="Times New Roman"/>
          <w:sz w:val="24"/>
        </w:rPr>
        <w:t>. https://filamentphp.com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Laravel Framework 12.x. </w:t>
      </w:r>
      <w:r>
        <w:rPr>
          <w:rFonts w:ascii="Times New Roman" w:hAnsi="Times New Roman"/>
          <w:i/>
          <w:sz w:val="24"/>
        </w:rPr>
        <w:t>Official Documentation</w:t>
      </w:r>
      <w:r>
        <w:rPr>
          <w:rFonts w:ascii="Times New Roman" w:hAnsi="Times New Roman"/>
          <w:sz w:val="24"/>
        </w:rPr>
        <w:t>. https://laravel.com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87878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