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Plan de Pruebas de Software de la Plataforma FitControl SaaS</w:t>
      </w:r>
    </w:p>
    <w:p/>
    <w:p>
      <w:pPr>
        <w:spacing w:line="480" w:lineRule="auto"/>
        <w:jc w:val="center"/>
      </w:pPr>
      <w:r>
        <w:rPr>
          <w:sz w:val="24"/>
        </w:rPr>
        <w:t>Berick Zambrano</w:t>
      </w:r>
    </w:p>
    <w:p>
      <w:pPr>
        <w:spacing w:line="480" w:lineRule="auto"/>
        <w:jc w:val="center"/>
      </w:pPr>
      <w:r>
        <w:rPr>
          <w:sz w:val="24"/>
        </w:rPr>
        <w:t>Departamento de Ingeniería de Software, FitControl Corp</w:t>
      </w:r>
    </w:p>
    <w:p>
      <w:pPr>
        <w:spacing w:line="480" w:lineRule="auto"/>
        <w:jc w:val="center"/>
      </w:pPr>
      <w:r>
        <w:rPr>
          <w:sz w:val="24"/>
        </w:rPr>
        <w:t>Aseguramiento de Calidad y Pruebas de Software</w:t>
      </w:r>
    </w:p>
    <w:p>
      <w:pPr>
        <w:spacing w:line="480" w:lineRule="auto"/>
        <w:jc w:val="center"/>
      </w:pPr>
      <w:r>
        <w:rPr>
          <w:sz w:val="24"/>
        </w:rPr>
        <w:t>Dr. Asesor de Calidad de Sistemas</w:t>
      </w:r>
    </w:p>
    <w:p>
      <w:pPr>
        <w:spacing w:line="480" w:lineRule="auto"/>
        <w:jc w:val="center"/>
      </w:pPr>
      <w:r>
        <w:rPr>
          <w:sz w:val="24"/>
        </w:rPr>
        <w:t>22 de Junio de 2026</w:t>
      </w:r>
    </w:p>
    <w:p>
      <w:r>
        <w:br w:type="page"/>
      </w:r>
    </w:p>
    <w:p>
      <w:pPr>
        <w:keepNext/>
        <w:spacing w:before="360" w:after="240"/>
        <w:jc w:val="center"/>
      </w:pPr>
      <w:r>
        <w:rPr>
          <w:rFonts w:ascii="Times New Roman" w:hAnsi="Times New Roman"/>
          <w:b/>
          <w:color w:val="000000"/>
          <w:sz w:val="24"/>
        </w:rPr>
        <w:t>Plan de Pruebas de Software de FitControl SaaS</w:t>
      </w: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color w:val="000000"/>
          <w:sz w:val="24"/>
        </w:rPr>
        <w:t>Alcance del Plan de Pruebas</w:t>
      </w:r>
    </w:p>
    <w:p>
      <w:pPr>
        <w:spacing w:before="0" w:after="240" w:line="480" w:lineRule="auto"/>
        <w:ind w:firstLine="720"/>
      </w:pPr>
      <w:r>
        <w:rPr>
          <w:rFonts w:ascii="Times New Roman" w:hAnsi="Times New Roman"/>
          <w:color w:val="000000"/>
          <w:sz w:val="24"/>
        </w:rPr>
        <w:t xml:space="preserve">El presente </w:t>
      </w:r>
      <w:r>
        <w:rPr>
          <w:rFonts w:ascii="Times New Roman" w:hAnsi="Times New Roman"/>
          <w:b/>
          <w:color w:val="000000"/>
          <w:sz w:val="24"/>
        </w:rPr>
        <w:t>Plan de Pruebas</w:t>
      </w:r>
      <w:r>
        <w:rPr>
          <w:rFonts w:ascii="Times New Roman" w:hAnsi="Times New Roman"/>
          <w:color w:val="000000"/>
          <w:sz w:val="24"/>
        </w:rPr>
        <w:t xml:space="preserve"> tiene como finalidad estructurar y definir las actividades de verificación y validación de software aplicadas a la plataforma </w:t>
      </w:r>
      <w:r>
        <w:rPr>
          <w:rFonts w:ascii="Times New Roman" w:hAnsi="Times New Roman"/>
          <w:b/>
          <w:color w:val="000000"/>
          <w:sz w:val="24"/>
        </w:rPr>
        <w:t>FitControl SaaS</w:t>
      </w:r>
      <w:r>
        <w:rPr>
          <w:rFonts w:ascii="Times New Roman" w:hAnsi="Times New Roman"/>
          <w:color w:val="000000"/>
          <w:sz w:val="24"/>
        </w:rPr>
        <w:t>. Este documento especifica el alcance, las estrategias, los recursos y los procedimientos que se llevarán a cabo con el propósito de mitigar riesgos operativos y asegurar que los componentes técnicos cumplan con los criterios de calidad requeridos.</w:t>
      </w:r>
    </w:p>
    <w:p>
      <w:pPr>
        <w:spacing w:before="0" w:after="240" w:line="480" w:lineRule="auto"/>
        <w:ind w:firstLine="720"/>
      </w:pPr>
      <w:r>
        <w:rPr>
          <w:rFonts w:ascii="Times New Roman" w:hAnsi="Times New Roman"/>
          <w:b/>
          <w:color w:val="000000"/>
          <w:sz w:val="24"/>
        </w:rPr>
        <w:t>Elementos Dentro del Alcance:</w:t>
      </w:r>
      <w:r>
        <w:rPr>
          <w:rFonts w:ascii="Times New Roman" w:hAnsi="Times New Roman"/>
          <w:color w:val="000000"/>
          <w:sz w:val="24"/>
        </w:rPr>
        <w:t xml:space="preserve"> Las pruebas comprenderán la validación funcional de la arquitectura de aislamiento lógico multi-tenant, la seguridad y control de accesos basados en roles mediante Spatie/Shield, el flujo de verificación de la autenticación 2FA (OTP), la integración con la pasarela de pagos Wompi y su intercepción mediante overlay visual, así como el encolamiento y ejecución de tareas asíncronas en Redis.</w:t>
      </w:r>
    </w:p>
    <w:p>
      <w:pPr>
        <w:spacing w:before="0" w:after="240" w:line="480" w:lineRule="auto"/>
        <w:ind w:firstLine="720"/>
      </w:pPr>
      <w:r>
        <w:rPr>
          <w:rFonts w:ascii="Times New Roman" w:hAnsi="Times New Roman"/>
          <w:b/>
          <w:color w:val="000000"/>
          <w:sz w:val="24"/>
        </w:rPr>
        <w:t>Elementos Fuera del Alcance:</w:t>
      </w:r>
      <w:r>
        <w:rPr>
          <w:rFonts w:ascii="Times New Roman" w:hAnsi="Times New Roman"/>
          <w:color w:val="000000"/>
          <w:sz w:val="24"/>
        </w:rPr>
        <w:t xml:space="preserve"> No se evaluará el rendimiento de la red interna de comunicación de los usuarios, el comportamiento de los servidores de producción de pasarelas de pago externas ni el rendimiento y escalabilidad de la infraestructura del hardware físico de hospedaje (hosting) bajo condiciones extremas de sobrecarga.</w:t>
      </w: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color w:val="000000"/>
          <w:sz w:val="24"/>
        </w:rPr>
        <w:t>Objetivos de las Pruebas</w:t>
      </w:r>
    </w:p>
    <w:p>
      <w:pPr>
        <w:spacing w:before="0" w:after="240" w:line="480" w:lineRule="auto"/>
        <w:ind w:firstLine="720"/>
      </w:pPr>
      <w:r>
        <w:rPr>
          <w:rFonts w:ascii="Times New Roman" w:hAnsi="Times New Roman"/>
          <w:color w:val="000000"/>
          <w:sz w:val="24"/>
        </w:rPr>
        <w:t>Los objetivos del proceso de testing se orientan a garantizar la confiabilidad, seguridad y consistencia general del producto de software:</w:t>
      </w:r>
    </w:p>
    <w:p>
      <w:pPr>
        <w:spacing w:before="0" w:after="120" w:line="480" w:lineRule="auto"/>
        <w:ind w:left="720"/>
      </w:pPr>
      <w:r>
        <w:rPr>
          <w:rFonts w:ascii="Times New Roman" w:hAnsi="Times New Roman"/>
          <w:b/>
          <w:color w:val="000000"/>
          <w:sz w:val="24"/>
        </w:rPr>
        <w:t xml:space="preserve">• </w:t>
      </w:r>
      <w:r>
        <w:rPr>
          <w:rFonts w:ascii="Times New Roman" w:hAnsi="Times New Roman"/>
          <w:b/>
          <w:color w:val="000000"/>
          <w:sz w:val="24"/>
        </w:rPr>
        <w:t>Objetivo General:</w:t>
      </w:r>
      <w:r>
        <w:rPr>
          <w:rFonts w:ascii="Times New Roman" w:hAnsi="Times New Roman"/>
          <w:color w:val="000000"/>
          <w:sz w:val="24"/>
        </w:rPr>
        <w:t xml:space="preserve"> Validar que los módulos y configuraciones del sistema FitControl SaaS operen de manera integrada y libre de fallas críticas previo al despliegue productivo formal.</w:t>
      </w:r>
    </w:p>
    <w:p>
      <w:pPr>
        <w:spacing w:before="0" w:after="120" w:line="480" w:lineRule="auto"/>
        <w:ind w:left="720"/>
      </w:pPr>
      <w:r>
        <w:rPr>
          <w:rFonts w:ascii="Times New Roman" w:hAnsi="Times New Roman"/>
          <w:b/>
          <w:color w:val="000000"/>
          <w:sz w:val="24"/>
        </w:rPr>
        <w:t xml:space="preserve">• </w:t>
      </w:r>
      <w:r>
        <w:rPr>
          <w:rFonts w:ascii="Times New Roman" w:hAnsi="Times New Roman"/>
          <w:b/>
          <w:color w:val="000000"/>
          <w:sz w:val="24"/>
        </w:rPr>
        <w:t>Objetivos Específicos de Confiabilidad:</w:t>
      </w:r>
      <w:r>
        <w:rPr>
          <w:rFonts w:ascii="Times New Roman" w:hAnsi="Times New Roman"/>
          <w:color w:val="000000"/>
          <w:sz w:val="24"/>
        </w:rPr>
        <w:t xml:space="preserve"> Ejecutar el 100% de la suite de pruebas unitarias automatizadas de manera exitosa, asegurando la consistencia en la lógica pura del backend.</w:t>
      </w:r>
    </w:p>
    <w:p>
      <w:pPr>
        <w:spacing w:before="0" w:after="120" w:line="480" w:lineRule="auto"/>
        <w:ind w:left="720"/>
      </w:pPr>
      <w:r>
        <w:rPr>
          <w:rFonts w:ascii="Times New Roman" w:hAnsi="Times New Roman"/>
          <w:b/>
          <w:color w:val="000000"/>
          <w:sz w:val="24"/>
        </w:rPr>
        <w:t xml:space="preserve">• </w:t>
      </w:r>
      <w:r>
        <w:rPr>
          <w:rFonts w:ascii="Times New Roman" w:hAnsi="Times New Roman"/>
          <w:b/>
          <w:color w:val="000000"/>
          <w:sz w:val="24"/>
        </w:rPr>
        <w:t>Objetivos Específicos de Seguridad:</w:t>
      </w:r>
      <w:r>
        <w:rPr>
          <w:rFonts w:ascii="Times New Roman" w:hAnsi="Times New Roman"/>
          <w:color w:val="000000"/>
          <w:sz w:val="24"/>
        </w:rPr>
        <w:t xml:space="preserve"> Garantizar que los límites de multi-tenancy a nivel de base de datos impidan cualquier tipo de filtración o alteración de datos cruzada entre diferentes clubes deportivos.</w:t>
      </w:r>
    </w:p>
    <w:p>
      <w:pPr>
        <w:spacing w:before="0" w:after="120" w:line="480" w:lineRule="auto"/>
        <w:ind w:left="720"/>
      </w:pPr>
      <w:r>
        <w:rPr>
          <w:rFonts w:ascii="Times New Roman" w:hAnsi="Times New Roman"/>
          <w:b/>
          <w:color w:val="000000"/>
          <w:sz w:val="24"/>
        </w:rPr>
        <w:t xml:space="preserve">• </w:t>
      </w:r>
      <w:r>
        <w:rPr>
          <w:rFonts w:ascii="Times New Roman" w:hAnsi="Times New Roman"/>
          <w:b/>
          <w:color w:val="000000"/>
          <w:sz w:val="24"/>
        </w:rPr>
        <w:t>Objetivos Específicos de Integridad:</w:t>
      </w:r>
      <w:r>
        <w:rPr>
          <w:rFonts w:ascii="Times New Roman" w:hAnsi="Times New Roman"/>
          <w:color w:val="000000"/>
          <w:sz w:val="24"/>
        </w:rPr>
        <w:t xml:space="preserve"> Verificar el bloqueo visual de funcionalidad ante cobros vencidos o pendientes, desplegando el overlay de paywall de manera consistente.</w:t>
      </w: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color w:val="000000"/>
          <w:sz w:val="24"/>
        </w:rPr>
        <w:t>Estrategia de Pruebas</w:t>
      </w:r>
    </w:p>
    <w:p>
      <w:pPr>
        <w:spacing w:before="0" w:after="240" w:line="480" w:lineRule="auto"/>
        <w:ind w:firstLine="720"/>
      </w:pPr>
      <w:r>
        <w:rPr>
          <w:rFonts w:ascii="Times New Roman" w:hAnsi="Times New Roman"/>
          <w:color w:val="000000"/>
          <w:sz w:val="24"/>
        </w:rPr>
        <w:t>La estrategia del proyecto se basa en la complementariedad de técnicas y niveles de testing para maximizar la detección oportuna de incidencias en el código:</w:t>
      </w:r>
    </w:p>
    <w:p>
      <w:pPr>
        <w:spacing w:before="0" w:after="120" w:line="480" w:lineRule="auto"/>
        <w:ind w:left="720"/>
      </w:pPr>
      <w:r>
        <w:rPr>
          <w:rFonts w:ascii="Times New Roman" w:hAnsi="Times New Roman"/>
          <w:b/>
          <w:color w:val="000000"/>
          <w:sz w:val="24"/>
        </w:rPr>
        <w:t xml:space="preserve">• </w:t>
      </w:r>
      <w:r>
        <w:rPr>
          <w:rFonts w:ascii="Times New Roman" w:hAnsi="Times New Roman"/>
          <w:b/>
          <w:color w:val="000000"/>
          <w:sz w:val="24"/>
        </w:rPr>
        <w:t>Pruebas Unitarias e Integración (Caja Blanca):</w:t>
      </w:r>
      <w:r>
        <w:rPr>
          <w:rFonts w:ascii="Times New Roman" w:hAnsi="Times New Roman"/>
          <w:color w:val="000000"/>
          <w:sz w:val="24"/>
        </w:rPr>
        <w:t xml:space="preserve"> Implementadas mediante PHPUnit v11.5 para comprobar automatizadamente las clases controladoras de dominio, middlewares de inquilinos e integraciones lógicas.</w:t>
      </w:r>
    </w:p>
    <w:p>
      <w:pPr>
        <w:spacing w:before="0" w:after="120" w:line="480" w:lineRule="auto"/>
        <w:ind w:left="720"/>
      </w:pPr>
      <w:r>
        <w:rPr>
          <w:rFonts w:ascii="Times New Roman" w:hAnsi="Times New Roman"/>
          <w:b/>
          <w:color w:val="000000"/>
          <w:sz w:val="24"/>
        </w:rPr>
        <w:t xml:space="preserve">• </w:t>
      </w:r>
      <w:r>
        <w:rPr>
          <w:rFonts w:ascii="Times New Roman" w:hAnsi="Times New Roman"/>
          <w:b/>
          <w:color w:val="000000"/>
          <w:sz w:val="24"/>
        </w:rPr>
        <w:t>Pruebas Funcionales (Caja Negra):</w:t>
      </w:r>
      <w:r>
        <w:rPr>
          <w:rFonts w:ascii="Times New Roman" w:hAnsi="Times New Roman"/>
          <w:color w:val="000000"/>
          <w:sz w:val="24"/>
        </w:rPr>
        <w:t xml:space="preserve"> Ejecución manual y controlada orientada a la experiencia del usuario final, validando los formularios interactivos de onboarding, interfaces de Filament y comportamientos de toques rápidos.</w:t>
      </w:r>
    </w:p>
    <w:p>
      <w:pPr>
        <w:spacing w:before="0" w:after="120" w:line="480" w:lineRule="auto"/>
        <w:ind w:left="720"/>
      </w:pPr>
      <w:r>
        <w:rPr>
          <w:rFonts w:ascii="Times New Roman" w:hAnsi="Times New Roman"/>
          <w:b/>
          <w:color w:val="000000"/>
          <w:sz w:val="24"/>
        </w:rPr>
        <w:t xml:space="preserve">• </w:t>
      </w:r>
      <w:r>
        <w:rPr>
          <w:rFonts w:ascii="Times New Roman" w:hAnsi="Times New Roman"/>
          <w:b/>
          <w:color w:val="000000"/>
          <w:sz w:val="24"/>
        </w:rPr>
        <w:t>Pruebas de Regresión:</w:t>
      </w:r>
      <w:r>
        <w:rPr>
          <w:rFonts w:ascii="Times New Roman" w:hAnsi="Times New Roman"/>
          <w:color w:val="000000"/>
          <w:sz w:val="24"/>
        </w:rPr>
        <w:t xml:space="preserve"> Re-ejecución automática de toda la suite tras cada integración de parches para asegurar que las funcionalidades estables previamente validadas no se degraden.</w:t>
      </w:r>
    </w:p>
    <w:p>
      <w:pPr>
        <w:spacing w:before="0" w:after="120" w:line="480" w:lineRule="auto"/>
        <w:ind w:left="720"/>
      </w:pPr>
      <w:r>
        <w:rPr>
          <w:rFonts w:ascii="Times New Roman" w:hAnsi="Times New Roman"/>
          <w:b/>
          <w:color w:val="000000"/>
          <w:sz w:val="24"/>
        </w:rPr>
        <w:t xml:space="preserve">• </w:t>
      </w:r>
      <w:r>
        <w:rPr>
          <w:rFonts w:ascii="Times New Roman" w:hAnsi="Times New Roman"/>
          <w:b/>
          <w:color w:val="000000"/>
          <w:sz w:val="24"/>
        </w:rPr>
        <w:t>Pruebas de Seguridad y Autorización:</w:t>
      </w:r>
      <w:r>
        <w:rPr>
          <w:rFonts w:ascii="Times New Roman" w:hAnsi="Times New Roman"/>
          <w:color w:val="000000"/>
          <w:sz w:val="24"/>
        </w:rPr>
        <w:t xml:space="preserve"> Simulación de accesos no autorizados mediante inyección de parámetros URL para validar el comportamiento de las Laravel Policies y el borrado dinámico de caché de sesiones.</w:t>
      </w: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color w:val="000000"/>
          <w:sz w:val="24"/>
        </w:rPr>
        <w:t>Recursos (Hardware, Software y Humanos)</w:t>
      </w:r>
    </w:p>
    <w:p>
      <w:pPr>
        <w:spacing w:before="0" w:after="240" w:line="480" w:lineRule="auto"/>
        <w:ind w:firstLine="720"/>
      </w:pPr>
      <w:r>
        <w:rPr>
          <w:rFonts w:ascii="Times New Roman" w:hAnsi="Times New Roman"/>
          <w:color w:val="000000"/>
          <w:sz w:val="24"/>
        </w:rPr>
        <w:t>Para llevar a cabo las pruebas de aseguramiento de calidad de manera adecuada, se han asignado los siguientes recursos de infraestructura y talento humano:</w:t>
      </w:r>
    </w:p>
    <w:p>
      <w:pPr>
        <w:keepNext/>
        <w:spacing w:before="240" w:after="40"/>
      </w:pPr>
      <w:r>
        <w:rPr>
          <w:rFonts w:ascii="Times New Roman" w:hAnsi="Times New Roman"/>
          <w:b/>
          <w:sz w:val="24"/>
        </w:rPr>
        <w:t>Tabla 1</w:t>
      </w:r>
    </w:p>
    <w:p>
      <w:pPr>
        <w:keepNext/>
        <w:spacing w:before="0" w:after="120"/>
      </w:pPr>
      <w:r>
        <w:rPr>
          <w:rFonts w:ascii="Times New Roman" w:hAnsi="Times New Roman"/>
          <w:i/>
          <w:sz w:val="24"/>
        </w:rPr>
        <w:t>Recursos tecnológicos requeridos para las pruebas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bottom w:val="single" w:sz="6" w:space="0" w:color="000000"/>
            </w:tcBorders>
          </w:tcPr>
          <w:p>
            <w:pPr>
              <w:keepNext/>
              <w:spacing w:before="80" w:after="80" w:line="240" w:lineRule="auto"/>
            </w:pPr>
            <w:r>
              <w:rPr>
                <w:rFonts w:ascii="Times New Roman" w:hAnsi="Times New Roman"/>
                <w:b/>
                <w:sz w:val="20"/>
              </w:rPr>
              <w:t>Tipo de Recurso</w:t>
            </w:r>
          </w:p>
        </w:tc>
        <w:tc>
          <w:tcPr>
            <w:tcW w:type="dxa" w:w="3120"/>
            <w:tcBorders>
              <w:bottom w:val="single" w:sz="6" w:space="0" w:color="000000"/>
            </w:tcBorders>
          </w:tcPr>
          <w:p>
            <w:pPr>
              <w:keepNext/>
              <w:spacing w:before="80" w:after="80" w:line="240" w:lineRule="auto"/>
            </w:pPr>
            <w:r>
              <w:rPr>
                <w:rFonts w:ascii="Times New Roman" w:hAnsi="Times New Roman"/>
                <w:b/>
                <w:sz w:val="20"/>
              </w:rPr>
              <w:t>Nombre / Herramienta</w:t>
            </w:r>
          </w:p>
        </w:tc>
        <w:tc>
          <w:tcPr>
            <w:tcW w:type="dxa" w:w="3120"/>
            <w:tcBorders>
              <w:bottom w:val="single" w:sz="6" w:space="0" w:color="000000"/>
            </w:tcBorders>
          </w:tcPr>
          <w:p>
            <w:pPr>
              <w:keepNext/>
              <w:spacing w:before="80" w:after="80" w:line="240" w:lineRule="auto"/>
            </w:pPr>
            <w:r>
              <w:rPr>
                <w:rFonts w:ascii="Times New Roman" w:hAnsi="Times New Roman"/>
                <w:b/>
                <w:sz w:val="20"/>
              </w:rPr>
              <w:t>Propósito en el Testing</w:t>
            </w:r>
          </w:p>
        </w:tc>
      </w:tr>
      <w:tr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Hardware</w:t>
            </w:r>
          </w:p>
        </w:tc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Servidor Staging (Cloud)</w:t>
            </w:r>
          </w:p>
        </w:tc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Servidor de pruebas de preproducción configurado de forma idéntica al productivo.</w:t>
            </w:r>
          </w:p>
        </w:tc>
      </w:tr>
      <w:tr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Hardware</w:t>
            </w:r>
          </w:p>
        </w:tc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Estaciones de Trabajo de QA</w:t>
            </w:r>
          </w:p>
        </w:tc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Computadoras para la ejecución manual de casos de prueba y simulación API.</w:t>
            </w:r>
          </w:p>
        </w:tc>
      </w:tr>
      <w:tr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Software</w:t>
            </w:r>
          </w:p>
        </w:tc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Docker &amp; Laravel Sail</w:t>
            </w:r>
          </w:p>
        </w:tc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Entorno virtualizado para asegurar la igualdad de sistemas operativos de servicios.</w:t>
            </w:r>
          </w:p>
        </w:tc>
      </w:tr>
      <w:tr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Software</w:t>
            </w:r>
          </w:p>
        </w:tc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PHPUnit v11.5</w:t>
            </w:r>
          </w:p>
        </w:tc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Framework automatizado de pruebas unitarias e integración de backend.</w:t>
            </w:r>
          </w:p>
        </w:tc>
      </w:tr>
      <w:tr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Software</w:t>
            </w:r>
          </w:p>
        </w:tc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Git / GitHub</w:t>
            </w:r>
          </w:p>
        </w:tc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Control de versiones y gestión de ramas de desarrollo y testeo.</w:t>
            </w:r>
          </w:p>
        </w:tc>
      </w:tr>
      <w:tr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Software</w:t>
            </w:r>
          </w:p>
        </w:tc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Base de datos (MySQL/Redis)</w:t>
            </w:r>
          </w:p>
        </w:tc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Persistencia lógica de datos relacionales y gestión de colas/sesiones.</w:t>
            </w:r>
          </w:p>
        </w:tc>
      </w:tr>
    </w:tbl>
    <w:p>
      <w:pPr>
        <w:spacing w:after="120"/>
      </w:pPr>
    </w:p>
    <w:p>
      <w:pPr>
        <w:spacing w:before="0" w:after="240" w:line="480" w:lineRule="auto"/>
        <w:ind w:firstLine="720"/>
      </w:pPr>
      <w:r>
        <w:rPr>
          <w:rFonts w:ascii="Times New Roman" w:hAnsi="Times New Roman"/>
          <w:b/>
          <w:color w:val="000000"/>
          <w:sz w:val="24"/>
        </w:rPr>
        <w:t>Recursos Humanos Asignados:</w:t>
      </w:r>
      <w:r>
        <w:rPr>
          <w:rFonts w:ascii="Times New Roman" w:hAnsi="Times New Roman"/>
          <w:color w:val="000000"/>
          <w:sz w:val="24"/>
        </w:rPr>
        <w:t xml:space="preserve"> El equipo está compuesto por un Analista de QA encargado de diseñar y ejecutar los casos de prueba manuales, un Líder de QA responsable de validar la conformidad de los resultados y coordinar los ciclos, Desarrolladores del backend y frontend dedicados a solventar los defectos, y el Product Owner encargado de emitir la aprobación final en el periodo de aceptación.</w:t>
      </w: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color w:val="000000"/>
          <w:sz w:val="24"/>
        </w:rPr>
        <w:t>Procedimientos de Prueba</w:t>
      </w:r>
    </w:p>
    <w:p>
      <w:pPr>
        <w:spacing w:before="0" w:after="240" w:line="480" w:lineRule="auto"/>
        <w:ind w:firstLine="720"/>
      </w:pPr>
      <w:r>
        <w:rPr>
          <w:rFonts w:ascii="Times New Roman" w:hAnsi="Times New Roman"/>
          <w:color w:val="000000"/>
          <w:sz w:val="24"/>
        </w:rPr>
        <w:t>Las actividades del testing se estructuran secuencialmente mediante las siguientes fases operativas:</w:t>
      </w:r>
    </w:p>
    <w:p>
      <w:pPr>
        <w:spacing w:before="0" w:after="120" w:line="480" w:lineRule="auto"/>
        <w:ind w:left="720"/>
      </w:pPr>
      <w:r>
        <w:rPr>
          <w:rFonts w:ascii="Times New Roman" w:hAnsi="Times New Roman"/>
          <w:b/>
          <w:color w:val="000000"/>
          <w:sz w:val="24"/>
        </w:rPr>
        <w:t xml:space="preserve">1. </w:t>
      </w:r>
      <w:r>
        <w:rPr>
          <w:rFonts w:ascii="Times New Roman" w:hAnsi="Times New Roman"/>
          <w:b/>
          <w:color w:val="000000"/>
          <w:sz w:val="24"/>
        </w:rPr>
        <w:t>Planificación y Diseño:</w:t>
      </w:r>
      <w:r>
        <w:rPr>
          <w:rFonts w:ascii="Times New Roman" w:hAnsi="Times New Roman"/>
          <w:color w:val="000000"/>
          <w:sz w:val="24"/>
        </w:rPr>
        <w:t xml:space="preserve"> Especificación de los alcances, elaboración de los casos de prueba de aceptación y preparación del entorno staging con la base de datos limpia y poblada.</w:t>
      </w:r>
    </w:p>
    <w:p>
      <w:pPr>
        <w:spacing w:before="0" w:after="120" w:line="480" w:lineRule="auto"/>
        <w:ind w:left="720"/>
      </w:pPr>
      <w:r>
        <w:rPr>
          <w:rFonts w:ascii="Times New Roman" w:hAnsi="Times New Roman"/>
          <w:b/>
          <w:color w:val="000000"/>
          <w:sz w:val="24"/>
        </w:rPr>
        <w:t xml:space="preserve">2. </w:t>
      </w:r>
      <w:r>
        <w:rPr>
          <w:rFonts w:ascii="Times New Roman" w:hAnsi="Times New Roman"/>
          <w:b/>
          <w:color w:val="000000"/>
          <w:sz w:val="24"/>
        </w:rPr>
        <w:t>Ejecución Automatizada:</w:t>
      </w:r>
      <w:r>
        <w:rPr>
          <w:rFonts w:ascii="Times New Roman" w:hAnsi="Times New Roman"/>
          <w:color w:val="000000"/>
          <w:sz w:val="24"/>
        </w:rPr>
        <w:t xml:space="preserve"> Corrida de la suite PHPUnit en terminal para validar la lógica del framework y middlewares.</w:t>
      </w:r>
    </w:p>
    <w:p>
      <w:pPr>
        <w:spacing w:before="0" w:after="120" w:line="480" w:lineRule="auto"/>
        <w:ind w:left="720"/>
      </w:pPr>
      <w:r>
        <w:rPr>
          <w:rFonts w:ascii="Times New Roman" w:hAnsi="Times New Roman"/>
          <w:b/>
          <w:color w:val="000000"/>
          <w:sz w:val="24"/>
        </w:rPr>
        <w:t xml:space="preserve">3. </w:t>
      </w:r>
      <w:r>
        <w:rPr>
          <w:rFonts w:ascii="Times New Roman" w:hAnsi="Times New Roman"/>
          <w:b/>
          <w:color w:val="000000"/>
          <w:sz w:val="24"/>
        </w:rPr>
        <w:t>Ejecución Manual:</w:t>
      </w:r>
      <w:r>
        <w:rPr>
          <w:rFonts w:ascii="Times New Roman" w:hAnsi="Times New Roman"/>
          <w:color w:val="000000"/>
          <w:sz w:val="24"/>
        </w:rPr>
        <w:t xml:space="preserve"> Evaluación guiada paso a paso de los flujos del paywall, onboarding multi-paso, control deportivo y visualizaciones de perfiles físicos.</w:t>
      </w:r>
    </w:p>
    <w:p>
      <w:pPr>
        <w:spacing w:before="0" w:after="120" w:line="480" w:lineRule="auto"/>
        <w:ind w:left="720"/>
      </w:pPr>
      <w:r>
        <w:rPr>
          <w:rFonts w:ascii="Times New Roman" w:hAnsi="Times New Roman"/>
          <w:b/>
          <w:color w:val="000000"/>
          <w:sz w:val="24"/>
        </w:rPr>
        <w:t xml:space="preserve">4. </w:t>
      </w:r>
      <w:r>
        <w:rPr>
          <w:rFonts w:ascii="Times New Roman" w:hAnsi="Times New Roman"/>
          <w:b/>
          <w:color w:val="000000"/>
          <w:sz w:val="24"/>
        </w:rPr>
        <w:t>Registro de Defectos:</w:t>
      </w:r>
      <w:r>
        <w:rPr>
          <w:rFonts w:ascii="Times New Roman" w:hAnsi="Times New Roman"/>
          <w:color w:val="000000"/>
          <w:sz w:val="24"/>
        </w:rPr>
        <w:t xml:space="preserve"> Documentación y categorización de incidencias. Los desarrolladores aplican parches y los evaluadores realizan un re-testeo de confirmación.</w:t>
      </w:r>
    </w:p>
    <w:p>
      <w:pPr>
        <w:spacing w:before="0" w:after="120" w:line="480" w:lineRule="auto"/>
        <w:ind w:left="720"/>
      </w:pPr>
      <w:r>
        <w:rPr>
          <w:rFonts w:ascii="Times New Roman" w:hAnsi="Times New Roman"/>
          <w:b/>
          <w:color w:val="000000"/>
          <w:sz w:val="24"/>
        </w:rPr>
        <w:t xml:space="preserve">5. </w:t>
      </w:r>
      <w:r>
        <w:rPr>
          <w:rFonts w:ascii="Times New Roman" w:hAnsi="Times New Roman"/>
          <w:b/>
          <w:color w:val="000000"/>
          <w:sz w:val="24"/>
        </w:rPr>
        <w:t>Cierre y Reporte:</w:t>
      </w:r>
      <w:r>
        <w:rPr>
          <w:rFonts w:ascii="Times New Roman" w:hAnsi="Times New Roman"/>
          <w:color w:val="000000"/>
          <w:sz w:val="24"/>
        </w:rPr>
        <w:t xml:space="preserve"> Generación del reporte de cobertura, cierre de incidentes y elaboración de las firmas de aceptación.</w:t>
      </w:r>
    </w:p>
    <w:p>
      <w:pPr>
        <w:keepNext/>
        <w:spacing w:before="280" w:after="160"/>
        <w:jc w:val="left"/>
      </w:pPr>
      <w:r>
        <w:rPr>
          <w:rFonts w:ascii="Times New Roman" w:hAnsi="Times New Roman"/>
          <w:b/>
          <w:color w:val="000000"/>
          <w:sz w:val="24"/>
        </w:rPr>
        <w:t>Criterios de Validación (Aprobación y Suspensión)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Criterios de Suspensión de Pruebas</w:t>
      </w:r>
    </w:p>
    <w:p>
      <w:pPr>
        <w:spacing w:before="0" w:after="240" w:line="480" w:lineRule="auto"/>
        <w:ind w:firstLine="720"/>
      </w:pPr>
      <w:r>
        <w:rPr>
          <w:rFonts w:ascii="Times New Roman" w:hAnsi="Times New Roman"/>
          <w:color w:val="000000"/>
          <w:sz w:val="24"/>
        </w:rPr>
        <w:t>El ciclo de pruebas se suspenderá de forma inmediata si ocurren caídas continuas en los motores de base de datos o Redis, si se identifican fallas críticas de inicio de sesión que bloqueen el acceso operativo general, o si se detecta una violación al aislamiento multi-tenant (acceso cruzado de datos). Las pruebas se retomarán una vez que el equipo de desarrollo aplique un parche correctivo estable.</w:t>
      </w:r>
    </w:p>
    <w:p>
      <w:pPr>
        <w:keepNext/>
        <w:spacing w:before="240" w:after="120"/>
        <w:jc w:val="left"/>
      </w:pPr>
      <w:r>
        <w:rPr>
          <w:rFonts w:ascii="Times New Roman" w:hAnsi="Times New Roman"/>
          <w:b/>
          <w:i/>
          <w:color w:val="000000"/>
          <w:sz w:val="24"/>
        </w:rPr>
        <w:t>Criterios de Aceptación / Aprobación (Pase a Producción)</w:t>
      </w:r>
    </w:p>
    <w:p>
      <w:pPr>
        <w:spacing w:before="0" w:after="240" w:line="480" w:lineRule="auto"/>
        <w:ind w:firstLine="720"/>
      </w:pPr>
      <w:r>
        <w:rPr>
          <w:rFonts w:ascii="Times New Roman" w:hAnsi="Times New Roman"/>
          <w:color w:val="000000"/>
          <w:sz w:val="24"/>
        </w:rPr>
        <w:t>Para autorizar la liberación del software al entorno productivo real, se deben cumplir obligatoriamente los siguientes parámetros de calidad detallados en la siguiente tabla:</w:t>
      </w:r>
    </w:p>
    <w:p>
      <w:pPr>
        <w:keepNext/>
        <w:spacing w:before="240" w:after="40"/>
      </w:pPr>
      <w:r>
        <w:rPr>
          <w:rFonts w:ascii="Times New Roman" w:hAnsi="Times New Roman"/>
          <w:b/>
          <w:sz w:val="24"/>
        </w:rPr>
        <w:t>Tabla 2</w:t>
      </w:r>
    </w:p>
    <w:p>
      <w:pPr>
        <w:keepNext/>
        <w:spacing w:before="0" w:after="120"/>
      </w:pPr>
      <w:r>
        <w:rPr>
          <w:rFonts w:ascii="Times New Roman" w:hAnsi="Times New Roman"/>
          <w:i/>
          <w:sz w:val="24"/>
        </w:rPr>
        <w:t>Métricas y criterios de aprobación para pase a producción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bottom w:val="single" w:sz="6" w:space="0" w:color="000000"/>
            </w:tcBorders>
          </w:tcPr>
          <w:p>
            <w:pPr>
              <w:keepNext/>
              <w:spacing w:before="80" w:after="80" w:line="240" w:lineRule="auto"/>
            </w:pPr>
            <w:r>
              <w:rPr>
                <w:rFonts w:ascii="Times New Roman" w:hAnsi="Times New Roman"/>
                <w:b/>
                <w:sz w:val="20"/>
              </w:rPr>
              <w:t>Métrica de Calidad</w:t>
            </w:r>
          </w:p>
        </w:tc>
        <w:tc>
          <w:tcPr>
            <w:tcW w:type="dxa" w:w="3120"/>
            <w:tcBorders>
              <w:bottom w:val="single" w:sz="6" w:space="0" w:color="000000"/>
            </w:tcBorders>
          </w:tcPr>
          <w:p>
            <w:pPr>
              <w:keepNext/>
              <w:spacing w:before="80" w:after="80" w:line="240" w:lineRule="auto"/>
            </w:pPr>
            <w:r>
              <w:rPr>
                <w:rFonts w:ascii="Times New Roman" w:hAnsi="Times New Roman"/>
                <w:b/>
                <w:sz w:val="20"/>
              </w:rPr>
              <w:t>Criterio de Aprobación</w:t>
            </w:r>
          </w:p>
        </w:tc>
        <w:tc>
          <w:tcPr>
            <w:tcW w:type="dxa" w:w="3120"/>
            <w:tcBorders>
              <w:bottom w:val="single" w:sz="6" w:space="0" w:color="000000"/>
            </w:tcBorders>
          </w:tcPr>
          <w:p>
            <w:pPr>
              <w:keepNext/>
              <w:spacing w:before="80" w:after="80" w:line="240" w:lineRule="auto"/>
            </w:pPr>
            <w:r>
              <w:rPr>
                <w:rFonts w:ascii="Times New Roman" w:hAnsi="Times New Roman"/>
                <w:b/>
                <w:sz w:val="20"/>
              </w:rPr>
              <w:t>Método de Validación</w:t>
            </w:r>
          </w:p>
        </w:tc>
      </w:tr>
      <w:tr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Éxito de Testing Unitario</w:t>
            </w:r>
          </w:p>
        </w:tc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100% de pruebas aprobadas</w:t>
            </w:r>
          </w:p>
        </w:tc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Ejecución del comando php artisan test.</w:t>
            </w:r>
          </w:p>
        </w:tc>
      </w:tr>
      <w:tr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Cobertura de Pruebas de Aceptación</w:t>
            </w:r>
          </w:p>
        </w:tc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100% de casos ejecutados</w:t>
            </w:r>
          </w:p>
        </w:tc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Conformidad en los escenarios del manual de aceptación.</w:t>
            </w:r>
          </w:p>
        </w:tc>
      </w:tr>
      <w:tr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Defectos Críticos (Alta Severidad)</w:t>
            </w:r>
          </w:p>
        </w:tc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0 abiertos</w:t>
            </w:r>
          </w:p>
        </w:tc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Reporte de incidencias limpio de bloqueos de seguridad o flujo.</w:t>
            </w:r>
          </w:p>
        </w:tc>
      </w:tr>
      <w:tr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Defectos de Severidad Media</w:t>
            </w:r>
          </w:p>
        </w:tc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Máximo 2 abiertos</w:t>
            </w:r>
          </w:p>
        </w:tc>
        <w:tc>
          <w:tcPr>
            <w:tcW w:type="dxa" w:w="3120"/>
          </w:tcPr>
          <w:p>
            <w:pPr>
              <w:spacing w:before="80" w:after="80" w:line="240" w:lineRule="auto"/>
            </w:pPr>
            <w:r>
              <w:rPr>
                <w:rFonts w:ascii="Times New Roman" w:hAnsi="Times New Roman"/>
                <w:sz w:val="20"/>
              </w:rPr>
              <w:t>Registrados con un plan formal de Hotfix programado post-lanzamiento.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360" w:after="240"/>
        <w:jc w:val="center"/>
      </w:pPr>
      <w:r>
        <w:rPr>
          <w:rFonts w:ascii="Times New Roman" w:hAnsi="Times New Roman"/>
          <w:b/>
          <w:color w:val="000000"/>
          <w:sz w:val="24"/>
        </w:rPr>
        <w:t>Referencias</w:t>
      </w:r>
    </w:p>
    <w:p>
      <w:pPr>
        <w:spacing w:before="0" w:after="160" w:line="480" w:lineRule="auto"/>
        <w:ind w:left="720" w:hanging="720"/>
      </w:pPr>
      <w:r>
        <w:rPr>
          <w:rFonts w:ascii="Times New Roman" w:hAnsi="Times New Roman"/>
          <w:sz w:val="24"/>
        </w:rPr>
        <w:t xml:space="preserve">IEEE Std 829-2008. </w:t>
      </w:r>
      <w:r>
        <w:rPr>
          <w:rFonts w:ascii="Times New Roman" w:hAnsi="Times New Roman"/>
          <w:i/>
          <w:sz w:val="24"/>
        </w:rPr>
        <w:t>IEEE Standard for Software and System Test Documentation</w:t>
      </w:r>
      <w:r>
        <w:rPr>
          <w:rFonts w:ascii="Times New Roman" w:hAnsi="Times New Roman"/>
          <w:sz w:val="24"/>
        </w:rPr>
        <w:t>. IEEE.</w:t>
      </w:r>
    </w:p>
    <w:p>
      <w:pPr>
        <w:spacing w:before="0" w:after="160" w:line="480" w:lineRule="auto"/>
        <w:ind w:left="720" w:hanging="720"/>
      </w:pPr>
      <w:r>
        <w:rPr>
          <w:rFonts w:ascii="Times New Roman" w:hAnsi="Times New Roman"/>
          <w:sz w:val="24"/>
        </w:rPr>
        <w:t xml:space="preserve">ISO/IEC/IEEE 29119-2:2021. </w:t>
      </w:r>
      <w:r>
        <w:rPr>
          <w:rFonts w:ascii="Times New Roman" w:hAnsi="Times New Roman"/>
          <w:i/>
          <w:sz w:val="24"/>
        </w:rPr>
        <w:t>Software and systems engineering — Software testing — Part 2: Test processes</w:t>
      </w:r>
      <w:r>
        <w:rPr>
          <w:rFonts w:ascii="Times New Roman" w:hAnsi="Times New Roman"/>
          <w:sz w:val="24"/>
        </w:rPr>
        <w:t>. ISO.</w:t>
      </w:r>
    </w:p>
    <w:p>
      <w:pPr>
        <w:spacing w:before="0" w:after="160" w:line="480" w:lineRule="auto"/>
        <w:ind w:left="720" w:hanging="720"/>
      </w:pPr>
      <w:r>
        <w:rPr>
          <w:rFonts w:ascii="Times New Roman" w:hAnsi="Times New Roman"/>
          <w:sz w:val="24"/>
        </w:rPr>
        <w:t xml:space="preserve">Laravel Framework 12.x. </w:t>
      </w:r>
      <w:r>
        <w:rPr>
          <w:rFonts w:ascii="Times New Roman" w:hAnsi="Times New Roman"/>
          <w:i/>
          <w:sz w:val="24"/>
        </w:rPr>
        <w:t>Testing and Quality Assurance Guides</w:t>
      </w:r>
      <w:r>
        <w:rPr>
          <w:rFonts w:ascii="Times New Roman" w:hAnsi="Times New Roman"/>
          <w:sz w:val="24"/>
        </w:rPr>
        <w:t>. https://laravel.com/docs/12.x/testing</w:t>
      </w:r>
    </w:p>
    <w:p>
      <w:pPr>
        <w:spacing w:before="0" w:after="160" w:line="480" w:lineRule="auto"/>
        <w:ind w:left="720" w:hanging="720"/>
      </w:pPr>
      <w:r>
        <w:rPr>
          <w:rFonts w:ascii="Times New Roman" w:hAnsi="Times New Roman"/>
          <w:sz w:val="24"/>
        </w:rPr>
        <w:t xml:space="preserve">PHPUnit Contributors. (2026). </w:t>
      </w:r>
      <w:r>
        <w:rPr>
          <w:rFonts w:ascii="Times New Roman" w:hAnsi="Times New Roman"/>
          <w:i/>
          <w:sz w:val="24"/>
        </w:rPr>
        <w:t>PHPUnit Manual (Version 11.5)</w:t>
      </w:r>
      <w:r>
        <w:rPr>
          <w:rFonts w:ascii="Times New Roman" w:hAnsi="Times New Roman"/>
          <w:sz w:val="24"/>
        </w:rPr>
        <w:t>. https://phpunit.de/manual.html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color w:val="787878"/>
        <w:sz w:val="20"/>
      </w:rPr>
      <w:fldChar w:fldCharType="begin"/>
      <w:instrText xml:space="preserve"> PAGE 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