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Napovedovanje cen nepremičnin – ML modeli v2</w:t>
      </w:r>
    </w:p>
    <w:p>
      <w:r>
        <w:rPr>
          <w:b w:val="0"/>
          <w:i/>
        </w:rPr>
        <w:t>Generirano: 14.05.2026 10:17  |  Podatki: C:\Users\berni\RiderProjects\UUI-lv2\nepremicnine\nepremicnine_export_prodaja.csv</w:t>
      </w:r>
    </w:p>
    <w:p/>
    <w:p>
      <w:pPr>
        <w:pStyle w:val="Heading1"/>
      </w:pPr>
      <w:r>
        <w:t>1. Podatki in predprocesiranje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Lastnost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Vir podatkov</w:t>
            </w:r>
          </w:p>
        </w:tc>
        <w:tc>
          <w:tcPr>
            <w:tcW w:type="dxa" w:w="4703"/>
          </w:tcPr>
          <w:p>
            <w:r>
              <w:t>C:\Users\berni\RiderProjects\UUI-lv2\nepremicnine\nepremicnine_export_prodaja.csv</w:t>
            </w:r>
          </w:p>
        </w:tc>
      </w:tr>
      <w:tr>
        <w:tc>
          <w:tcPr>
            <w:tcW w:type="dxa" w:w="4703"/>
          </w:tcPr>
          <w:p>
            <w:r>
              <w:t>Skupaj vzorcev (po čiščenju)</w:t>
            </w:r>
          </w:p>
        </w:tc>
        <w:tc>
          <w:tcPr>
            <w:tcW w:type="dxa" w:w="4703"/>
          </w:tcPr>
          <w:p>
            <w:r>
              <w:t>6672</w:t>
            </w:r>
          </w:p>
        </w:tc>
      </w:tr>
      <w:tr>
        <w:tc>
          <w:tcPr>
            <w:tcW w:type="dxa" w:w="4703"/>
          </w:tcPr>
          <w:p>
            <w:r>
              <w:t>Učna množica</w:t>
            </w:r>
          </w:p>
        </w:tc>
        <w:tc>
          <w:tcPr>
            <w:tcW w:type="dxa" w:w="4703"/>
          </w:tcPr>
          <w:p>
            <w:r>
              <w:t>5337</w:t>
            </w:r>
          </w:p>
        </w:tc>
      </w:tr>
      <w:tr>
        <w:tc>
          <w:tcPr>
            <w:tcW w:type="dxa" w:w="4703"/>
          </w:tcPr>
          <w:p>
            <w:r>
              <w:t>Testna množica</w:t>
            </w:r>
          </w:p>
        </w:tc>
        <w:tc>
          <w:tcPr>
            <w:tcW w:type="dxa" w:w="4703"/>
          </w:tcPr>
          <w:p>
            <w:r>
              <w:t>1335</w:t>
            </w:r>
          </w:p>
        </w:tc>
      </w:tr>
      <w:tr>
        <w:tc>
          <w:tcPr>
            <w:tcW w:type="dxa" w:w="4703"/>
          </w:tcPr>
          <w:p>
            <w:r>
              <w:t>Ciljna spremenljivka</w:t>
            </w:r>
          </w:p>
        </w:tc>
        <w:tc>
          <w:tcPr>
            <w:tcW w:type="dxa" w:w="4703"/>
          </w:tcPr>
          <w:p>
            <w:r>
              <w:t>log(Cena) → exp() za napoved v €</w:t>
            </w:r>
          </w:p>
        </w:tc>
      </w:tr>
      <w:tr>
        <w:tc>
          <w:tcPr>
            <w:tcW w:type="dxa" w:w="4703"/>
          </w:tcPr>
          <w:p>
            <w:r>
              <w:t>Min. cena</w:t>
            </w:r>
          </w:p>
        </w:tc>
        <w:tc>
          <w:tcPr>
            <w:tcW w:type="dxa" w:w="4703"/>
          </w:tcPr>
          <w:p>
            <w:r>
              <w:t>18,000 €</w:t>
            </w:r>
          </w:p>
        </w:tc>
      </w:tr>
      <w:tr>
        <w:tc>
          <w:tcPr>
            <w:tcW w:type="dxa" w:w="4703"/>
          </w:tcPr>
          <w:p>
            <w:r>
              <w:t>Max. cena</w:t>
            </w:r>
          </w:p>
        </w:tc>
        <w:tc>
          <w:tcPr>
            <w:tcW w:type="dxa" w:w="4703"/>
          </w:tcPr>
          <w:p>
            <w:r>
              <w:t>1,425,000 €</w:t>
            </w:r>
          </w:p>
        </w:tc>
      </w:tr>
      <w:tr>
        <w:tc>
          <w:tcPr>
            <w:tcW w:type="dxa" w:w="4703"/>
          </w:tcPr>
          <w:p>
            <w:r>
              <w:t>Mediana cene</w:t>
            </w:r>
          </w:p>
        </w:tc>
        <w:tc>
          <w:tcPr>
            <w:tcW w:type="dxa" w:w="4703"/>
          </w:tcPr>
          <w:p>
            <w:r>
              <w:t>237,724 €</w:t>
            </w:r>
          </w:p>
        </w:tc>
      </w:tr>
    </w:tbl>
    <w:p/>
    <w:p>
      <w:pPr>
        <w:pStyle w:val="Heading1"/>
      </w:pPr>
      <w:r>
        <w:t>2. Značilke (feature engineering)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Značilka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 obdelave</w:t>
            </w:r>
          </w:p>
        </w:tc>
      </w:tr>
      <w:tr>
        <w:tc>
          <w:tcPr>
            <w:tcW w:type="dxa" w:w="3135"/>
          </w:tcPr>
          <w:p>
            <w:r>
              <w:t>log_VelikostM2</w:t>
            </w:r>
          </w:p>
        </w:tc>
        <w:tc>
          <w:tcPr>
            <w:tcW w:type="dxa" w:w="3135"/>
          </w:tcPr>
          <w:p>
            <w:r>
              <w:t>log(1 + površina m²)</w:t>
            </w:r>
          </w:p>
        </w:tc>
        <w:tc>
          <w:tcPr>
            <w:tcW w:type="dxa" w:w="3135"/>
          </w:tcPr>
          <w:p>
            <w:r>
              <w:t>Numerična → log transformacija</w:t>
            </w:r>
          </w:p>
        </w:tc>
      </w:tr>
      <w:tr>
        <w:tc>
          <w:tcPr>
            <w:tcW w:type="dxa" w:w="3135"/>
          </w:tcPr>
          <w:p>
            <w:r>
              <w:t>log_ZemljisteM2</w:t>
            </w:r>
          </w:p>
        </w:tc>
        <w:tc>
          <w:tcPr>
            <w:tcW w:type="dxa" w:w="3135"/>
          </w:tcPr>
          <w:p>
            <w:r>
              <w:t>log(1 + zemljišče m²)</w:t>
            </w:r>
          </w:p>
        </w:tc>
        <w:tc>
          <w:tcPr>
            <w:tcW w:type="dxa" w:w="3135"/>
          </w:tcPr>
          <w:p>
            <w:r>
              <w:t>Numerična → log transformacija</w:t>
            </w:r>
          </w:p>
        </w:tc>
      </w:tr>
      <w:tr>
        <w:tc>
          <w:tcPr>
            <w:tcW w:type="dxa" w:w="3135"/>
          </w:tcPr>
          <w:p>
            <w:r>
              <w:t>StarostZgrade</w:t>
            </w:r>
          </w:p>
        </w:tc>
        <w:tc>
          <w:tcPr>
            <w:tcW w:type="dxa" w:w="3135"/>
          </w:tcPr>
          <w:p>
            <w:r>
              <w:t>2026 − leto gradnje</w:t>
            </w:r>
          </w:p>
        </w:tc>
        <w:tc>
          <w:tcPr>
            <w:tcW w:type="dxa" w:w="3135"/>
          </w:tcPr>
          <w:p>
            <w:r>
              <w:t>Numerična, izpeljana</w:t>
            </w:r>
          </w:p>
        </w:tc>
      </w:tr>
      <w:tr>
        <w:tc>
          <w:tcPr>
            <w:tcW w:type="dxa" w:w="3135"/>
          </w:tcPr>
          <w:p>
            <w:r>
              <w:t>StSob</w:t>
            </w:r>
          </w:p>
        </w:tc>
        <w:tc>
          <w:tcPr>
            <w:tcW w:type="dxa" w:w="3135"/>
          </w:tcPr>
          <w:p>
            <w:r>
              <w:t>Število sob</w:t>
            </w:r>
          </w:p>
        </w:tc>
        <w:tc>
          <w:tcPr>
            <w:tcW w:type="dxa" w:w="3135"/>
          </w:tcPr>
          <w:p>
            <w:r>
              <w:t>Numerična, imputacija z mediano</w:t>
            </w:r>
          </w:p>
        </w:tc>
      </w:tr>
      <w:tr>
        <w:tc>
          <w:tcPr>
            <w:tcW w:type="dxa" w:w="3135"/>
          </w:tcPr>
          <w:p>
            <w:r>
              <w:t>EnergetRazredNum</w:t>
            </w:r>
          </w:p>
        </w:tc>
        <w:tc>
          <w:tcPr>
            <w:tcW w:type="dxa" w:w="3135"/>
          </w:tcPr>
          <w:p>
            <w:r>
              <w:t>A+=8 ... G=1</w:t>
            </w:r>
          </w:p>
        </w:tc>
        <w:tc>
          <w:tcPr>
            <w:tcW w:type="dxa" w:w="3135"/>
          </w:tcPr>
          <w:p>
            <w:r>
              <w:t>Ordinalna kodiranje</w:t>
            </w:r>
          </w:p>
        </w:tc>
      </w:tr>
      <w:tr>
        <w:tc>
          <w:tcPr>
            <w:tcW w:type="dxa" w:w="3135"/>
          </w:tcPr>
          <w:p>
            <w:r>
              <w:t>VrstaObjekta_enc</w:t>
            </w:r>
          </w:p>
        </w:tc>
        <w:tc>
          <w:tcPr>
            <w:tcW w:type="dxa" w:w="3135"/>
          </w:tcPr>
          <w:p>
            <w:r>
              <w:t>Stanovanje / Hiša / ...</w:t>
            </w:r>
          </w:p>
        </w:tc>
        <w:tc>
          <w:tcPr>
            <w:tcW w:type="dxa" w:w="3135"/>
          </w:tcPr>
          <w:p>
            <w:r>
              <w:t>Target encoding (glajanje n=10)</w:t>
            </w:r>
          </w:p>
        </w:tc>
      </w:tr>
      <w:tr>
        <w:tc>
          <w:tcPr>
            <w:tcW w:type="dxa" w:w="3135"/>
          </w:tcPr>
          <w:p>
            <w:r>
              <w:t>Obcina_enc</w:t>
            </w:r>
          </w:p>
        </w:tc>
        <w:tc>
          <w:tcPr>
            <w:tcW w:type="dxa" w:w="3135"/>
          </w:tcPr>
          <w:p>
            <w:r>
              <w:t>Lokacija nepremičnine</w:t>
            </w:r>
          </w:p>
        </w:tc>
        <w:tc>
          <w:tcPr>
            <w:tcW w:type="dxa" w:w="3135"/>
          </w:tcPr>
          <w:p>
            <w:r>
              <w:t>Target encoding (glajanje n=10)</w:t>
            </w:r>
          </w:p>
        </w:tc>
      </w:tr>
      <w:tr>
        <w:tc>
          <w:tcPr>
            <w:tcW w:type="dxa" w:w="3135"/>
          </w:tcPr>
          <w:p>
            <w:r>
              <w:t>log_cena_m2_lokacija</w:t>
            </w:r>
          </w:p>
        </w:tc>
        <w:tc>
          <w:tcPr>
            <w:tcW w:type="dxa" w:w="3135"/>
          </w:tcPr>
          <w:p>
            <w:r>
              <w:t>log(mediana cene/m² po občini)</w:t>
            </w:r>
          </w:p>
        </w:tc>
        <w:tc>
          <w:tcPr>
            <w:tcW w:type="dxa" w:w="3135"/>
          </w:tcPr>
          <w:p>
            <w:r>
              <w:t>Lokacijski indeks iz train podatkov</w:t>
            </w:r>
          </w:p>
        </w:tc>
      </w:tr>
    </w:tbl>
    <w:p>
      <w:r>
        <w:rPr>
          <w:b w:val="0"/>
          <w:i/>
        </w:rPr>
        <w:t>Target encoding: encoded = (n·μ_kat + k·μ_glob) / (n + k)  pri k=10</w:t>
      </w:r>
    </w:p>
    <w:p/>
    <w:p>
      <w:pPr>
        <w:pStyle w:val="Heading1"/>
      </w:pPr>
      <w:r>
        <w:t>3. Modeli in metrike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MAE (€)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RMSE (€)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MAPE (%)</w:t>
            </w:r>
          </w:p>
        </w:tc>
        <w:tc>
          <w:tcPr>
            <w:tcW w:type="dxa" w:w="1568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1568"/>
          </w:tcPr>
          <w:p>
            <w:r>
              <w:t>Random Forest (GridSearchCV)</w:t>
            </w:r>
          </w:p>
        </w:tc>
        <w:tc>
          <w:tcPr>
            <w:tcW w:type="dxa" w:w="1568"/>
          </w:tcPr>
          <w:p>
            <w:r>
              <w:t>0.6324</w:t>
            </w:r>
          </w:p>
        </w:tc>
        <w:tc>
          <w:tcPr>
            <w:tcW w:type="dxa" w:w="1568"/>
          </w:tcPr>
          <w:p>
            <w:r>
              <w:t>93,177</w:t>
            </w:r>
          </w:p>
        </w:tc>
        <w:tc>
          <w:tcPr>
            <w:tcW w:type="dxa" w:w="1568"/>
          </w:tcPr>
          <w:p>
            <w:r>
              <w:t>152,014</w:t>
            </w:r>
          </w:p>
        </w:tc>
        <w:tc>
          <w:tcPr>
            <w:tcW w:type="dxa" w:w="1568"/>
          </w:tcPr>
          <w:p>
            <w:r>
              <w:t>49.8</w:t>
            </w:r>
          </w:p>
        </w:tc>
        <w:tc>
          <w:tcPr>
            <w:tcW w:type="dxa" w:w="1568"/>
          </w:tcPr>
          <w:p>
            <w:r>
              <w:t>0.7462</w:t>
            </w:r>
          </w:p>
        </w:tc>
      </w:tr>
      <w:tr>
        <w:tc>
          <w:tcPr>
            <w:tcW w:type="dxa" w:w="1568"/>
          </w:tcPr>
          <w:p>
            <w:r>
              <w:t>LightGBM</w:t>
            </w:r>
          </w:p>
        </w:tc>
        <w:tc>
          <w:tcPr>
            <w:tcW w:type="dxa" w:w="1568"/>
          </w:tcPr>
          <w:p>
            <w:r>
              <w:t>0.6234</w:t>
            </w:r>
          </w:p>
        </w:tc>
        <w:tc>
          <w:tcPr>
            <w:tcW w:type="dxa" w:w="1568"/>
          </w:tcPr>
          <w:p>
            <w:r>
              <w:t>95,439</w:t>
            </w:r>
          </w:p>
        </w:tc>
        <w:tc>
          <w:tcPr>
            <w:tcW w:type="dxa" w:w="1568"/>
          </w:tcPr>
          <w:p>
            <w:r>
              <w:t>153,852</w:t>
            </w:r>
          </w:p>
        </w:tc>
        <w:tc>
          <w:tcPr>
            <w:tcW w:type="dxa" w:w="1568"/>
          </w:tcPr>
          <w:p>
            <w:r>
              <w:t>48.1</w:t>
            </w:r>
          </w:p>
        </w:tc>
        <w:tc>
          <w:tcPr>
            <w:tcW w:type="dxa" w:w="1568"/>
          </w:tcPr>
          <w:p>
            <w:r>
              <w:t>0.7313</w:t>
            </w:r>
          </w:p>
        </w:tc>
      </w:tr>
      <w:tr>
        <w:tc>
          <w:tcPr>
            <w:tcW w:type="dxa" w:w="1568"/>
          </w:tcPr>
          <w:p>
            <w:r>
              <w:t>XGBoost</w:t>
            </w:r>
          </w:p>
        </w:tc>
        <w:tc>
          <w:tcPr>
            <w:tcW w:type="dxa" w:w="1568"/>
          </w:tcPr>
          <w:p>
            <w:r>
              <w:t>0.6231</w:t>
            </w:r>
          </w:p>
        </w:tc>
        <w:tc>
          <w:tcPr>
            <w:tcW w:type="dxa" w:w="1568"/>
          </w:tcPr>
          <w:p>
            <w:r>
              <w:t>95,779</w:t>
            </w:r>
          </w:p>
        </w:tc>
        <w:tc>
          <w:tcPr>
            <w:tcW w:type="dxa" w:w="1568"/>
          </w:tcPr>
          <w:p>
            <w:r>
              <w:t>153,917</w:t>
            </w:r>
          </w:p>
        </w:tc>
        <w:tc>
          <w:tcPr>
            <w:tcW w:type="dxa" w:w="1568"/>
          </w:tcPr>
          <w:p>
            <w:r>
              <w:t>50.3</w:t>
            </w:r>
          </w:p>
        </w:tc>
        <w:tc>
          <w:tcPr>
            <w:tcW w:type="dxa" w:w="1568"/>
          </w:tcPr>
          <w:p>
            <w:r>
              <w:t>0.7332</w:t>
            </w:r>
          </w:p>
        </w:tc>
      </w:tr>
      <w:tr>
        <w:tc>
          <w:tcPr>
            <w:tcW w:type="dxa" w:w="1568"/>
          </w:tcPr>
          <w:p>
            <w:r>
              <w:t>Ridge regresija (CV alpha)</w:t>
            </w:r>
          </w:p>
        </w:tc>
        <w:tc>
          <w:tcPr>
            <w:tcW w:type="dxa" w:w="1568"/>
          </w:tcPr>
          <w:p>
            <w:r>
              <w:t>0.4910</w:t>
            </w:r>
          </w:p>
        </w:tc>
        <w:tc>
          <w:tcPr>
            <w:tcW w:type="dxa" w:w="1568"/>
          </w:tcPr>
          <w:p>
            <w:r>
              <w:t>117,287</w:t>
            </w:r>
          </w:p>
        </w:tc>
        <w:tc>
          <w:tcPr>
            <w:tcW w:type="dxa" w:w="1568"/>
          </w:tcPr>
          <w:p>
            <w:r>
              <w:t>178,873</w:t>
            </w:r>
          </w:p>
        </w:tc>
        <w:tc>
          <w:tcPr>
            <w:tcW w:type="dxa" w:w="1568"/>
          </w:tcPr>
          <w:p>
            <w:r>
              <w:t>68.3</w:t>
            </w:r>
          </w:p>
        </w:tc>
        <w:tc>
          <w:tcPr>
            <w:tcW w:type="dxa" w:w="1568"/>
          </w:tcPr>
          <w:p>
            <w:r>
              <w:t>0.6369</w:t>
            </w:r>
          </w:p>
        </w:tc>
      </w:tr>
    </w:tbl>
    <w:p>
      <w:r>
        <w:rPr>
          <w:b/>
          <w:i w:val="0"/>
        </w:rPr>
        <w:br/>
        <w:t>Najboljši model: Random Forest (GridSearchCV)</w:t>
      </w:r>
    </w:p>
    <w:p>
      <w:r>
        <w:rPr>
          <w:b w:val="0"/>
          <w:i w:val="0"/>
        </w:rPr>
        <w:t>R² = 0.6324  |  MAE = 93,177 €  |  MAPE = 49.8 %</w:t>
      </w:r>
    </w:p>
    <w:p/>
    <w:p>
      <w:pPr>
        <w:pStyle w:val="Heading1"/>
      </w:pPr>
      <w:r>
        <w:t>4.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7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rjava_modelov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Primerjava R² in MAE vseh modelov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39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ovedano_vs_dejansko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Napovedano vs dejansko (Random Forest (GridSearchCV))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8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azdelitev_napak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Porazdelitev relativnih napak (%)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37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embnost_znacilk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Relativna pomembnost značilk</w:t>
      </w:r>
    </w:p>
    <w:p/>
    <w:p>
      <w:pPr>
        <w:pStyle w:val="Heading1"/>
      </w:pPr>
      <w:r>
        <w:t>5. Interpretacija rezultatov</w:t>
      </w:r>
    </w:p>
    <w:p>
      <w:r>
        <w:rPr>
          <w:b w:val="0"/>
          <w:i w:val="0"/>
        </w:rPr>
        <w:t>Lokacijski indeks (log_cena_m2_lokacija) je najpomembnejša značilka — lokacija nepremičnine pojasnuje največji del variance cene.</w:t>
      </w:r>
    </w:p>
    <w:p>
      <w:r>
        <w:rPr>
          <w:b w:val="0"/>
          <w:i w:val="0"/>
        </w:rPr>
        <w:t>Target encoding za občino zajame povprečno cenovno raven vsake lokacije brez tveganja data leakage (kodiranje samo iz učnih podatkov).</w:t>
      </w:r>
    </w:p>
    <w:p>
      <w:r>
        <w:rPr>
          <w:b w:val="0"/>
          <w:i w:val="0"/>
        </w:rPr>
        <w:t>XGBoost in LightGBM sta gradientno ojačana ansambla odločitvenih dreves — pri tabelarnih podatkih praviloma dosegata najboljše rezultate.</w:t>
      </w:r>
    </w:p>
    <w:p/>
    <w:p>
      <w:pPr>
        <w:pStyle w:val="Heading1"/>
      </w:pPr>
      <w:r>
        <w:t>6. Primer napovedi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Vrsta</w:t>
            </w:r>
          </w:p>
        </w:tc>
        <w:tc>
          <w:tcPr>
            <w:tcW w:type="dxa" w:w="4703"/>
          </w:tcPr>
          <w:p>
            <w:r>
              <w:t>Stanovanje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75 m²</w:t>
            </w:r>
          </w:p>
        </w:tc>
      </w:tr>
      <w:tr>
        <w:tc>
          <w:tcPr>
            <w:tcW w:type="dxa" w:w="4703"/>
          </w:tcPr>
          <w:p>
            <w:r>
              <w:t>Starost</w:t>
            </w:r>
          </w:p>
        </w:tc>
        <w:tc>
          <w:tcPr>
            <w:tcW w:type="dxa" w:w="4703"/>
          </w:tcPr>
          <w:p>
            <w:r>
              <w:t>20 let</w:t>
            </w:r>
          </w:p>
        </w:tc>
      </w:tr>
      <w:tr>
        <w:tc>
          <w:tcPr>
            <w:tcW w:type="dxa" w:w="4703"/>
          </w:tcPr>
          <w:p>
            <w:r>
              <w:t>Sobe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  <w:tr>
        <w:tc>
          <w:tcPr>
            <w:tcW w:type="dxa" w:w="4703"/>
          </w:tcPr>
          <w:p>
            <w:r>
              <w:t>Energetski razred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Občina</w:t>
            </w:r>
          </w:p>
        </w:tc>
        <w:tc>
          <w:tcPr>
            <w:tcW w:type="dxa" w:w="4703"/>
          </w:tcPr>
          <w:p>
            <w:r>
              <w:t>Ljubljana</w:t>
            </w:r>
          </w:p>
        </w:tc>
      </w:tr>
      <w:tr>
        <w:tc>
          <w:tcPr>
            <w:tcW w:type="dxa" w:w="4703"/>
          </w:tcPr>
          <w:p>
            <w:r>
              <w:t>Napoved</w:t>
            </w:r>
          </w:p>
        </w:tc>
        <w:tc>
          <w:tcPr>
            <w:tcW w:type="dxa" w:w="4703"/>
          </w:tcPr>
          <w:p>
            <w:r>
              <w:t>178,147 €</w:t>
            </w:r>
          </w:p>
        </w:tc>
      </w:tr>
      <w:tr>
        <w:tc>
          <w:tcPr>
            <w:tcW w:type="dxa" w:w="4703"/>
          </w:tcPr>
          <w:p>
            <w:r>
              <w:t>Interval (±MAPE)</w:t>
            </w:r>
          </w:p>
        </w:tc>
        <w:tc>
          <w:tcPr>
            <w:tcW w:type="dxa" w:w="4703"/>
          </w:tcPr>
          <w:p>
            <w:r>
              <w:t>89,503 – 266,791 €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Vrsta</w:t>
            </w:r>
          </w:p>
        </w:tc>
        <w:tc>
          <w:tcPr>
            <w:tcW w:type="dxa" w:w="4703"/>
          </w:tcPr>
          <w:p>
            <w:r>
              <w:t>Hiša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150 m²</w:t>
            </w:r>
          </w:p>
        </w:tc>
      </w:tr>
      <w:tr>
        <w:tc>
          <w:tcPr>
            <w:tcW w:type="dxa" w:w="4703"/>
          </w:tcPr>
          <w:p>
            <w:r>
              <w:t>Starost</w:t>
            </w:r>
          </w:p>
        </w:tc>
        <w:tc>
          <w:tcPr>
            <w:tcW w:type="dxa" w:w="4703"/>
          </w:tcPr>
          <w:p>
            <w:r>
              <w:t>30 let</w:t>
            </w:r>
          </w:p>
        </w:tc>
      </w:tr>
      <w:tr>
        <w:tc>
          <w:tcPr>
            <w:tcW w:type="dxa" w:w="4703"/>
          </w:tcPr>
          <w:p>
            <w:r>
              <w:t>Sobe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  <w:tr>
        <w:tc>
          <w:tcPr>
            <w:tcW w:type="dxa" w:w="4703"/>
          </w:tcPr>
          <w:p>
            <w:r>
              <w:t>Energetski razred</w:t>
            </w:r>
          </w:p>
        </w:tc>
        <w:tc>
          <w:tcPr>
            <w:tcW w:type="dxa" w:w="4703"/>
          </w:tcPr>
          <w:p>
            <w:r>
              <w:t>C</w:t>
            </w:r>
          </w:p>
        </w:tc>
      </w:tr>
      <w:tr>
        <w:tc>
          <w:tcPr>
            <w:tcW w:type="dxa" w:w="4703"/>
          </w:tcPr>
          <w:p>
            <w:r>
              <w:t>Občina</w:t>
            </w:r>
          </w:p>
        </w:tc>
        <w:tc>
          <w:tcPr>
            <w:tcW w:type="dxa" w:w="4703"/>
          </w:tcPr>
          <w:p>
            <w:r>
              <w:t>Kranj</w:t>
            </w:r>
          </w:p>
        </w:tc>
      </w:tr>
      <w:tr>
        <w:tc>
          <w:tcPr>
            <w:tcW w:type="dxa" w:w="4703"/>
          </w:tcPr>
          <w:p>
            <w:r>
              <w:t>Zemljišče</w:t>
            </w:r>
          </w:p>
        </w:tc>
        <w:tc>
          <w:tcPr>
            <w:tcW w:type="dxa" w:w="4703"/>
          </w:tcPr>
          <w:p>
            <w:r>
              <w:t>400 m²</w:t>
            </w:r>
          </w:p>
        </w:tc>
      </w:tr>
      <w:tr>
        <w:tc>
          <w:tcPr>
            <w:tcW w:type="dxa" w:w="4703"/>
          </w:tcPr>
          <w:p>
            <w:r>
              <w:t>Napoved</w:t>
            </w:r>
          </w:p>
        </w:tc>
        <w:tc>
          <w:tcPr>
            <w:tcW w:type="dxa" w:w="4703"/>
          </w:tcPr>
          <w:p>
            <w:r>
              <w:t>299,413 €</w:t>
            </w:r>
          </w:p>
        </w:tc>
      </w:tr>
      <w:tr>
        <w:tc>
          <w:tcPr>
            <w:tcW w:type="dxa" w:w="4703"/>
          </w:tcPr>
          <w:p>
            <w:r>
              <w:t>Interval (±MAPE)</w:t>
            </w:r>
          </w:p>
        </w:tc>
        <w:tc>
          <w:tcPr>
            <w:tcW w:type="dxa" w:w="4703"/>
          </w:tcPr>
          <w:p>
            <w:r>
              <w:t>150,428 – 448,397 €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