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课后反思</w:t>
      </w:r>
    </w:p>
    <w:p>
      <w:pPr>
        <w:pStyle w:val="Heading1"/>
      </w:pPr>
      <w:r>
        <w:t>操作性条件作用：课后反思</w:t>
      </w:r>
    </w:p>
    <w:p>
      <w:r>
        <w:t>这四项作为课后或下一次课的追加练习，不占已排满的 60 分钟课堂。第1问与课堂评价第4题考查同一要点，是另一次复习，不计入当堂评价分数。</w:t>
      </w:r>
    </w:p>
    <w:p>
      <w:pPr>
        <w:pStyle w:val="Heading2"/>
      </w:pPr>
      <w:r>
        <w:t>反思问题</w:t>
      </w:r>
    </w:p>
    <w:p>
      <w:r>
        <w:t>- 如果只知道目标行为后有刺激被移除，为什么仍不能区分负强化与负惩罚？还缺少哪一类记录？</w:t>
      </w:r>
    </w:p>
    <w:p>
      <w:r>
        <w:t>- 为什么暂停、系统维护或教师讲解不能自动算作一次“目标行为未出现”？错误计入会怎样影响比较？</w:t>
      </w:r>
    </w:p>
    <w:p>
      <w:r>
        <w:t>- 为什么必须确认下一独立机会前刺激已经复位？如果没有复位，哪些观察会变得难以解释？</w:t>
      </w:r>
    </w:p>
    <w:p>
      <w:r>
        <w:t>- 请用自己的话区分“记录显示刺激变化与行为次数共同变化”和“刺激造成行为变化”。</w:t>
      </w:r>
    </w:p>
    <w:p>
      <w:r>
        <w:t>*学生版不含答案*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