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课程内容 — 课程内容：操作性条件作用的二维判定与证据边界（教案）</w:t>
      </w:r>
    </w:p>
    <w:p>
      <w:pPr>
        <w:pStyle w:val="Heading1"/>
      </w:pPr>
      <w:r>
        <w:t>课程内容 — 课程内容：操作性条件作用的二维判定与证据边界（教案）</w:t>
      </w:r>
    </w:p>
    <w:p>
      <w:pPr>
        <w:pStyle w:val="Heading2"/>
      </w:pPr>
      <w:r>
        <w:t>教学目标</w:t>
      </w:r>
    </w:p>
    <w:p>
      <w:r>
        <w:t>- （g1）从固定机会记录中标出目标行为、每阶段活动数、每次独立机会数、行为后的刺激变化、下一机会前复位及暂停排除规则，并准确比较两阶段次数。</w:t>
      </w:r>
    </w:p>
    <w:p>
      <w:r>
        <w:t>- （g2）分别判断行为后刺激是加入还是移除、同一目标行为随后是增加还是减少，并据此使用完整术语区分正强化、负强化、正惩罚和负惩罚。</w:t>
      </w:r>
    </w:p>
    <w:p>
      <w:r>
        <w:t>- （g3）对新情境依次执行“界定行为与机会—判断刺激变化—比较行为变化—给出完整术语—限定证据强度”的判定程序，并用题设记录解释结论。</w:t>
      </w:r>
    </w:p>
    <w:p>
      <w:r>
        <w:t>- （g4）区分观察关联、时间先后与因果结论，指出未排除其他影响因素的前后阶段记录不能单独证明刺激变化造成行为变化。</w:t>
      </w:r>
    </w:p>
    <w:p>
      <w:pPr>
        <w:pStyle w:val="Heading2"/>
      </w:pPr>
      <w:r>
        <w:t>教学重点</w:t>
      </w:r>
    </w:p>
    <w:p>
      <w:r>
        <w:t>- 以两个独立维度完成分类：刺激加入或移除；同一目标行为随后增加或减少。</w:t>
      </w:r>
    </w:p>
    <w:p>
      <w:r>
        <w:t>- 使用完整中文术语：加入且增加为正强化，移除且增加为负强化，加入且减少为正惩罚，移除且减少为负惩罚。</w:t>
      </w:r>
    </w:p>
    <w:p>
      <w:r>
        <w:t>- 先界定可观察的目标行为和固定独立机会；暂停不计入机会，也不能记作一次目标行为未出现。</w:t>
      </w:r>
    </w:p>
    <w:p>
      <w:r>
        <w:t>- 核查短暂呈现或移除的刺激是否在下一独立机会前复位，避免把刺激后续撤走或恢复误当作分类所需的行为后变化。</w:t>
      </w:r>
    </w:p>
    <w:p>
      <w:r>
        <w:t>- 术语描述题设中的观察模式，不代表刺激的好坏或实施者意图；未排除替代因素时只陈述关联或共同变化，不作因果断言。</w:t>
      </w:r>
    </w:p>
    <w:p>
      <w:pPr>
        <w:pStyle w:val="Heading2"/>
      </w:pPr>
      <w:r>
        <w:t>教学难点</w:t>
      </w:r>
    </w:p>
    <w:p>
      <w:r>
        <w:t>- 学习者可能只依据刺激加入或移除分类，忽略同一目标行为随后增加还是减少。</w:t>
      </w:r>
    </w:p>
    <w:p>
      <w:r>
        <w:t>- 学习者可能把“正、负”解释为好坏，把“强化、惩罚”解释为实施者的奖励或处罚意图。</w:t>
      </w:r>
    </w:p>
    <w:p>
      <w:r>
        <w:t>- 学习者可能依据后果发生的时间先后直接推断因果，而不检查行为变化记录及未排除的其他因素。</w:t>
      </w:r>
    </w:p>
    <w:p>
      <w:r>
        <w:t>- 学习者可能把暂停记作目标行为未出现的机会，改变统计分母。</w:t>
      </w:r>
    </w:p>
    <w:p>
      <w:r>
        <w:t>- 学习者可能忽略刺激须在下一独立机会前复位，或把刺激呈现后的撤走当成主要刺激变化。</w:t>
      </w:r>
    </w:p>
    <w:p>
      <w:r>
        <w:t>- 刺激具有明显吸引或厌恶色彩时，学习者可能用刺激性质替代二维程序判断；此项为模型假设，须以实际作答核查。</w:t>
      </w:r>
    </w:p>
    <w:p>
      <w:pPr>
        <w:pStyle w:val="Heading2"/>
      </w:pPr>
      <w:r>
        <w:t>教学准备</w:t>
      </w:r>
    </w:p>
    <w:p>
      <w:r>
        <w:t>- 教师课前从学生学习单分别打印两套材料：先使用的不计分练习任务，以及单独装订的四道主评价材料；两套材料用途和发放时点不同，不表述为二选一。</w:t>
      </w:r>
    </w:p>
    <w:p>
      <w:r>
        <w:t>- 不计分练习材料在练习环节开始前发放，提供两个维度、判定步骤和观察表支架；观察表直接服务于当次作答，不要求学生另行重复抄写或完成另一轮相同题目。</w:t>
      </w:r>
    </w:p>
    <w:p>
      <w:r>
        <w:t>- 四道主评价材料在评价环节开始时才发放，此前不展示题目、选项、答案、评分细则或补救提示。评价材料严格采用sec1_hinge_pr、sec1_transfer_nr、sec1_formative_pp、sec1_reflection_np四题，不增删或改写人物、情境、数据和要求。</w:t>
      </w:r>
    </w:p>
    <w:p>
      <w:r>
        <w:t>- 准备唯一案例case1《提示卡与课堂插话记录》的投影或板面记录，明确标注其为虚构教学假设，并保留每阶段3次活动、每次10个独立机会、后阶段提示卡加入5秒后撤走、下一机会前复位及暂停不计机会等原始信息。</w:t>
      </w:r>
    </w:p>
    <w:p>
      <w:r>
        <w:t>- 准备二维分类图、独立机会时间线和五项评分记录表。四道主评价每题5分、共20分；按既定细则逐项记录行为与机会、刺激方向、行为方向、完整术语和因果边界。</w:t>
      </w:r>
    </w:p>
    <w:p>
      <w:r>
        <w:t>- 关于“斯金纳使用正强化训练实验鼠按压杠杆”的教材历史性表述，目前证据状态为“待依据指定教材原文核验”。本课不将其作为已核验事实讲授，也不据此扩展历史结论。</w:t>
      </w:r>
    </w:p>
    <w:p>
      <w:pPr>
        <w:pStyle w:val="Heading2"/>
      </w:pPr>
      <w:r>
        <w:t>教学过程</w:t>
      </w:r>
    </w:p>
    <w:p>
      <w:r>
        <w:t>| 环节 | 时间 | 教师活动 | 学生活动 | 教学意图 |</w:t>
      </w:r>
    </w:p>
    <w:p>
      <w:r>
        <w:t>|---|---|---|---|---|</w:t>
      </w:r>
    </w:p>
    <w:p>
      <w:r>
        <w:t>| 导入与证据状态说明 | 4 分钟 | 说明本课任务是依靠记录进行二维判定，而不是凭刺激好坏或实施者意图猜测。展示完整判定流程的空框架。对斯金纳相关教材历史表述明确标记“待依据指定教材原文核验”，本课不把该表述当作已确认的历史证据。 | 回忆行为、行为后刺激事件和后续行为表现的区别，口头指出“加入或移除”描述刺激方向而非价值判断。 | 激活先备知识，建立术语边界，并使历史性陈述的课堂处理与当前证据状态一致。 |</w:t>
      </w:r>
    </w:p>
    <w:p>
      <w:r>
        <w:t>| 界定目标行为、机会与记录规则 | 6 分钟 | 用记录框架示范如何圈出可观察的目标行为、预设独立机会和阶段数据；强调暂停不进入机会数，不能算作一次未出现行为，并用时间线标示下一机会前必须恢复初始刺激状态。 | 在空白记录框架中标出行为、机会、暂停和复位位置，核对固定且相同机会数是比较次数的前提。 | 对应g1，使统计单位、暂停排除和逐次复位规则先于术语分类得到明确。 |</w:t>
      </w:r>
    </w:p>
    <w:p>
      <w:r>
        <w:t>| 建立二维分类图 | 7 分钟 | 呈现“刺激加入或移除×同一行为增加或减少”的二维图，填写正强化、负强化、正惩罚、负惩罚四个完整中文术语；指出“正负”不表示好坏，“强化惩罚”不表示实施者意图。 | 沿两个维度逐格说明分类依据，并检查只知道刺激方向或只知道行为方向时为何不能完成分类。 | 对应g2，通过对比结构把两个维度分开，防止以刺激性质、道德评价或实施意图代替行为记录。 |</w:t>
      </w:r>
    </w:p>
    <w:p>
      <w:r>
        <w:t>| 唯一虚构案例分析 | 9 分钟 | 完整呈现case1《提示卡与课堂插话记录》，不改变案例事实。按顺序示范提取同一观察对象、目标行为、前后阶段各3次活动、每次10个机会、前阶段6、5、6次、后阶段4、3、2次、行为后加入提示卡、5秒后撤走、下一机会前复位及暂停排除。强调分类所依据的是行为后先加入提示卡，而不是5秒后的撤走。 | 使用案例观察表逐项核对数据和记录规则，比较同一目标行为的阶段变化，并按判定程序形成术语结论和证据限制。 | 对应g1、g2和g3，以唯一明示虚构案例展示完整程序，避免另造案例或重复题目。 |</w:t>
      </w:r>
    </w:p>
    <w:p>
      <w:r>
        <w:t>| 关联与因果边界 | 4 分钟 | 对照“记录显示刺激变化与行为次数共同变化”和“刺激导致行为变化”两类表述，要求学生指出题设尚未排除的其他影响因素。明确时间先后是记录的一部分，但不足以单独建立因果关系。 | 把越界的因果表述改写为不超过材料证据的关联表述，并说明还存在其他可能影响因素。 | 对应g4，使术语分类与因果推断分开，防止把前后观察直接升级为因果结论。 |</w:t>
      </w:r>
    </w:p>
    <w:p>
      <w:r>
        <w:t>| 不计分学习单练习 | 5 分钟 | 此时发放课前单独打印的练习任务，要求学生依照学习单支架完成两个维度和完整判定步骤。教师巡视时只提示回到目标行为、独立机会、刺激方向、行为方向和证据边界，不提前发放或透露四道主评价。 | 独立填写练习观察表并自查判定顺序；在提交前检查暂停排除、下一机会前复位、完整中文术语和因果限定是否齐全。 | 对应g1至g4，通过低风险练习执行完整程序，为独立评价做准备；本环节不计分，也不另设重复主问题。 |</w:t>
      </w:r>
    </w:p>
    <w:p>
      <w:r>
        <w:t>| 四道主评价与统一反馈 | 25 分钟 | 评价开始时才发放单独打印的四道主评价。前19分钟组织学生独立完成sec1_hinge_pr、sec1_transfer_nr、sec1_formative_pp和sec1_reflection_np，保持原有人物、情境、数据、题目标识及作答要求不变；作答过程中不逐题揭示答案。确认四题全部提交后，用后6分钟进行统一反馈，按每题5分的既定细则核对五项证据：目标行为与固定机会及复位规则、刺激变化方向、同一行为变化方向、完整术语、因果边界。记录每名学生需补救的具体项目，不把错误固化为学生标签。 | 在规定时间内独立完成并一次性提交四题，逐题说明目标行为、机会与暂停排除、复位、刺激方向、行为方向、完整术语和证据边界。全部提交后依据统一反馈，在个人评分记录中标记失分项目和对应补救任务，不在反馈前修改答案。 | 对应g1至g4，以四个不同情境检验四类术语的独立迁移。评价环节达到25分钟；反馈在全部提交后统一进行，有限课内时间只完成共性反馈，分支补救与完整复测另作额外安排。 |</w:t>
      </w:r>
    </w:p>
    <w:p>
      <w:pPr>
        <w:pStyle w:val="Heading2"/>
      </w:pPr>
      <w:r>
        <w:t>板书 / 画面设计</w:t>
      </w:r>
    </w:p>
    <w:p>
      <w:r>
        <w:t>左侧画“独立机会时间线”：机会开始时为统一初始状态→目标行为→行为后刺激加入或移除→短暂呈现或恢复→下一机会前复位；旁注“暂停≠机会，不能记作未出现行为”。中央画2×2二维图：列为刺激加入、刺激移除，行为为同一目标行为随后增加、随后减少；四格依次标注正强化、负强化、正惩罚、负惩罚。右侧写五步判定：①界定目标行为与有效机会；②核查暂停排除和复位；③判断刺激加入或移除；④比较同一行为增加或减少；⑤写完整术语并限定证据。底部写证据边界：“可描述时间先后或共同变化；未排除其他因素，不断言因果。”斯金纳相关教材历史表述单列“待依据指定教材原文核验”，不列为已证实结论。</w:t>
      </w:r>
    </w:p>
    <w:p>
      <w:pPr>
        <w:pStyle w:val="Heading2"/>
      </w:pPr>
      <w:r>
        <w:t>课后任务</w:t>
      </w:r>
    </w:p>
    <w:p>
      <w:r>
        <w:t>- 依据四题逐项评分结果完成按错误触发的针对性补救，预计每个触发项目3—5分钟：机会或复位错误者重画对应题的独立机会时间线；刺激方向错误者写明行为后原有状态及发生的加入或移除；行为方向错误者重新比较同一行为的两阶段次数；术语错误者回填二维图；因果越界者把“导致”改写为材料能够支持的关联表述。未触发的项目不要求重复完成。</w:t>
      </w:r>
    </w:p>
    <w:p>
      <w:r>
        <w:t>- 四道完整复测均安排在下一次课的额外时间，不计入本次60分钟：sec1_hinge_pr复测约4分钟，sec1_transfer_nr复测约4分钟，sec1_formative_pp复测约4分钟，sec1_reflection_np复测约5分钟，合计预计17分钟。教师按相应原定复测题和评分要求实施，不提前透露答案；复测用于确认学生能在新情境中再次执行完整程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