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变量的操作性定义与相关 — 随机程序与候选因果路径（教案）</w:t>
      </w:r>
    </w:p>
    <w:p>
      <w:pPr>
        <w:pStyle w:val="Heading1"/>
      </w:pPr>
      <w:r>
        <w:t>变量的操作性定义与相关 — 随机程序与候选因果路径（教案）</w:t>
      </w:r>
    </w:p>
    <w:p>
      <w:pPr>
        <w:pStyle w:val="Heading2"/>
      </w:pPr>
      <w:r>
        <w:t>教学目标</w:t>
      </w:r>
    </w:p>
    <w:p>
      <w:r>
        <w:t>- （g1）区分题干直接报告的相关、候选因果解释与尚不能推出的结论，并说明仅凭两个变量相关，不能断定一个导致另一个变化。</w:t>
      </w:r>
    </w:p>
    <w:p>
      <w:r>
        <w:t>- （g2）分别标出参与者如何进入样本、如何进入研究条件，据此区分随机分配与待核验的随机抽样程序，并谨慎说明推断边界。</w:t>
      </w:r>
    </w:p>
    <w:p>
      <w:r>
        <w:t>- （g3）从预先确定的随机机制、分配对象和研究条件三个方面审查分组程序，并说明随机分配不保证有限样本各组所有特征完全相同。</w:t>
      </w:r>
    </w:p>
    <w:p>
      <w:r>
        <w:t>- （g4）依据时间顺序和路径位置画出候选共同原因路径与候选中介路径，正确标注候选混淆变量和候选中介变量。</w:t>
      </w:r>
    </w:p>
    <w:p>
      <w:r>
        <w:t>- （g5）针对同一关联提出正向、反向或共同原因等候选解释，把越界因果表述改写为与证据相称的谨慎表述，并指出仍需补充的信息。</w:t>
      </w:r>
    </w:p>
    <w:p>
      <w:pPr>
        <w:pStyle w:val="Heading2"/>
      </w:pPr>
      <w:r>
        <w:t>教学重点</w:t>
      </w:r>
    </w:p>
    <w:p>
      <w:r>
        <w:t>- 使用“如何进入样本—如何进入研究条件”双问题框架区分两类程序；随机抽样的具体术语及精确推断边界标记为待核验。</w:t>
      </w:r>
    </w:p>
    <w:p>
      <w:r>
        <w:t>- 随机分配是使用预先确定的随机机制，将已纳入的参与者分配到研究条件；它不等于随机抽样，也不保证有限样本各组特征完全相同。</w:t>
      </w:r>
    </w:p>
    <w:p>
      <w:r>
        <w:t>- 候选混淆变量位于可能的共同原因位置；候选中介变量位于假设的暴露到结果的中间路径；两类角色均需时序、关系和研究设计证据支持。</w:t>
      </w:r>
    </w:p>
    <w:p>
      <w:r>
        <w:t>- 仅凭两个变量相关，不能断定一个导致另一个变化；候选路径不能写成已经证实的机制。</w:t>
      </w:r>
    </w:p>
    <w:p>
      <w:r>
        <w:t>- 结论应使用“可能”“与……一致但不能确认”“题干尚未排除”等谨慎措辞，并明确缺失的时序、操纵、分配或测量信息。</w:t>
      </w:r>
    </w:p>
    <w:p>
      <w:pPr>
        <w:pStyle w:val="Heading2"/>
      </w:pPr>
      <w:r>
        <w:t>教学难点</w:t>
      </w:r>
    </w:p>
    <w:p>
      <w:r>
        <w:t>- 避免把随机抽样和随机分配都简化为“随机选人”，忽略两种程序处理的对象不同。</w:t>
      </w:r>
    </w:p>
    <w:p>
      <w:r>
        <w:t>- 避免用组间人数相同代替对随机机制的检查，或认为随机分配保证组间所有特征完全相同、自动保证总体代表性。</w:t>
      </w:r>
    </w:p>
    <w:p>
      <w:r>
        <w:t>- 避免仅凭第三变量与暴露、结果有关联便确认其为混淆变量；还需检查其是否可能先于暴露并同时影响暴露与结果。</w:t>
      </w:r>
    </w:p>
    <w:p>
      <w:r>
        <w:t>- 避免仅凭叙述顺序或测量时间居中便确认中介变量；还需检查候选的“暴露影响中介、中介影响结果”路径。</w:t>
      </w:r>
    </w:p>
    <w:p>
      <w:r>
        <w:t>- 避免把一条合理的箭头路径当作已证实机制，并遗漏反向因果、共同原因及其他未排除解释。</w:t>
      </w:r>
    </w:p>
    <w:p>
      <w:pPr>
        <w:pStyle w:val="Heading2"/>
      </w:pPr>
      <w:r>
        <w:t>教学准备</w:t>
      </w:r>
    </w:p>
    <w:p>
      <w:r>
        <w:t>- 原案例case1的教师用文本与校园睡眠研究流程卡；保留原案例事实，不补充未报告的拒绝原因、组间特征、个体数据或统计结果。</w:t>
      </w:r>
    </w:p>
    <w:p>
      <w:r>
        <w:t>- 同一评价题集的学习单或独立评价打印视图二选一发放，包含sec2_hq1、sec2_fq2和sec2_rp3，不重复印制或改编主问题。</w:t>
      </w:r>
    </w:p>
    <w:p>
      <w:r>
        <w:t>- sec2_fq2配套观察表，栏目为“题干已报告”“候选路径”“时序与路径依据”“不能确认的结论”“仍需证据”；该表直接作为综合题作答支架。</w:t>
      </w:r>
    </w:p>
    <w:p>
      <w:r>
        <w:t>- 静态图示：校园睡眠案例的“进入邀请范围—同意参加—进入研究条件”流程图，以及不含具体人物、人数和答案的一般三节点候选路径图。</w:t>
      </w:r>
    </w:p>
    <w:p>
      <w:r>
        <w:t>- 计时工具、逐项评分记录表和错因标记表；按程序识别、路径结构、方向说明、证据边界和措辞谨慎分别记录部分分。</w:t>
      </w:r>
    </w:p>
    <w:p>
      <w:r>
        <w:t>- 所有教学图不展示园艺主评价情境、相关人数或参考答案；不准备PPT或动画。</w:t>
      </w:r>
    </w:p>
    <w:p>
      <w:pPr>
        <w:pStyle w:val="Heading2"/>
      </w:pPr>
      <w:r>
        <w:t>教学过程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环节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  <w:tc>
          <w:tcPr>
            <w:tcW w:type="dxa" w:w="1728"/>
          </w:tcPr>
          <w:p>
            <w:r>
              <w:t>教师活动</w:t>
            </w:r>
          </w:p>
        </w:tc>
        <w:tc>
          <w:tcPr>
            <w:tcW w:type="dxa" w:w="1728"/>
          </w:tcPr>
          <w:p>
            <w:r>
              <w:t>学生活动</w:t>
            </w:r>
          </w:p>
        </w:tc>
        <w:tc>
          <w:tcPr>
            <w:tcW w:type="dxa" w:w="1728"/>
          </w:tcPr>
          <w:p>
            <w:r>
              <w:t>教学意图</w:t>
            </w:r>
          </w:p>
        </w:tc>
      </w:tr>
      <w:tr>
        <w:tc>
          <w:tcPr>
            <w:tcW w:type="dxa" w:w="1728"/>
          </w:tcPr>
          <w:p>
            <w:r>
              <w:t>复习导入：相关与证据边界</w:t>
            </w:r>
          </w:p>
        </w:tc>
        <w:tc>
          <w:tcPr>
            <w:tcW w:type="dxa" w:w="1728"/>
          </w:tcPr>
          <w:p>
            <w:r>
              <w:t>4 分钟</w:t>
            </w:r>
          </w:p>
        </w:tc>
        <w:tc>
          <w:tcPr>
            <w:tcW w:type="dxa" w:w="1728"/>
          </w:tcPr>
          <w:p>
            <w:r>
              <w:t>简要检索“操作性定义”和“相关”的固定定义，引导学生把信息分为“观察到的关联”“候选解释”“尚不能推出的结论”。不新增评价题，不把规则外推为未经核验的心理学事实。</w:t>
            </w:r>
          </w:p>
        </w:tc>
        <w:tc>
          <w:tcPr>
            <w:tcW w:type="dxa" w:w="1728"/>
          </w:tcPr>
          <w:p>
            <w:r>
              <w:t>口头复述两个术语，使用“观察到—可能解释—尚不能确认”框架说明相关证据的边界。</w:t>
            </w:r>
          </w:p>
        </w:tc>
        <w:tc>
          <w:tcPr>
            <w:tcW w:type="dxa" w:w="1728"/>
          </w:tcPr>
          <w:p>
            <w:r>
              <w:t>激活先备知识，对应g1，并为候选因果解释建立谨慎表达框架。</w:t>
            </w:r>
          </w:p>
        </w:tc>
      </w:tr>
      <w:tr>
        <w:tc>
          <w:tcPr>
            <w:tcW w:type="dxa" w:w="1728"/>
          </w:tcPr>
          <w:p>
            <w:r>
              <w:t>案例分析：两次随机程序</w:t>
            </w:r>
          </w:p>
        </w:tc>
        <w:tc>
          <w:tcPr>
            <w:tcW w:type="dxa" w:w="1728"/>
          </w:tcPr>
          <w:p>
            <w:r>
              <w:t>7 分钟</w:t>
            </w:r>
          </w:p>
        </w:tc>
        <w:tc>
          <w:tcPr>
            <w:tcW w:type="dxa" w:w="1728"/>
          </w:tcPr>
          <w:p>
            <w:r>
              <w:t>呈现原校园睡眠案例case1及静态流程图，依次追问“谁进入邀请范围”“谁实际进入研究”“谁被分入研究条件”。讲明随机分配的固定定义；将随机抽样的具体术语及精确推断边界明确标为待核验。</w:t>
            </w:r>
          </w:p>
        </w:tc>
        <w:tc>
          <w:tcPr>
            <w:tcW w:type="dxa" w:w="1728"/>
          </w:tcPr>
          <w:p>
            <w:r>
              <w:t>在案例流程中分别标记名册抽取、同意参加和条件分配，识别两套预先设定的计算机随机程序所作用的不同对象。</w:t>
            </w:r>
          </w:p>
        </w:tc>
        <w:tc>
          <w:tcPr>
            <w:tcW w:type="dxa" w:w="1728"/>
          </w:tcPr>
          <w:p>
            <w:r>
              <w:t>通过双问题框架区分进入样本与进入条件，对应g2，并保留未参加环节带来的证据限制。</w:t>
            </w:r>
          </w:p>
        </w:tc>
      </w:tr>
      <w:tr>
        <w:tc>
          <w:tcPr>
            <w:tcW w:type="dxa" w:w="1728"/>
          </w:tcPr>
          <w:p>
            <w:r>
              <w:t>即时检查：sec2_hq1</w:t>
            </w:r>
          </w:p>
        </w:tc>
        <w:tc>
          <w:tcPr>
            <w:tcW w:type="dxa" w:w="1728"/>
          </w:tcPr>
          <w:p>
            <w:r>
              <w:t>4 分钟</w:t>
            </w:r>
          </w:p>
        </w:tc>
        <w:tc>
          <w:tcPr>
            <w:tcW w:type="dxa" w:w="1728"/>
          </w:tcPr>
          <w:p>
            <w:r>
              <w:t>发放并计时实施sec2_hq1；依据原评分规则逐项检查选择、两步程序说明及有限样本基线平衡边界。即时反馈仅处理公告栏招募、随机分配、人数相同和效果证据四类核心错因，不展开完整复测。</w:t>
            </w:r>
          </w:p>
        </w:tc>
        <w:tc>
          <w:tcPr>
            <w:tcW w:type="dxa" w:w="1728"/>
          </w:tcPr>
          <w:p>
            <w:r>
              <w:t>独立作答sec2_hq1并说明哪一步决定进入样本、哪一步决定进入条件，以及随机分配是否保证基线特征完全平衡。</w:t>
            </w:r>
          </w:p>
        </w:tc>
        <w:tc>
          <w:tcPr>
            <w:tcW w:type="dxa" w:w="1728"/>
          </w:tcPr>
          <w:p>
            <w:r>
              <w:t>形成关键判断点，诊断g2、g3和g5相关错因，并保留部分分证据。</w:t>
            </w:r>
          </w:p>
        </w:tc>
      </w:tr>
      <w:tr>
        <w:tc>
          <w:tcPr>
            <w:tcW w:type="dxa" w:w="1728"/>
          </w:tcPr>
          <w:p>
            <w:r>
              <w:t>程序审查：随机分配的三个检查点</w:t>
            </w:r>
          </w:p>
        </w:tc>
        <w:tc>
          <w:tcPr>
            <w:tcW w:type="dxa" w:w="1728"/>
          </w:tcPr>
          <w:p>
            <w:r>
              <w:t>5 分钟</w:t>
            </w:r>
          </w:p>
        </w:tc>
        <w:tc>
          <w:tcPr>
            <w:tcW w:type="dxa" w:w="1728"/>
          </w:tcPr>
          <w:p>
            <w:r>
              <w:t>以原校园睡眠案例完整示范检查“是否有预先确定的随机机制—分配对象是否为已纳入参与者—是否分入研究条件”，随后撤去部分提示，比较随机机制与方便分组、交替分组、自选条件的程序差异；不另设题目。</w:t>
            </w:r>
          </w:p>
        </w:tc>
        <w:tc>
          <w:tcPr>
            <w:tcW w:type="dxa" w:w="1728"/>
          </w:tcPr>
          <w:p>
            <w:r>
              <w:t>使用三个检查点复述程序判断依据，并纠正“人数相同即可证明随机分配”“随机分配保证样本代表总体或各组完全相同”等表述。</w:t>
            </w:r>
          </w:p>
        </w:tc>
        <w:tc>
          <w:tcPr>
            <w:tcW w:type="dxa" w:w="1728"/>
          </w:tcPr>
          <w:p>
            <w:r>
              <w:t>落实g3的程序审查步骤，使判断依据不依赖最终人数或标签。</w:t>
            </w:r>
          </w:p>
        </w:tc>
      </w:tr>
      <w:tr>
        <w:tc>
          <w:tcPr>
            <w:tcW w:type="dxa" w:w="1728"/>
          </w:tcPr>
          <w:p>
            <w:r>
              <w:t>静态双编码：候选共同原因与候选中间路径</w:t>
            </w:r>
          </w:p>
        </w:tc>
        <w:tc>
          <w:tcPr>
            <w:tcW w:type="dxa" w:w="1728"/>
          </w:tcPr>
          <w:p>
            <w:r>
              <w:t>7 分钟</w:t>
            </w:r>
          </w:p>
        </w:tc>
        <w:tc>
          <w:tcPr>
            <w:tcW w:type="dxa" w:w="1728"/>
          </w:tcPr>
          <w:p>
            <w:r>
              <w:t>使用一般三节点静态图讲解两种结构：候选共同原因分别指向暴露与结果；暴露经候选中介变量指向结果。强调每条箭头均为候选关系，并示范检查时序、路径位置和缺失证据。图中不出现园艺主评价情境、人数或答案。</w:t>
            </w:r>
          </w:p>
        </w:tc>
        <w:tc>
          <w:tcPr>
            <w:tcW w:type="dxa" w:w="1728"/>
          </w:tcPr>
          <w:p>
            <w:r>
              <w:t>对照两种图式，指出第三变量的位置、必要的箭头方向及需要核验的时序和变量关系；用完整术语“混淆变量”“中介变量”表达候选角色。</w:t>
            </w:r>
          </w:p>
        </w:tc>
        <w:tc>
          <w:tcPr>
            <w:tcW w:type="dxa" w:w="1728"/>
          </w:tcPr>
          <w:p>
            <w:r>
              <w:t>以文字和静态图共同支持g4，防止凭叙述顺序或单一相关确认变量角色。</w:t>
            </w:r>
          </w:p>
        </w:tc>
      </w:tr>
      <w:tr>
        <w:tc>
          <w:tcPr>
            <w:tcW w:type="dxa" w:w="1728"/>
          </w:tcPr>
          <w:p>
            <w:r>
              <w:t>主评价：sec2_fq2</w:t>
            </w:r>
          </w:p>
        </w:tc>
        <w:tc>
          <w:tcPr>
            <w:tcW w:type="dxa" w:w="1728"/>
          </w:tcPr>
          <w:p>
            <w:r>
              <w:t>10 分钟</w:t>
            </w:r>
          </w:p>
        </w:tc>
        <w:tc>
          <w:tcPr>
            <w:tcW w:type="dxa" w:w="1728"/>
          </w:tcPr>
          <w:p>
            <w:r>
              <w:t>使用原题sec2_fq2及其观察表组织独立作答；按原11分规则对候选共同原因结构、候选中介链、时序与路径依据、候选措辞、证据边界、所需证据和“证据不足不等于没有作用”逐项评分。集中反馈只示范如何检查箭头、时间线和措辞，不另造情境或第二轮题目。</w:t>
            </w:r>
          </w:p>
        </w:tc>
        <w:tc>
          <w:tcPr>
            <w:tcW w:type="dxa" w:w="1728"/>
          </w:tcPr>
          <w:p>
            <w:r>
              <w:t>在观察表中完成两条候选路径，标注候选角色，解释时序与路径位置，说明现有信息不能确认的结论，并列出至少两项仍需证据。</w:t>
            </w:r>
          </w:p>
        </w:tc>
        <w:tc>
          <w:tcPr>
            <w:tcW w:type="dxa" w:w="1728"/>
          </w:tcPr>
          <w:p>
            <w:r>
              <w:t>收集g1、g4和g5的主评价证据，以逐项评分支持部分分和错因定位。</w:t>
            </w:r>
          </w:p>
        </w:tc>
      </w:tr>
      <w:tr>
        <w:tc>
          <w:tcPr>
            <w:tcW w:type="dxa" w:w="1728"/>
          </w:tcPr>
          <w:p>
            <w:r>
              <w:t>因果效应与谨慎措辞归纳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  <w:tc>
          <w:tcPr>
            <w:tcW w:type="dxa" w:w="1728"/>
          </w:tcPr>
          <w:p>
            <w:r>
              <w:t>归纳同一关联可能对应正向、反向、共同原因及其他未排除解释；对照“导致”“证明”与“可能”“与……一致但不能确认”等表达，要求指出应补充的时序、操纵、分配或测量信息。</w:t>
            </w:r>
          </w:p>
        </w:tc>
        <w:tc>
          <w:tcPr>
            <w:tcW w:type="dxa" w:w="1728"/>
          </w:tcPr>
          <w:p>
            <w:r>
              <w:t>依据刚完成的sec2_fq2，把一条越界表述口头改写为候选表述，并指出一类仍缺失的信息。</w:t>
            </w:r>
          </w:p>
        </w:tc>
        <w:tc>
          <w:tcPr>
            <w:tcW w:type="dxa" w:w="1728"/>
          </w:tcPr>
          <w:p>
            <w:r>
              <w:t>整合g5，使路径模型、证据强度和报告措辞保持一致。</w:t>
            </w:r>
          </w:p>
        </w:tc>
      </w:tr>
      <w:tr>
        <w:tc>
          <w:tcPr>
            <w:tcW w:type="dxa" w:w="1728"/>
          </w:tcPr>
          <w:p>
            <w:r>
              <w:t>反思迁移：sec2_rp3</w:t>
            </w:r>
          </w:p>
        </w:tc>
        <w:tc>
          <w:tcPr>
            <w:tcW w:type="dxa" w:w="1728"/>
          </w:tcPr>
          <w:p>
            <w:r>
              <w:t>5 分钟</w:t>
            </w:r>
          </w:p>
        </w:tc>
        <w:tc>
          <w:tcPr>
            <w:tcW w:type="dxa" w:w="1728"/>
          </w:tcPr>
          <w:p>
            <w:r>
              <w:t>仅通过二选一发放的评价打印材料实施原题sec2_rp3，不在板书或教学图中呈现该园艺情境、人数或答案。按修订后的6分规则收取作答；本时段只做简短边界提醒，完整补救与复测移至课后或下一次课。</w:t>
            </w:r>
          </w:p>
        </w:tc>
        <w:tc>
          <w:tcPr>
            <w:tcW w:type="dxa" w:w="1728"/>
          </w:tcPr>
          <w:p>
            <w:r>
              <w:t>独立完成sec2_rp3，区分两次程序，说明组间平衡、干预效果和未参加环节的证据边界，并解释名册覆盖范围为什么影响代表性判断。</w:t>
            </w:r>
          </w:p>
        </w:tc>
        <w:tc>
          <w:tcPr>
            <w:tcW w:type="dxa" w:w="1728"/>
          </w:tcPr>
          <w:p>
            <w:r>
              <w:t>取得g2、g3和g5的迁移证据，同时避免在有限课时内同时展开所有补救分支。</w:t>
            </w:r>
          </w:p>
        </w:tc>
      </w:tr>
    </w:tbl>
    <w:p>
      <w:pPr>
        <w:pStyle w:val="Heading2"/>
      </w:pPr>
      <w:r>
        <w:t>板书 / 画面设计</w:t>
      </w:r>
    </w:p>
    <w:p>
      <w:r>
        <w:t>左区写“双问题”：①谁如何进入样本？②已纳入者如何进入研究条件？中区绘制原校园睡眠案例的静态流程：本科生名册→随机编号抽取受邀者→同意参加者→预先确定的随机机制→晚间提醒条件／无提醒条件，并标注“拒绝原因、组间其他特征、个体数据与统计结果未报告”。右区绘制两个一般静态图：候选共同原因C→X、C→Y；候选中间路径X→M→Y；所有箭头上方标“候选，需证据”。底部列出“相关≠单独确立因果或方向”“随机分配≠随机抽样”“不保证有限样本各组完全相同”“可能／与……一致但不能确认／尚需时序、操纵、分配或测量信息”。随机抽样具体术语及精确推断边界标“待核验”。板书不呈现园艺主评价情境、人数或答案。</w:t>
      </w:r>
    </w:p>
    <w:p>
      <w:pPr>
        <w:pStyle w:val="Heading2"/>
      </w:pPr>
      <w:r>
        <w:t>课后任务</w:t>
      </w:r>
    </w:p>
    <w:p>
      <w:r>
        <w:t>- 按sec2_hq1错因触发补救：把“进入样本”和“进入条件”分别重新标记，指出招募对象、已纳入参与者和随机机制；随后完成原题集中的sec2_hq1新情境复测，额外预计3分钟，不计入课内45分钟。</w:t>
      </w:r>
    </w:p>
    <w:p>
      <w:r>
        <w:t>- 按sec2_fq2错因触发补救：路径错误者先重建时间线，再检查共同原因的两支箭头和暴露至结果的中间链；因果越界者把定论改为候选措辞并补充至少两项所需证据；随后完成原题集中的sec2_fq2新情境复测，额外预计6分钟，不计入课内45分钟。</w:t>
      </w:r>
    </w:p>
    <w:p>
      <w:r>
        <w:t>- 按sec2_rp3错因触发补救：使用“从谁中抽取谁”和“把谁分到哪里”重写两次程序，逐项标出题干已报告与未报告的信息；随后完成原题集中的sec2_rp3新情境复测，额外预计8分钟，不计入课内45分钟。</w:t>
      </w:r>
    </w:p>
    <w:p>
      <w:r>
        <w:t>- 未触发相应错因的学生只订正本节逐项失分处，不重复完成同目标复测；教师依据复测表现分别记录程序识别、路径结构、方向说明、证据边界和措辞谨慎的变化。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