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变量的操作性定义与相关 — 相关、随机程序与候选因果路径学习单 学习单（学生版）</w:t>
      </w:r>
    </w:p>
    <w:p>
      <w:pPr>
        <w:pStyle w:val="Heading1"/>
      </w:pPr>
      <w:r>
        <w:t>变量的操作性定义与相关 — 相关、随机程序与候选因果路径学习单 学习单（学生版）</w:t>
      </w:r>
    </w:p>
    <w:p>
      <w:r>
        <w:t>按任务顺序完成。所有案例均为虚构。区分题干已经报告的观察、可能的解释和尚不能确认的结论；不得补造未报告的数据或变量关系。涉及因果角色时使用“候选”“可能”等谨慎措辞。关于随机抽样的具体术语及精确推断边界统一标记为“待核验”。主评价题由系统依据 assessment_refs 插入，按原题要求独立作答。</w:t>
      </w:r>
    </w:p>
    <w:p>
      <w:pPr>
        <w:pStyle w:val="Heading2"/>
      </w:pPr>
      <w:r>
        <w:t>本课案例（教学虚构）</w:t>
      </w:r>
    </w:p>
    <w:p>
      <w:r>
        <w:t>本案例完全虚构。教学假设是：一周晚间提醒程序可能影响大学生下一周的睡眠时长。研究团队先从某校本科生名册中使用预先设定的计算机随机编号程序抽取200人并发出邀请，其中120人同意参加；受邀但未同意者没有进入研究。随后，研究团队使用另一套预先设定的计算机随机程序，把这120名参与者分入“晚间提醒”条件或“无提醒”条件。睡眠时长的操作性定义为参与者连续七天佩戴设备记录的每夜睡眠分钟数。观察记录显示，两组各有60人，但题干未报告参与者拒绝邀请的原因、两组其他特征、个体睡眠数据或组间统计结果。关于随机抽样的具体术语及其推断边界，仍待依据完整指定来源核验。</w:t>
      </w:r>
    </w:p>
    <w:p>
      <w:pPr>
        <w:pStyle w:val="Heading2"/>
      </w:pPr>
      <w:r>
        <w:t>术语参照</w:t>
      </w:r>
    </w:p>
    <w:p>
      <w:pPr>
        <w:pStyle w:val="Heading3"/>
      </w:pPr>
      <w:r>
        <w:t>操作性定义</w:t>
      </w:r>
    </w:p>
    <w:p>
      <w:r>
        <w:t>对研究变量如何被测量或操作作出具体、可检验的描述。</w:t>
      </w:r>
    </w:p>
    <w:p>
      <w:pPr>
        <w:pStyle w:val="Heading3"/>
      </w:pPr>
      <w:r>
        <w:t>相关</w:t>
      </w:r>
    </w:p>
    <w:p>
      <w:r>
        <w:t>两个或多个变量之间的统计关联；仅凭两个变量相关，不能断定一个导致另一个变化。</w:t>
      </w:r>
    </w:p>
    <w:p>
      <w:pPr>
        <w:pStyle w:val="Heading3"/>
      </w:pPr>
      <w:r>
        <w:t>随机分配</w:t>
      </w:r>
    </w:p>
    <w:p>
      <w:r>
        <w:t>在本课案例中，使用预先设定的随机机制，将已纳入的参与者分配到研究条件。</w:t>
      </w:r>
    </w:p>
    <w:p>
      <w:pPr>
        <w:pStyle w:val="Heading3"/>
      </w:pPr>
      <w:r>
        <w:t>混淆变量</w:t>
      </w:r>
    </w:p>
    <w:p>
      <w:r>
        <w:t>本课路径图中的候选混淆变量处于共同原因位置，可能影响暴露与结果；具体变量的角色需要额外证据确认。</w:t>
      </w:r>
    </w:p>
    <w:p>
      <w:pPr>
        <w:pStyle w:val="Heading3"/>
      </w:pPr>
      <w:r>
        <w:t>中介变量</w:t>
      </w:r>
    </w:p>
    <w:p>
      <w:r>
        <w:t>在假设的暴露或自变量影响结果的因果路径上，可能受暴露影响并进一步影响结果的中间变量；其角色和方向需要证据支持。</w:t>
      </w:r>
    </w:p>
    <w:p>
      <w:pPr>
        <w:pStyle w:val="Heading2"/>
      </w:pPr>
      <w:r>
        <w:t>任务 1：【课堂练习；对应目标g1、g5】完成两个简短复习任务：（1）把“睡眠时长”写成可检验的操作性定义；（2）使用“观察到—可能解释—尚不能确认”框架，改写“学习时间与成绩相关，所以学习时间一定提高成绩”。不得增加题干未给出的研究结果。</w:t>
      </w:r>
    </w:p>
    <w:p>
      <w:pPr>
        <w:pStyle w:val="Heading2"/>
      </w:pPr>
      <w:r>
        <w:t>任务 2：【课堂练习；对应目标g2、g3、g5】阅读晚间提醒案例，按流程记录每个阶段的对象、程序、已知观察和证据边界。只记录题干信息；未报告的内容填写“未记录”，不适用的内容填写“不适用”。检查随机分配时，依次查看：是否使用预先确定的随机机制、对象是否为已纳入参与者、是否被分入研究条件。关于随机抽样的具体术语及精确推断边界填写“待核验”。</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条目</w:t>
            </w:r>
          </w:p>
        </w:tc>
        <w:tc>
          <w:tcPr>
            <w:tcW w:type="dxa" w:w="1440"/>
          </w:tcPr>
          <w:p>
            <w:r>
              <w:t>阶段</w:t>
            </w:r>
          </w:p>
        </w:tc>
        <w:tc>
          <w:tcPr>
            <w:tcW w:type="dxa" w:w="1440"/>
          </w:tcPr>
          <w:p>
            <w:r>
              <w:t>作用对象</w:t>
            </w:r>
          </w:p>
        </w:tc>
        <w:tc>
          <w:tcPr>
            <w:tcW w:type="dxa" w:w="1440"/>
          </w:tcPr>
          <w:p>
            <w:r>
              <w:t>程序或进入方式</w:t>
            </w:r>
          </w:p>
        </w:tc>
        <w:tc>
          <w:tcPr>
            <w:tcW w:type="dxa" w:w="1440"/>
          </w:tcPr>
          <w:p>
            <w:r>
              <w:t>题干已报告的观察</w:t>
            </w:r>
          </w:p>
        </w:tc>
        <w:tc>
          <w:tcPr>
            <w:tcW w:type="dxa" w:w="1440"/>
          </w:tcPr>
          <w:p>
            <w:r>
              <w:t>当前不能确认的内容</w:t>
            </w:r>
          </w:p>
        </w:tc>
      </w:tr>
      <w:tr>
        <w:trPr>
          <w:trHeight w:val="397" w:hRule="atLeast"/>
        </w:trPr>
        <w:tc>
          <w:tcPr>
            <w:tcW w:type="dxa" w:w="1440"/>
          </w:tcPr>
          <w:p>
            <w:r>
              <w:t>从名册产生受邀者</w:t>
            </w:r>
          </w:p>
        </w:tc>
        <w:tc>
          <w:tcPr>
            <w:tcW w:type="dxa" w:w="1440"/>
          </w:tcPr>
          <w:p>
            <w:r/>
          </w:p>
        </w:tc>
        <w:tc>
          <w:tcPr>
            <w:tcW w:type="dxa" w:w="1440"/>
          </w:tcPr>
          <w:p>
            <w:r/>
          </w:p>
        </w:tc>
        <w:tc>
          <w:tcPr>
            <w:tcW w:type="dxa" w:w="1440"/>
          </w:tcPr>
          <w:p>
            <w:r/>
          </w:p>
        </w:tc>
        <w:tc>
          <w:tcPr>
            <w:tcW w:type="dxa" w:w="1440"/>
          </w:tcPr>
          <w:p>
            <w:r/>
          </w:p>
        </w:tc>
        <w:tc>
          <w:tcPr>
            <w:tcW w:type="dxa" w:w="1440"/>
          </w:tcPr>
          <w:p>
            <w:r/>
          </w:p>
        </w:tc>
      </w:tr>
      <w:tr>
        <w:trPr>
          <w:trHeight w:val="397" w:hRule="atLeast"/>
        </w:trPr>
        <w:tc>
          <w:tcPr>
            <w:tcW w:type="dxa" w:w="1440"/>
          </w:tcPr>
          <w:p>
            <w:r>
              <w:t>从受邀到同意参加</w:t>
            </w:r>
          </w:p>
        </w:tc>
        <w:tc>
          <w:tcPr>
            <w:tcW w:type="dxa" w:w="1440"/>
          </w:tcPr>
          <w:p>
            <w:r/>
          </w:p>
        </w:tc>
        <w:tc>
          <w:tcPr>
            <w:tcW w:type="dxa" w:w="1440"/>
          </w:tcPr>
          <w:p>
            <w:r/>
          </w:p>
        </w:tc>
        <w:tc>
          <w:tcPr>
            <w:tcW w:type="dxa" w:w="1440"/>
          </w:tcPr>
          <w:p>
            <w:r/>
          </w:p>
        </w:tc>
        <w:tc>
          <w:tcPr>
            <w:tcW w:type="dxa" w:w="1440"/>
          </w:tcPr>
          <w:p>
            <w:r/>
          </w:p>
        </w:tc>
        <w:tc>
          <w:tcPr>
            <w:tcW w:type="dxa" w:w="1440"/>
          </w:tcPr>
          <w:p>
            <w:r/>
          </w:p>
        </w:tc>
      </w:tr>
      <w:tr>
        <w:trPr>
          <w:trHeight w:val="397" w:hRule="atLeast"/>
        </w:trPr>
        <w:tc>
          <w:tcPr>
            <w:tcW w:type="dxa" w:w="1440"/>
          </w:tcPr>
          <w:p>
            <w:r>
              <w:t>把参与者分入条件</w:t>
            </w:r>
          </w:p>
        </w:tc>
        <w:tc>
          <w:tcPr>
            <w:tcW w:type="dxa" w:w="1440"/>
          </w:tcPr>
          <w:p>
            <w:r/>
          </w:p>
        </w:tc>
        <w:tc>
          <w:tcPr>
            <w:tcW w:type="dxa" w:w="1440"/>
          </w:tcPr>
          <w:p>
            <w:r/>
          </w:p>
        </w:tc>
        <w:tc>
          <w:tcPr>
            <w:tcW w:type="dxa" w:w="1440"/>
          </w:tcPr>
          <w:p>
            <w:r/>
          </w:p>
        </w:tc>
        <w:tc>
          <w:tcPr>
            <w:tcW w:type="dxa" w:w="1440"/>
          </w:tcPr>
          <w:p>
            <w:r/>
          </w:p>
        </w:tc>
        <w:tc>
          <w:tcPr>
            <w:tcW w:type="dxa" w:w="1440"/>
          </w:tcPr>
          <w:p>
            <w:r/>
          </w:p>
        </w:tc>
      </w:tr>
      <w:tr>
        <w:trPr>
          <w:trHeight w:val="397" w:hRule="atLeast"/>
        </w:trPr>
        <w:tc>
          <w:tcPr>
            <w:tcW w:type="dxa" w:w="1440"/>
          </w:tcPr>
          <w:p>
            <w:r>
              <w:t>睡眠结果测量与比较</w:t>
            </w:r>
          </w:p>
        </w:tc>
        <w:tc>
          <w:tcPr>
            <w:tcW w:type="dxa" w:w="1440"/>
          </w:tcPr>
          <w:p>
            <w:r/>
          </w:p>
        </w:tc>
        <w:tc>
          <w:tcPr>
            <w:tcW w:type="dxa" w:w="1440"/>
          </w:tcPr>
          <w:p>
            <w:r/>
          </w:p>
        </w:tc>
        <w:tc>
          <w:tcPr>
            <w:tcW w:type="dxa" w:w="1440"/>
          </w:tcPr>
          <w:p>
            <w:r/>
          </w:p>
        </w:tc>
        <w:tc>
          <w:tcPr>
            <w:tcW w:type="dxa" w:w="1440"/>
          </w:tcPr>
          <w:p>
            <w:r/>
          </w:p>
        </w:tc>
        <w:tc>
          <w:tcPr>
            <w:tcW w:type="dxa" w:w="1440"/>
          </w:tcPr>
          <w:p>
            <w:r/>
          </w:p>
        </w:tc>
      </w:tr>
    </w:tbl>
    <w:p>
      <w:pPr>
        <w:pStyle w:val="Heading2"/>
      </w:pPr>
      <w:r>
        <w:t>任务 3：独立完成即时检查。先选择最准确的判断，再按题目要求分别指出决定谁进入样本的步骤、决定谁进入条件的步骤，并说明随机分配对有限样本基线特征平衡的证据边界。</w:t>
      </w:r>
    </w:p>
    <w:p>
      <w:pPr>
        <w:pStyle w:val="Heading3"/>
      </w:pPr>
      <w:r>
        <w:t>主评价 1</w:t>
      </w:r>
    </w:p>
    <w:p>
      <w:r>
        <w:t>【新评价情境】一项完全虚构的研究考察四周记忆练习程序的效果。研究者在校园公告栏招募到80名自愿参加者，再使用预先设定的计算机随机数程序，把这80人分入“记忆练习”条件或“常规活动”条件。题干没有报告两组基线特征、实际练习完成情况或结果数据。以下哪项判断最准确？ 请同时说明哪一步决定谁进入样本、哪一步决定谁进入条件，以及随机分配是否保证各组基线背景特征完全平衡。</w:t>
      </w:r>
    </w:p>
    <w:p>
      <w:r>
        <w:t>A. 公告栏招募是随机抽样，因此80人必然代表全校学生</w:t>
      </w:r>
    </w:p>
    <w:p>
      <w:r>
        <w:t>B. 这项研究对已参加者实施了随机分配。</w:t>
      </w:r>
    </w:p>
    <w:p>
      <w:r>
        <w:t>C. 只要两组人数相同，就能确认研究使用了随机分配</w:t>
      </w:r>
    </w:p>
    <w:p>
      <w:r>
        <w:t>D. 随机分配已经证明记忆练习有效，即使题干没有提供结果数据</w:t>
      </w:r>
    </w:p>
    <w:p>
      <w:r>
        <w:t>作答：________________</w:t>
      </w:r>
    </w:p>
    <w:p>
      <w:pPr>
        <w:pStyle w:val="Heading2"/>
      </w:pPr>
      <w:r>
        <w:t>任务 4：独立完成主评价及其综合题记录表。只在该记录表中作答一次：写出两条候选路径，标注候选角色和箭头方向，依据时间顺序与路径位置解释，并记录现有信息不能确认的结论及至少两项仍需证据。不得另行抄写或重复回答同一题。</w:t>
      </w:r>
    </w:p>
    <w:p>
      <w:pPr>
        <w:pStyle w:val="Heading3"/>
      </w:pPr>
      <w:r>
        <w:t>主评价 2</w:t>
      </w:r>
    </w:p>
    <w:p>
      <w:r>
        <w:t>【新评价情境】一项完全虚构的观察研究记录大学新生是否自愿参加晨间学习小组，以及学期末按统一规则计分的测验成绩。研究者还记录了入学前的学习规划习惯和参加小组两周后的每周复习分钟数。题干仅报告“参加小组”与“较高测验成绩”存在相关，没有随机分配，除上述相关外，未报告这些变量之间的其他统计关系。请完成两项任务：（1）分别画出或用箭头写出两条候选路径，判断每个变量的候选角色，并依据时间顺序和路径位置解释判断；（2）说明现有信息能否确认这些角色或确认晨间小组提高了成绩，并指出至少两项还需获得的设计或测量证据。 同时说明证据不足是否等于没有作用。</w:t>
      </w:r>
    </w:p>
    <w:tbl>
      <w:tblPr>
        <w:tblStyle w:val="TableGrid"/>
        <w:tblW w:type="auto" w:w="0"/>
        <w:tblLook w:firstColumn="1" w:firstRow="1" w:lastColumn="0" w:lastRow="0" w:noHBand="0" w:noVBand="1" w:val="04A0"/>
      </w:tblPr>
      <w:tblGrid>
        <w:gridCol w:w="4320"/>
        <w:gridCol w:w="4320"/>
      </w:tblGrid>
      <w:tr>
        <w:tc>
          <w:tcPr>
            <w:tcW w:type="dxa" w:w="4320"/>
          </w:tcPr>
          <w:p>
            <w:r>
              <w:t>作答要点</w:t>
            </w:r>
          </w:p>
        </w:tc>
        <w:tc>
          <w:tcPr>
            <w:tcW w:type="dxa" w:w="4320"/>
          </w:tcPr>
          <w:p>
            <w:r>
              <w:t>记录</w:t>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r>
        <w:trPr>
          <w:trHeight w:val="397" w:hRule="atLeast"/>
        </w:trPr>
        <w:tc>
          <w:tcPr>
            <w:tcW w:type="dxa" w:w="4320"/>
          </w:tcPr>
          <w:p>
            <w:r/>
          </w:p>
        </w:tc>
        <w:tc>
          <w:tcPr>
            <w:tcW w:type="dxa" w:w="4320"/>
          </w:tcPr>
          <w:p>
            <w:r/>
          </w:p>
        </w:tc>
      </w:tr>
    </w:tbl>
    <w:p>
      <w:pPr>
        <w:pStyle w:val="Heading2"/>
      </w:pPr>
      <w:r>
        <w:t>任务 5：独立完成反思与迁移任务。区分两次随机程序的对象；解释基线和效果为何不能直接确认，并说明未参加和名册覆盖范围对代表性判断的影响。不得补造题干未报告的信息。</w:t>
      </w:r>
    </w:p>
    <w:p>
      <w:pPr>
        <w:pStyle w:val="Heading3"/>
      </w:pPr>
      <w:r>
        <w:t>主评价 3</w:t>
      </w:r>
    </w:p>
    <w:p>
      <w:r>
        <w:t>【反思与迁移】完全虚构的校园园艺研究先从某校本科生名册中用预先设定的计算机随机编号程序抽取240人并邀请，其中144人同意参加；随后用另一套预先设定的计算机随机程序，把144名参与者分入“提供植物养护清单”或“常规资料”条件，两组各72人。题干没有报告名册对全校本科生的覆盖范围、未参加或未回应的原因、两组其他特征、养护记录或组间统计结果。请向一名把两次“随机”混为一谈的学习者写一段说明：分别指出两次程序针对哪些人；解释为何既不能断言组间基线完全平衡，也不能断言已不平衡，也不能断言干预有效；结合未参加环节说明最终样本代表性为什么不能直接确认，并说明名册覆盖范围为什么会影响代表性判断。建议120至180字，字数不计分。</w:t>
      </w:r>
    </w:p>
    <w:p>
      <w:r>
        <w:t>作答：________________</w:t>
      </w:r>
    </w:p>
    <w:p>
      <w:pPr>
        <w:pStyle w:val="Heading2"/>
      </w:pPr>
      <w:r>
        <w:t>反思问题</w:t>
      </w:r>
    </w:p>
    <w:p>
      <w:r>
        <w:t>- 当一项研究只报告两个变量相关时，你会用什么措辞区分“候选因果解释”和“已经证实的结论”？</w:t>
      </w:r>
    </w:p>
    <w:p>
      <w:r>
        <w:t>- 检查一项分组程序时，为什么最终人数相同不能替代对预先确定的随机机制的检查？</w:t>
      </w:r>
    </w:p>
    <w:p>
      <w:r>
        <w:t>- 一个变量在时间上先于暴露或位于暴露与结果之间，为什么仍不足以确认它是混淆变量或中介变量？还需要什么证据？</w:t>
      </w:r>
    </w:p>
    <w:p>
      <w:r>
        <w:t>- 证据不足为什么不等于已经证明某个变量没有作用？</w:t>
      </w:r>
    </w:p>
    <w:p>
      <w:r>
        <w:t>*学生版不含答案*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