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第一课时 · 任务 4</w:t>
      </w:r>
    </w:p>
    <w:p>
      <w:pPr>
        <w:pStyle w:val="Heading2"/>
      </w:pPr>
      <w:r>
        <w:t>任务 4：【课末主评价】独立完成综合题。直接在题目所附作答支架中填写两个变量的操作性定义、证据边界和甲乙样本的方向判断；该记录表就是本题作答支架，不需要另行抄写或重复作答。主研究未报告的信息须标为“待核验”。</w:t>
      </w:r>
    </w:p>
    <w:p>
      <w:pPr>
        <w:pStyle w:val="Heading3"/>
      </w:pPr>
      <w:r>
        <w:t>主评价 2</w:t>
      </w:r>
    </w:p>
    <w:p>
      <w:r>
        <w:t>【课末主评价题】一个虚构研究小组询问：“图书馆停留时间与当日资料检索表现是否相关？”研究对象是自愿参加的本校一年级学生，连续三个学习日记录数据；研究者不操纵任何变量。请按本课“可观察指标、记录或计分规则、时间范围”的模板，分别为两个变量写出具体、可检验且原则上可重复执行的操作性定义，并说明如果研究摘要只报告“存在关联”，仅凭这种设计最多可以作出哪一类结论，并分别说明结论的样本和时间范围、能否直接推广、因果结论是否已获支持，以及哪些统计信息未报告。对上述图书馆研究，不得补写题干未报告的信息；另指出一项有助于进一步检验因果效应的设计或测量信息。 另有两个独立的虚构样本：甲样本中停留时间较长者的检索得分倾向较高；乙样本中停留时间较长者的检索得分倾向较低。分别判断两个样本中所述关联的方向。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作答要点</w:t>
            </w:r>
          </w:p>
        </w:tc>
        <w:tc>
          <w:tcPr>
            <w:tcW w:type="dxa" w:w="4320"/>
          </w:tcPr>
          <w:p>
            <w:r>
              <w:t>记录</w:t>
            </w:r>
          </w:p>
        </w:tc>
      </w:tr>
      <w:tr>
        <w:trPr>
          <w:trHeight w:val="397" w:hRule="atLeast"/>
        </w:trP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rPr>
          <w:trHeight w:val="397" w:hRule="atLeast"/>
        </w:trP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rPr>
          <w:trHeight w:val="397" w:hRule="atLeast"/>
        </w:trP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rPr>
          <w:trHeight w:val="397" w:hRule="atLeast"/>
        </w:trP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rPr>
          <w:trHeight w:val="397" w:hRule="atLeast"/>
        </w:trP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rPr>
          <w:trHeight w:val="397" w:hRule="atLeast"/>
        </w:trP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