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第二课时 · 任务 2</w:t>
      </w:r>
    </w:p>
    <w:p>
      <w:pPr>
        <w:pStyle w:val="Heading2"/>
      </w:pPr>
      <w:r>
        <w:t>任务 2：【课堂练习；对应目标 2、3、5】阅读晚间提醒案例，按流程记录每个阶段的对象、程序、已知观察和证据边界。只记录题干信息；未报告的内容填写“未记录”，不适用的内容填写“不适用”。检查随机分配时，依次查看：是否使用预先确定的随机机制、对象是否为已纳入参与者、是否被分入研究条件。关于随机抽样的具体术语及精确推断边界填写“待核验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条目</w:t>
            </w:r>
          </w:p>
        </w:tc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作用对象</w:t>
            </w:r>
          </w:p>
        </w:tc>
        <w:tc>
          <w:tcPr>
            <w:tcW w:type="dxa" w:w="1440"/>
          </w:tcPr>
          <w:p>
            <w:r>
              <w:t>程序或进入方式</w:t>
            </w:r>
          </w:p>
        </w:tc>
        <w:tc>
          <w:tcPr>
            <w:tcW w:type="dxa" w:w="1440"/>
          </w:tcPr>
          <w:p>
            <w:r>
              <w:t>题干已报告的观察</w:t>
            </w:r>
          </w:p>
        </w:tc>
        <w:tc>
          <w:tcPr>
            <w:tcW w:type="dxa" w:w="1440"/>
          </w:tcPr>
          <w:p>
            <w:r>
              <w:t>当前不能确认的内容</w:t>
            </w:r>
          </w:p>
        </w:tc>
      </w:tr>
      <w:tr>
        <w:trPr>
          <w:trHeight w:val="397" w:hRule="atLeast"/>
        </w:trPr>
        <w:tc>
          <w:tcPr>
            <w:tcW w:type="dxa" w:w="1440"/>
          </w:tcPr>
          <w:p>
            <w:r>
              <w:t>从名册产生受邀者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1440"/>
          </w:tcPr>
          <w:p>
            <w:r>
              <w:t>从受邀到同意参加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1440"/>
          </w:tcPr>
          <w:p>
            <w:r>
              <w:t>把参与者分入条件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rPr>
          <w:trHeight w:val="397" w:hRule="atLeast"/>
        </w:trPr>
        <w:tc>
          <w:tcPr>
            <w:tcW w:type="dxa" w:w="1440"/>
          </w:tcPr>
          <w:p>
            <w:r>
              <w:t>睡眠结果测量与比较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