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第二课时 · 任务 5</w:t>
      </w:r>
    </w:p>
    <w:p>
      <w:pPr>
        <w:pStyle w:val="Heading2"/>
      </w:pPr>
      <w:r>
        <w:t>任务 5：独立完成反思与迁移任务。区分两次随机程序的对象；解释基线和效果为何不能直接确认，并说明未参加和名册覆盖范围对代表性判断的影响。不得补造题干未报告的信息。</w:t>
      </w:r>
    </w:p>
    <w:p>
      <w:pPr>
        <w:pStyle w:val="Heading3"/>
      </w:pPr>
      <w:r>
        <w:t>主评价 3</w:t>
      </w:r>
    </w:p>
    <w:p>
      <w:r>
        <w:t>【反思与迁移】完全虚构的校园园艺研究先从某校本科生名册中用预先设定的计算机随机编号程序抽取240人并邀请，其中144人同意参加；随后用另一套预先设定的计算机随机程序，把144名参与者分入“提供植物养护清单”或“常规资料”条件，两组各72人。题干没有报告名册对全校本科生的覆盖范围、未参加或未回应的原因、两组其他特征、养护记录或组间统计结果。请向一名把两次“随机”混为一谈的学习者写一段说明：分别指出两次程序针对哪些人；解释为何既不能断言组间基线完全平衡，也不能断言已不平衡，也不能断言干预有效；结合未参加环节说明最终样本代表性为什么不能直接确认，并说明名册覆盖范围为什么会影响代表性判断。建议120至180字，字数不计分。</w:t>
      </w:r>
    </w:p>
    <w:p>
      <w:r>
        <w:t>作答：________________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