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第二课时 · 反思问题</w:t>
      </w:r>
    </w:p>
    <w:p>
      <w:pPr>
        <w:pStyle w:val="Heading2"/>
      </w:pPr>
      <w:r>
        <w:t>反思问题</w:t>
      </w:r>
    </w:p>
    <w:p>
      <w:r>
        <w:t>- 当一项研究只报告两个变量相关时，你会用什么措辞区分“候选因果解释”和“已经证实的结论”？</w:t>
      </w:r>
    </w:p>
    <w:p>
      <w:r>
        <w:t>- 检查一项分组程序时，为什么最终人数相同不能替代对预先确定的随机机制的检查？</w:t>
      </w:r>
    </w:p>
    <w:p>
      <w:r>
        <w:t>- 一个变量在时间上先于暴露或位于暴露与结果之间，为什么仍不足以确认它是混淆变量或中介变量？还需要什么证据？</w:t>
      </w:r>
    </w:p>
    <w:p>
      <w:r>
        <w:t>- 证据不足为什么不等于已经证明某个变量没有作用？</w:t>
      </w:r>
    </w:p>
    <w:p>
      <w:r>
        <w:t>*学生版不含答案*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