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1971950"/>
        <w:docPartObj>
          <w:docPartGallery w:val="Cover Pages"/>
          <w:docPartUnique/>
        </w:docPartObj>
      </w:sdtPr>
      <w:sdtContent>
        <w:p w14:paraId="19CB8F22" w14:textId="3D1F1596" w:rsidR="00ED7695" w:rsidRDefault="00ED7695" w:rsidP="008305AA">
          <w:pPr>
            <w:jc w:val="both"/>
          </w:pPr>
          <w:r>
            <w:rPr>
              <w:noProof/>
            </w:rPr>
            <mc:AlternateContent>
              <mc:Choice Requires="wpg">
                <w:drawing>
                  <wp:anchor distT="0" distB="0" distL="114300" distR="114300" simplePos="0" relativeHeight="251662336" behindDoc="0" locked="0" layoutInCell="1" allowOverlap="1" wp14:anchorId="313EDD53" wp14:editId="53BD880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4C014D7"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82169D0" wp14:editId="6C8BFB6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79AD4F" w14:textId="3236195E" w:rsidR="00ED7695" w:rsidRDefault="00ED769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Haberleşme ekibi                 6 aralık toplantı raporu</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1FA8A4A" w14:textId="22A81243" w:rsidR="00ED7695" w:rsidRDefault="00ED7695">
                                    <w:pPr>
                                      <w:jc w:val="right"/>
                                      <w:rPr>
                                        <w:smallCaps/>
                                        <w:color w:val="404040" w:themeColor="text1" w:themeTint="BF"/>
                                        <w:sz w:val="36"/>
                                        <w:szCs w:val="36"/>
                                      </w:rPr>
                                    </w:pPr>
                                    <w:r>
                                      <w:rPr>
                                        <w:color w:val="404040" w:themeColor="text1" w:themeTint="BF"/>
                                        <w:sz w:val="36"/>
                                        <w:szCs w:val="36"/>
                                      </w:rPr>
                                      <w:t>HYDROCAT HABERLEŞME EKİBİ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82169D0" id="_x0000_t202" coordsize="21600,21600" o:spt="202" path="m,l,21600r21600,l21600,xe">
                    <v:stroke joinstyle="miter"/>
                    <v:path gradientshapeok="t" o:connecttype="rect"/>
                  </v:shapetype>
                  <v:shape id="Text Box 54" o:spid="_x0000_s1026"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4779AD4F" w14:textId="3236195E" w:rsidR="00ED7695" w:rsidRDefault="00ED769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Haberleşme ekibi                 6 aralık toplantı raporu</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1FA8A4A" w14:textId="22A81243" w:rsidR="00ED7695" w:rsidRDefault="00ED7695">
                              <w:pPr>
                                <w:jc w:val="right"/>
                                <w:rPr>
                                  <w:smallCaps/>
                                  <w:color w:val="404040" w:themeColor="text1" w:themeTint="BF"/>
                                  <w:sz w:val="36"/>
                                  <w:szCs w:val="36"/>
                                </w:rPr>
                              </w:pPr>
                              <w:r>
                                <w:rPr>
                                  <w:color w:val="404040" w:themeColor="text1" w:themeTint="BF"/>
                                  <w:sz w:val="36"/>
                                  <w:szCs w:val="36"/>
                                </w:rPr>
                                <w:t>HYDROCAT HABERLEŞME EKİBİ</w:t>
                              </w:r>
                            </w:p>
                          </w:sdtContent>
                        </w:sdt>
                      </w:txbxContent>
                    </v:textbox>
                    <w10:wrap type="square" anchorx="page" anchory="page"/>
                  </v:shape>
                </w:pict>
              </mc:Fallback>
            </mc:AlternateContent>
          </w:r>
        </w:p>
        <w:p w14:paraId="4FC99DE4" w14:textId="16E8FF79" w:rsidR="00ED7695" w:rsidRDefault="00ED7695" w:rsidP="008305AA">
          <w:pPr>
            <w:jc w:val="both"/>
          </w:pPr>
          <w:r>
            <w:br w:type="page"/>
          </w:r>
        </w:p>
      </w:sdtContent>
    </w:sdt>
    <w:p w14:paraId="1C161876" w14:textId="37282649" w:rsidR="00ED3D35" w:rsidRDefault="00ED7695" w:rsidP="008305AA">
      <w:pPr>
        <w:pStyle w:val="Heading2"/>
        <w:numPr>
          <w:ilvl w:val="0"/>
          <w:numId w:val="1"/>
        </w:numPr>
        <w:jc w:val="both"/>
      </w:pPr>
      <w:r>
        <w:lastRenderedPageBreak/>
        <w:t>Kumanda Seçimi</w:t>
      </w:r>
    </w:p>
    <w:p w14:paraId="3F323FD6" w14:textId="77777777" w:rsidR="00ED7695" w:rsidRDefault="00ED7695" w:rsidP="008305AA">
      <w:pPr>
        <w:jc w:val="both"/>
      </w:pPr>
      <w:r>
        <w:tab/>
        <w:t>Geminin manuel kontrolü ve uzaktan acil durum mekanizmasını çalıştırabilmek için gereken kumanda modelleri arasından birkaç model bulduk. Bu modeller aşağıda listelenmiştir.</w:t>
      </w:r>
    </w:p>
    <w:p w14:paraId="421771ED" w14:textId="77777777" w:rsidR="00ED7695" w:rsidRDefault="00ED7695" w:rsidP="008305AA">
      <w:pPr>
        <w:pStyle w:val="Heading3"/>
        <w:numPr>
          <w:ilvl w:val="0"/>
          <w:numId w:val="4"/>
        </w:numPr>
        <w:jc w:val="both"/>
      </w:pPr>
      <w:hyperlink r:id="rId9" w:history="1">
        <w:r w:rsidRPr="00ED7695">
          <w:rPr>
            <w:rStyle w:val="Hyperlink"/>
          </w:rPr>
          <w:t>Acom</w:t>
        </w:r>
        <w:r w:rsidRPr="00ED7695">
          <w:rPr>
            <w:rStyle w:val="Hyperlink"/>
          </w:rPr>
          <w:t>s</w:t>
        </w:r>
        <w:r w:rsidRPr="00ED7695">
          <w:rPr>
            <w:rStyle w:val="Hyperlink"/>
          </w:rPr>
          <w:t xml:space="preserve"> Tec</w:t>
        </w:r>
        <w:r w:rsidRPr="00ED7695">
          <w:rPr>
            <w:rStyle w:val="Hyperlink"/>
          </w:rPr>
          <w:t>h</w:t>
        </w:r>
        <w:r w:rsidRPr="00ED7695">
          <w:rPr>
            <w:rStyle w:val="Hyperlink"/>
          </w:rPr>
          <w:t>nisport V</w:t>
        </w:r>
      </w:hyperlink>
    </w:p>
    <w:p w14:paraId="7EDE4854" w14:textId="56D4FD2D" w:rsidR="00ED7695" w:rsidRDefault="00ED7695" w:rsidP="008305AA">
      <w:pPr>
        <w:jc w:val="both"/>
      </w:pPr>
      <w:r>
        <w:tab/>
        <w:t xml:space="preserve">Bu model stok olarak 27 </w:t>
      </w:r>
      <w:r w:rsidR="00B56E12">
        <w:t>G</w:t>
      </w:r>
      <w:r>
        <w:t>Hz frekansı ile haberleşme sağlayıp linkte 2 kanallı alıcı ile birlikte gelmektedir. Bu modelde</w:t>
      </w:r>
    </w:p>
    <w:p w14:paraId="6311C862" w14:textId="56E6024F" w:rsidR="00ED7695" w:rsidRDefault="00ED7695" w:rsidP="008305AA">
      <w:pPr>
        <w:pStyle w:val="ListParagraph"/>
        <w:numPr>
          <w:ilvl w:val="0"/>
          <w:numId w:val="5"/>
        </w:numPr>
        <w:jc w:val="both"/>
      </w:pPr>
      <w:r>
        <w:t>Kumanda ve alıcılarda ayarlanabilir frekans kristali</w:t>
      </w:r>
    </w:p>
    <w:p w14:paraId="7DAE8B95" w14:textId="77777777" w:rsidR="00ED7695" w:rsidRDefault="00ED7695" w:rsidP="008305AA">
      <w:pPr>
        <w:pStyle w:val="ListParagraph"/>
        <w:numPr>
          <w:ilvl w:val="0"/>
          <w:numId w:val="5"/>
        </w:numPr>
        <w:jc w:val="both"/>
      </w:pPr>
      <w:r>
        <w:t>Yönlendirme hassasiyet ayarı</w:t>
      </w:r>
    </w:p>
    <w:p w14:paraId="569C20A2" w14:textId="67C56A7F" w:rsidR="00ED7695" w:rsidRDefault="00ED7695" w:rsidP="008305AA">
      <w:pPr>
        <w:pStyle w:val="ListParagraph"/>
        <w:numPr>
          <w:ilvl w:val="0"/>
          <w:numId w:val="5"/>
        </w:numPr>
        <w:jc w:val="both"/>
      </w:pPr>
      <w:r>
        <w:t xml:space="preserve">İlerleme ve dönme için tersine kullanılabilme </w:t>
      </w:r>
    </w:p>
    <w:p w14:paraId="02D943B1" w14:textId="64E73624" w:rsidR="00ED7695" w:rsidRDefault="00ED7695" w:rsidP="008305AA">
      <w:pPr>
        <w:jc w:val="both"/>
      </w:pPr>
      <w:r>
        <w:t>özellikleri ön plana çıkmaktadır.</w:t>
      </w:r>
    </w:p>
    <w:p w14:paraId="24965D09" w14:textId="725C1AA5" w:rsidR="00ED7695" w:rsidRDefault="00B56E12" w:rsidP="008305AA">
      <w:pPr>
        <w:pStyle w:val="Heading3"/>
        <w:numPr>
          <w:ilvl w:val="0"/>
          <w:numId w:val="4"/>
        </w:numPr>
        <w:jc w:val="both"/>
      </w:pPr>
      <w:hyperlink r:id="rId10" w:history="1">
        <w:r w:rsidRPr="00B56E12">
          <w:rPr>
            <w:rStyle w:val="Hyperlink"/>
          </w:rPr>
          <w:t>Radiolin</w:t>
        </w:r>
        <w:r w:rsidRPr="00B56E12">
          <w:rPr>
            <w:rStyle w:val="Hyperlink"/>
          </w:rPr>
          <w:t>k</w:t>
        </w:r>
        <w:r w:rsidRPr="00B56E12">
          <w:rPr>
            <w:rStyle w:val="Hyperlink"/>
          </w:rPr>
          <w:t xml:space="preserve"> T8FB</w:t>
        </w:r>
      </w:hyperlink>
    </w:p>
    <w:p w14:paraId="6B3E77ED" w14:textId="2A124687" w:rsidR="00B56E12" w:rsidRDefault="00B56E12" w:rsidP="008305AA">
      <w:pPr>
        <w:jc w:val="both"/>
      </w:pPr>
      <w:r>
        <w:tab/>
        <w:t>Bu model stok olarak 2.4 GHz frekans ile haberleşme sağlamaktadır. Bu model</w:t>
      </w:r>
    </w:p>
    <w:p w14:paraId="1D465FE4" w14:textId="76AF1CC8" w:rsidR="00B56E12" w:rsidRDefault="00DF02A4" w:rsidP="008305AA">
      <w:pPr>
        <w:pStyle w:val="ListParagraph"/>
        <w:numPr>
          <w:ilvl w:val="0"/>
          <w:numId w:val="5"/>
        </w:numPr>
        <w:jc w:val="both"/>
      </w:pPr>
      <w:r>
        <w:t>Parazit önleyici</w:t>
      </w:r>
    </w:p>
    <w:p w14:paraId="3281432D" w14:textId="26B56DD9" w:rsidR="00DF02A4" w:rsidRDefault="00DF02A4" w:rsidP="008305AA">
      <w:pPr>
        <w:pStyle w:val="ListParagraph"/>
        <w:numPr>
          <w:ilvl w:val="0"/>
          <w:numId w:val="5"/>
        </w:numPr>
        <w:jc w:val="both"/>
      </w:pPr>
      <w:r>
        <w:t>38 Kbps veri aktarım hızı</w:t>
      </w:r>
    </w:p>
    <w:p w14:paraId="5C1A5A57" w14:textId="2DEBF07E" w:rsidR="00DF02A4" w:rsidRDefault="00DF02A4" w:rsidP="008305AA">
      <w:pPr>
        <w:pStyle w:val="ListParagraph"/>
        <w:numPr>
          <w:ilvl w:val="0"/>
          <w:numId w:val="5"/>
        </w:numPr>
        <w:jc w:val="both"/>
      </w:pPr>
      <w:r>
        <w:t>400 KHz kanal bant genişliği</w:t>
      </w:r>
    </w:p>
    <w:p w14:paraId="7A7230FB" w14:textId="53617B17" w:rsidR="00DF02A4" w:rsidRDefault="00DF02A4" w:rsidP="008305AA">
      <w:pPr>
        <w:jc w:val="both"/>
      </w:pPr>
      <w:r>
        <w:t>özellikleri ile ön plana çıkıyor.</w:t>
      </w:r>
    </w:p>
    <w:p w14:paraId="109A9396" w14:textId="4803D74C" w:rsidR="00DF02A4" w:rsidRDefault="00DF02A4" w:rsidP="008305AA">
      <w:pPr>
        <w:pStyle w:val="Heading3"/>
        <w:numPr>
          <w:ilvl w:val="0"/>
          <w:numId w:val="4"/>
        </w:numPr>
        <w:jc w:val="both"/>
      </w:pPr>
      <w:hyperlink r:id="rId11" w:history="1">
        <w:r w:rsidRPr="00DF02A4">
          <w:rPr>
            <w:rStyle w:val="Hyperlink"/>
          </w:rPr>
          <w:t>Flysky FS-T4B</w:t>
        </w:r>
      </w:hyperlink>
    </w:p>
    <w:p w14:paraId="5793501C" w14:textId="3A4C89D1" w:rsidR="00DF02A4" w:rsidRDefault="00DF02A4" w:rsidP="008305AA">
      <w:pPr>
        <w:jc w:val="both"/>
      </w:pPr>
      <w:r>
        <w:tab/>
        <w:t xml:space="preserve">Bu model stok olarak 2.4 GHz frekansı ile haberleşmeyi sağlamaktadır. Bu modelde </w:t>
      </w:r>
    </w:p>
    <w:p w14:paraId="6DCB689C" w14:textId="431BE909" w:rsidR="00DF02A4" w:rsidRDefault="00DF02A4" w:rsidP="008305AA">
      <w:pPr>
        <w:pStyle w:val="ListParagraph"/>
        <w:numPr>
          <w:ilvl w:val="0"/>
          <w:numId w:val="5"/>
        </w:numPr>
        <w:jc w:val="both"/>
      </w:pPr>
      <w:r>
        <w:t>Kumanda ve alıcı seti için 500KHz kanal bant genişliği</w:t>
      </w:r>
    </w:p>
    <w:p w14:paraId="5A17BC4E" w14:textId="6C931F0A" w:rsidR="00DF02A4" w:rsidRDefault="00DF02A4" w:rsidP="008305AA">
      <w:pPr>
        <w:pStyle w:val="ListParagraph"/>
        <w:numPr>
          <w:ilvl w:val="0"/>
          <w:numId w:val="5"/>
        </w:numPr>
        <w:jc w:val="both"/>
      </w:pPr>
      <w:r>
        <w:t>4 kanal desteği</w:t>
      </w:r>
    </w:p>
    <w:p w14:paraId="48F06D55" w14:textId="40FC8764" w:rsidR="00DF02A4" w:rsidRDefault="00DF02A4" w:rsidP="008305AA">
      <w:pPr>
        <w:jc w:val="both"/>
      </w:pPr>
      <w:r>
        <w:t>özellikleri ön plandadır.</w:t>
      </w:r>
    </w:p>
    <w:p w14:paraId="468B8D48" w14:textId="1DA4F7E0" w:rsidR="00DF02A4" w:rsidRDefault="00DF02A4" w:rsidP="008305AA">
      <w:pPr>
        <w:pStyle w:val="Heading3"/>
        <w:numPr>
          <w:ilvl w:val="0"/>
          <w:numId w:val="4"/>
        </w:numPr>
        <w:jc w:val="both"/>
      </w:pPr>
      <w:hyperlink r:id="rId12" w:history="1">
        <w:r w:rsidRPr="00DF02A4">
          <w:rPr>
            <w:rStyle w:val="Hyperlink"/>
          </w:rPr>
          <w:t>Flysky FS-GT3B</w:t>
        </w:r>
      </w:hyperlink>
    </w:p>
    <w:p w14:paraId="3311DE93" w14:textId="652577B0" w:rsidR="00DF02A4" w:rsidRDefault="00DF02A4" w:rsidP="008305AA">
      <w:pPr>
        <w:jc w:val="both"/>
      </w:pPr>
      <w:r>
        <w:tab/>
        <w:t>Bu model stok olarak 2.4 GHz frekansı ile iletişim sağlamaktadır. Bu model</w:t>
      </w:r>
    </w:p>
    <w:p w14:paraId="27CC8077" w14:textId="5D34ED45" w:rsidR="00DF02A4" w:rsidRDefault="00DF02A4" w:rsidP="008305AA">
      <w:pPr>
        <w:pStyle w:val="ListParagraph"/>
        <w:numPr>
          <w:ilvl w:val="0"/>
          <w:numId w:val="5"/>
        </w:numPr>
        <w:jc w:val="both"/>
      </w:pPr>
      <w:r>
        <w:t>500 KHz kanal bant genişliği</w:t>
      </w:r>
    </w:p>
    <w:p w14:paraId="5AB8B2DF" w14:textId="09F66C31" w:rsidR="0055547D" w:rsidRDefault="00DF02A4" w:rsidP="008305AA">
      <w:pPr>
        <w:pStyle w:val="ListParagraph"/>
        <w:numPr>
          <w:ilvl w:val="0"/>
          <w:numId w:val="5"/>
        </w:numPr>
        <w:jc w:val="both"/>
        <w:rPr>
          <w:rFonts w:eastAsiaTheme="minorEastAsia"/>
        </w:rPr>
      </w:pPr>
      <w:r>
        <w:t xml:space="preserve">Sol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rPr>
          <w:rFonts w:eastAsiaTheme="minorEastAsia"/>
        </w:rPr>
        <w:t xml:space="preserve">, sağ </w:t>
      </w:r>
      <m:oMath>
        <m:sSup>
          <m:sSupPr>
            <m:ctrlPr>
              <w:rPr>
                <w:rFonts w:ascii="Cambria Math" w:hAnsi="Cambria Math"/>
                <w:i/>
              </w:rPr>
            </m:ctrlPr>
          </m:sSupPr>
          <m:e>
            <m:r>
              <w:rPr>
                <w:rFonts w:ascii="Cambria Math" w:hAnsi="Cambria Math"/>
              </w:rPr>
              <m:t>45</m:t>
            </m:r>
          </m:e>
          <m:sup>
            <m:r>
              <w:rPr>
                <w:rFonts w:ascii="Cambria Math" w:hAnsi="Cambria Math"/>
              </w:rPr>
              <m:t>0</m:t>
            </m:r>
          </m:sup>
        </m:sSup>
        <m:r>
          <w:rPr>
            <w:rFonts w:ascii="Cambria Math" w:hAnsi="Cambria Math"/>
          </w:rPr>
          <m:t xml:space="preserve"> </m:t>
        </m:r>
      </m:oMath>
      <w:r w:rsidR="0055547D">
        <w:rPr>
          <w:rFonts w:eastAsiaTheme="minorEastAsia"/>
        </w:rPr>
        <w:t xml:space="preserve">olmak üzere </w:t>
      </w:r>
      <m:oMath>
        <m:sSup>
          <m:sSupPr>
            <m:ctrlPr>
              <w:rPr>
                <w:rFonts w:ascii="Cambria Math" w:hAnsi="Cambria Math"/>
                <w:i/>
              </w:rPr>
            </m:ctrlPr>
          </m:sSupPr>
          <m:e>
            <m:r>
              <w:rPr>
                <w:rFonts w:ascii="Cambria Math" w:hAnsi="Cambria Math"/>
              </w:rPr>
              <m:t>90</m:t>
            </m:r>
          </m:e>
          <m:sup>
            <m:r>
              <w:rPr>
                <w:rFonts w:ascii="Cambria Math" w:hAnsi="Cambria Math"/>
              </w:rPr>
              <m:t>0</m:t>
            </m:r>
          </m:sup>
        </m:sSup>
        <m:r>
          <w:rPr>
            <w:rFonts w:ascii="Cambria Math" w:hAnsi="Cambria Math"/>
          </w:rPr>
          <m:t xml:space="preserve"> </m:t>
        </m:r>
      </m:oMath>
      <w:r>
        <w:rPr>
          <w:rFonts w:eastAsiaTheme="minorEastAsia"/>
        </w:rPr>
        <w:t xml:space="preserve">yönelme </w:t>
      </w:r>
      <w:r w:rsidR="0055547D">
        <w:rPr>
          <w:rFonts w:eastAsiaTheme="minorEastAsia"/>
        </w:rPr>
        <w:t>menzili</w:t>
      </w:r>
    </w:p>
    <w:p w14:paraId="4084541A" w14:textId="05A0BA8C" w:rsidR="0055547D" w:rsidRDefault="0055547D" w:rsidP="008305AA">
      <w:pPr>
        <w:pStyle w:val="ListParagraph"/>
        <w:numPr>
          <w:ilvl w:val="0"/>
          <w:numId w:val="5"/>
        </w:numPr>
        <w:jc w:val="both"/>
        <w:rPr>
          <w:rFonts w:eastAsiaTheme="minorEastAsia"/>
        </w:rPr>
      </w:pPr>
      <w:r>
        <w:rPr>
          <w:rFonts w:eastAsiaTheme="minorEastAsia"/>
        </w:rPr>
        <w:t xml:space="preserve">İleri </w:t>
      </w:r>
      <m:oMath>
        <m:sSup>
          <m:sSupPr>
            <m:ctrlPr>
              <w:rPr>
                <w:rFonts w:ascii="Cambria Math" w:hAnsi="Cambria Math"/>
                <w:i/>
              </w:rPr>
            </m:ctrlPr>
          </m:sSupPr>
          <m:e>
            <m:r>
              <w:rPr>
                <w:rFonts w:ascii="Cambria Math" w:hAnsi="Cambria Math"/>
              </w:rPr>
              <m:t>22.5</m:t>
            </m:r>
          </m:e>
          <m:sup>
            <m:r>
              <w:rPr>
                <w:rFonts w:ascii="Cambria Math" w:hAnsi="Cambria Math"/>
              </w:rPr>
              <m:t>0</m:t>
            </m:r>
          </m:sup>
        </m:sSup>
      </m:oMath>
      <w:r>
        <w:rPr>
          <w:rFonts w:eastAsiaTheme="minorEastAsia"/>
        </w:rPr>
        <w:t>,</w:t>
      </w:r>
      <w:r>
        <w:rPr>
          <w:rFonts w:eastAsiaTheme="minorEastAsia"/>
        </w:rPr>
        <w:t xml:space="preserve"> geri </w:t>
      </w:r>
      <m:oMath>
        <m:sSup>
          <m:sSupPr>
            <m:ctrlPr>
              <w:rPr>
                <w:rFonts w:ascii="Cambria Math" w:hAnsi="Cambria Math"/>
                <w:i/>
              </w:rPr>
            </m:ctrlPr>
          </m:sSupPr>
          <m:e>
            <m:r>
              <w:rPr>
                <w:rFonts w:ascii="Cambria Math" w:hAnsi="Cambria Math"/>
              </w:rPr>
              <m:t>12.5</m:t>
            </m:r>
          </m:e>
          <m:sup>
            <m:r>
              <w:rPr>
                <w:rFonts w:ascii="Cambria Math" w:hAnsi="Cambria Math"/>
              </w:rPr>
              <m:t>0</m:t>
            </m:r>
          </m:sup>
        </m:sSup>
      </m:oMath>
      <w:r>
        <w:rPr>
          <w:rFonts w:eastAsiaTheme="minorEastAsia"/>
        </w:rPr>
        <w:t xml:space="preserve">olmak üzere </w:t>
      </w:r>
      <m:oMath>
        <m:sSup>
          <m:sSupPr>
            <m:ctrlPr>
              <w:rPr>
                <w:rFonts w:ascii="Cambria Math" w:hAnsi="Cambria Math"/>
                <w:i/>
              </w:rPr>
            </m:ctrlPr>
          </m:sSupPr>
          <m:e>
            <m:r>
              <w:rPr>
                <w:rFonts w:ascii="Cambria Math" w:hAnsi="Cambria Math"/>
              </w:rPr>
              <m:t>3</m:t>
            </m:r>
            <m:r>
              <w:rPr>
                <w:rFonts w:ascii="Cambria Math" w:hAnsi="Cambria Math"/>
              </w:rPr>
              <m:t>5</m:t>
            </m:r>
          </m:e>
          <m:sup>
            <m:r>
              <w:rPr>
                <w:rFonts w:ascii="Cambria Math" w:hAnsi="Cambria Math"/>
              </w:rPr>
              <m:t>0</m:t>
            </m:r>
          </m:sup>
        </m:sSup>
      </m:oMath>
      <w:r>
        <w:rPr>
          <w:rFonts w:eastAsiaTheme="minorEastAsia"/>
        </w:rPr>
        <w:t xml:space="preserve"> ilerleme menzili</w:t>
      </w:r>
    </w:p>
    <w:p w14:paraId="4F522490" w14:textId="189CDBEE" w:rsidR="0055547D" w:rsidRDefault="0055547D" w:rsidP="008305AA">
      <w:pPr>
        <w:jc w:val="both"/>
        <w:rPr>
          <w:rFonts w:eastAsiaTheme="minorEastAsia"/>
        </w:rPr>
      </w:pPr>
      <w:r>
        <w:rPr>
          <w:rFonts w:eastAsiaTheme="minorEastAsia"/>
        </w:rPr>
        <w:t>özellikleri bulunmaktadır.</w:t>
      </w:r>
    </w:p>
    <w:p w14:paraId="307E5851" w14:textId="77777777" w:rsidR="0055547D" w:rsidRDefault="0055547D" w:rsidP="008305AA">
      <w:pPr>
        <w:jc w:val="both"/>
        <w:rPr>
          <w:rFonts w:eastAsiaTheme="minorEastAsia"/>
        </w:rPr>
      </w:pPr>
    </w:p>
    <w:p w14:paraId="2868BFF5" w14:textId="0C2DB320" w:rsidR="0055547D" w:rsidRDefault="0055547D" w:rsidP="008305AA">
      <w:pPr>
        <w:pStyle w:val="Heading3"/>
        <w:numPr>
          <w:ilvl w:val="0"/>
          <w:numId w:val="4"/>
        </w:numPr>
        <w:jc w:val="both"/>
        <w:rPr>
          <w:rFonts w:eastAsiaTheme="minorEastAsia"/>
        </w:rPr>
      </w:pPr>
      <w:hyperlink r:id="rId13" w:history="1">
        <w:r w:rsidRPr="0055547D">
          <w:rPr>
            <w:rStyle w:val="Hyperlink"/>
            <w:rFonts w:eastAsiaTheme="minorEastAsia"/>
          </w:rPr>
          <w:t>Flysky FS-i4X</w:t>
        </w:r>
      </w:hyperlink>
    </w:p>
    <w:p w14:paraId="6425FB6A" w14:textId="26330BDB" w:rsidR="0055547D" w:rsidRDefault="0055547D" w:rsidP="008305AA">
      <w:pPr>
        <w:jc w:val="both"/>
      </w:pPr>
      <w:r>
        <w:tab/>
        <w:t>Bu model stok olarak 2.4 GHz frekansı ile haberleşmeyi sağlamaktadır. Bu modelde</w:t>
      </w:r>
    </w:p>
    <w:p w14:paraId="2416FEED" w14:textId="72ABD1C5" w:rsidR="0055547D" w:rsidRDefault="0055547D" w:rsidP="008305AA">
      <w:pPr>
        <w:pStyle w:val="ListParagraph"/>
        <w:numPr>
          <w:ilvl w:val="0"/>
          <w:numId w:val="5"/>
        </w:numPr>
        <w:jc w:val="both"/>
      </w:pPr>
      <w:r>
        <w:t>Kara araçları için ideal koşullarda 300-500 metre menzil</w:t>
      </w:r>
    </w:p>
    <w:p w14:paraId="528DFFEC" w14:textId="0198AE4A" w:rsidR="0055547D" w:rsidRDefault="0055547D" w:rsidP="008305AA">
      <w:pPr>
        <w:pStyle w:val="ListParagraph"/>
        <w:numPr>
          <w:ilvl w:val="0"/>
          <w:numId w:val="5"/>
        </w:numPr>
        <w:jc w:val="both"/>
      </w:pPr>
      <w:r>
        <w:t>4 kanal desteği</w:t>
      </w:r>
    </w:p>
    <w:p w14:paraId="46C0F335" w14:textId="54B9D509" w:rsidR="0055547D" w:rsidRDefault="0055547D" w:rsidP="008305AA">
      <w:pPr>
        <w:jc w:val="both"/>
      </w:pPr>
      <w:r>
        <w:t>özellikleri bulunmaktadır.</w:t>
      </w:r>
    </w:p>
    <w:p w14:paraId="45F0BD37" w14:textId="10A76036" w:rsidR="0055547D" w:rsidRDefault="0055547D" w:rsidP="008305AA">
      <w:pPr>
        <w:jc w:val="both"/>
      </w:pPr>
      <w:r>
        <w:tab/>
        <w:t xml:space="preserve">Bu modellere ek olarak başka kumanda modelleri bulmak için araştırmalarımız devam etmektedir. </w:t>
      </w:r>
    </w:p>
    <w:p w14:paraId="4D49C68C" w14:textId="68DA5FC2" w:rsidR="0055547D" w:rsidRDefault="0055547D" w:rsidP="008305AA">
      <w:pPr>
        <w:pStyle w:val="Heading2"/>
        <w:numPr>
          <w:ilvl w:val="0"/>
          <w:numId w:val="1"/>
        </w:numPr>
        <w:jc w:val="both"/>
      </w:pPr>
      <w:r>
        <w:t>Modül Seçimlerinin Tamamlanması</w:t>
      </w:r>
    </w:p>
    <w:p w14:paraId="202F79E0" w14:textId="0A4B945A" w:rsidR="0055547D" w:rsidRDefault="0055547D" w:rsidP="008305AA">
      <w:pPr>
        <w:jc w:val="both"/>
      </w:pPr>
      <w:r>
        <w:tab/>
        <w:t xml:space="preserve">Gemide değiştireceğimiz bütün modüllerin bu ay içerisinde belirlenmesini planlıyoruz. Ay sonuna kadar okula sunacağımız BAP raporu için gerekli komponentlerin listesi hazırlanacak ve okula sunulacaktır. Güncel olarak bulduğumuz ekipman listesine </w:t>
      </w:r>
      <w:hyperlink r:id="rId14" w:history="1">
        <w:r w:rsidRPr="0055547D">
          <w:rPr>
            <w:rStyle w:val="Hyperlink"/>
          </w:rPr>
          <w:t>buradan</w:t>
        </w:r>
      </w:hyperlink>
      <w:r>
        <w:t xml:space="preserve"> ulaşabilirsiniz.</w:t>
      </w:r>
      <w:r w:rsidR="00805DBB">
        <w:t xml:space="preserve"> Bu modüller için veri aktarım boyutu ve hassasiyeti ile alakalı otonom ekibinden de yardım isteyeceğiz.</w:t>
      </w:r>
    </w:p>
    <w:p w14:paraId="4BCB59D3" w14:textId="04BFEB3B" w:rsidR="0055547D" w:rsidRDefault="008305AA" w:rsidP="008305AA">
      <w:pPr>
        <w:pStyle w:val="Heading2"/>
        <w:numPr>
          <w:ilvl w:val="0"/>
          <w:numId w:val="1"/>
        </w:numPr>
      </w:pPr>
      <w:r>
        <w:t>LiDAR’dan gelecek Veri Miktarı</w:t>
      </w:r>
    </w:p>
    <w:p w14:paraId="64CFDFC3" w14:textId="150F8D7A" w:rsidR="008305AA" w:rsidRDefault="008305AA" w:rsidP="008305AA">
      <w:r>
        <w:tab/>
        <w:t xml:space="preserve">Bu hafta içerisinde LiDAR üzerinden veri almayı başardık ve içinde bulunan IMU’yu deaktif ederek veri boyutunu </w:t>
      </w:r>
    </w:p>
    <w:p w14:paraId="47C37359" w14:textId="6E52E07A" w:rsidR="008305AA" w:rsidRDefault="008305AA" w:rsidP="008305AA">
      <w:pPr>
        <w:pStyle w:val="ListParagraph"/>
        <w:numPr>
          <w:ilvl w:val="0"/>
          <w:numId w:val="5"/>
        </w:numPr>
      </w:pPr>
      <w:r>
        <w:t xml:space="preserve">834 bulut verisi için </w:t>
      </w:r>
      <w:r w:rsidR="00805DBB">
        <w:t xml:space="preserve">yaklaşık </w:t>
      </w:r>
      <w:r>
        <w:t>5MB ‘dan</w:t>
      </w:r>
    </w:p>
    <w:p w14:paraId="7725AF4E" w14:textId="47C09569" w:rsidR="008305AA" w:rsidRDefault="00805DBB" w:rsidP="008305AA">
      <w:pPr>
        <w:pStyle w:val="ListParagraph"/>
        <w:numPr>
          <w:ilvl w:val="0"/>
          <w:numId w:val="5"/>
        </w:numPr>
      </w:pPr>
      <w:r>
        <w:t>2541 bulut verisi için 1.9 MB’a düşürdük.</w:t>
      </w:r>
    </w:p>
    <w:p w14:paraId="20206500" w14:textId="2957AA1B" w:rsidR="00805DBB" w:rsidRDefault="00805DBB" w:rsidP="00805DBB">
      <w:r>
        <w:tab/>
        <w:t>Bu verinin ne kadar süre ile ilerlediğinin kaydını tutamasak da yaklaşık olarak 2 dakika tuttuğunu tahmin ederek</w:t>
      </w:r>
    </w:p>
    <w:p w14:paraId="0FA41EDB" w14:textId="104B8A76" w:rsidR="00805DBB" w:rsidRPr="00805DBB" w:rsidRDefault="00805DBB" w:rsidP="00805DBB">
      <w:pPr>
        <w:rPr>
          <w:rFonts w:eastAsiaTheme="minorEastAsia"/>
        </w:rPr>
      </w:pPr>
      <m:oMathPara>
        <m:oMath>
          <m:f>
            <m:fPr>
              <m:ctrlPr>
                <w:rPr>
                  <w:rFonts w:ascii="Cambria Math" w:hAnsi="Cambria Math"/>
                  <w:i/>
                </w:rPr>
              </m:ctrlPr>
            </m:fPr>
            <m:num>
              <m:r>
                <w:rPr>
                  <w:rFonts w:ascii="Cambria Math" w:hAnsi="Cambria Math"/>
                </w:rPr>
                <m:t>Toplam Veri</m:t>
              </m:r>
            </m:num>
            <m:den>
              <m:r>
                <w:rPr>
                  <w:rFonts w:ascii="Cambria Math" w:hAnsi="Cambria Math"/>
                </w:rPr>
                <m:t>Geçen Süre</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1.9*1024 Byte</m:t>
              </m:r>
            </m:num>
            <m:den>
              <m:r>
                <w:rPr>
                  <w:rFonts w:ascii="Cambria Math" w:eastAsiaTheme="minorEastAsia" w:hAnsi="Cambria Math"/>
                </w:rPr>
                <m:t>120 saniye</m:t>
              </m:r>
            </m:den>
          </m:f>
          <m:r>
            <w:rPr>
              <w:rFonts w:ascii="Cambria Math" w:eastAsiaTheme="minorEastAsia" w:hAnsi="Cambria Math"/>
            </w:rPr>
            <m:t xml:space="preserve"> ≈16,21</m:t>
          </m:r>
          <m:f>
            <m:fPr>
              <m:ctrlPr>
                <w:rPr>
                  <w:rFonts w:ascii="Cambria Math" w:eastAsiaTheme="minorEastAsia" w:hAnsi="Cambria Math"/>
                  <w:i/>
                </w:rPr>
              </m:ctrlPr>
            </m:fPr>
            <m:num>
              <m:r>
                <w:rPr>
                  <w:rFonts w:ascii="Cambria Math" w:eastAsiaTheme="minorEastAsia" w:hAnsi="Cambria Math"/>
                </w:rPr>
                <m:t>Byte</m:t>
              </m:r>
            </m:num>
            <m:den>
              <m:r>
                <w:rPr>
                  <w:rFonts w:ascii="Cambria Math" w:eastAsiaTheme="minorEastAsia" w:hAnsi="Cambria Math"/>
                </w:rPr>
                <m:t>Saniye</m:t>
              </m:r>
            </m:den>
          </m:f>
          <m:r>
            <w:rPr>
              <w:rFonts w:ascii="Cambria Math" w:eastAsiaTheme="minorEastAsia" w:hAnsi="Cambria Math"/>
            </w:rPr>
            <m:t>=16,21*8</m:t>
          </m:r>
          <m:f>
            <m:fPr>
              <m:ctrlPr>
                <w:rPr>
                  <w:rFonts w:ascii="Cambria Math" w:eastAsiaTheme="minorEastAsia" w:hAnsi="Cambria Math"/>
                  <w:i/>
                </w:rPr>
              </m:ctrlPr>
            </m:fPr>
            <m:num>
              <m:r>
                <w:rPr>
                  <w:rFonts w:ascii="Cambria Math" w:eastAsiaTheme="minorEastAsia" w:hAnsi="Cambria Math"/>
                </w:rPr>
                <m:t>Bit</m:t>
              </m:r>
            </m:num>
            <m:den>
              <m:r>
                <w:rPr>
                  <w:rFonts w:ascii="Cambria Math" w:eastAsiaTheme="minorEastAsia" w:hAnsi="Cambria Math"/>
                </w:rPr>
                <m:t>Saniye</m:t>
              </m:r>
            </m:den>
          </m:f>
          <m:r>
            <w:rPr>
              <w:rFonts w:ascii="Cambria Math" w:eastAsiaTheme="minorEastAsia" w:hAnsi="Cambria Math"/>
            </w:rPr>
            <m:t>=129,71</m:t>
          </m:r>
          <m:f>
            <m:fPr>
              <m:ctrlPr>
                <w:rPr>
                  <w:rFonts w:ascii="Cambria Math" w:eastAsiaTheme="minorEastAsia" w:hAnsi="Cambria Math"/>
                  <w:i/>
                </w:rPr>
              </m:ctrlPr>
            </m:fPr>
            <m:num>
              <m:r>
                <w:rPr>
                  <w:rFonts w:ascii="Cambria Math" w:eastAsiaTheme="minorEastAsia" w:hAnsi="Cambria Math"/>
                </w:rPr>
                <m:t>Bit</m:t>
              </m:r>
            </m:num>
            <m:den>
              <m:r>
                <w:rPr>
                  <w:rFonts w:ascii="Cambria Math" w:eastAsiaTheme="minorEastAsia" w:hAnsi="Cambria Math"/>
                </w:rPr>
                <m:t>Saniye</m:t>
              </m:r>
            </m:den>
          </m:f>
        </m:oMath>
      </m:oMathPara>
    </w:p>
    <w:p w14:paraId="5D25307F" w14:textId="1142B904" w:rsidR="00805DBB" w:rsidRDefault="00805DBB" w:rsidP="00805DBB">
      <w:pPr>
        <w:jc w:val="both"/>
        <w:rPr>
          <w:rFonts w:eastAsiaTheme="minorEastAsia"/>
        </w:rPr>
      </w:pPr>
      <w:r>
        <w:rPr>
          <w:rFonts w:eastAsiaTheme="minorEastAsia"/>
        </w:rPr>
        <w:t xml:space="preserve">hesabını yaparak saniye başına düşen byte ve bit miktarını bulduk. Bunun sonucunda önceki raporlarda bahsettiğimiz RF modüllerinin veri aktarım hızının yettiği sonucuna vardık. Tekrardan emin olabilmek için aynı prosedürleri tekrar uygulayıp geçen süreyi hesaplayarak kesin bir saniye başı bit ve byte miktarı hesaplayabiliriz. </w:t>
      </w:r>
    </w:p>
    <w:p w14:paraId="084112C6" w14:textId="5049EB5A" w:rsidR="00805DBB" w:rsidRDefault="00805DBB" w:rsidP="00805DBB">
      <w:pPr>
        <w:pStyle w:val="Heading2"/>
        <w:numPr>
          <w:ilvl w:val="0"/>
          <w:numId w:val="1"/>
        </w:numPr>
      </w:pPr>
      <w:r>
        <w:t xml:space="preserve">Sonraki Hafta Konuşulacaklar </w:t>
      </w:r>
    </w:p>
    <w:p w14:paraId="4CC008CC" w14:textId="307B6C4C" w:rsidR="00805DBB" w:rsidRPr="00805DBB" w:rsidRDefault="00805DBB" w:rsidP="00805DBB">
      <w:r>
        <w:tab/>
        <w:t xml:space="preserve">Şu anda herkes görevleri için bilgi öğrenme aşamasında. İlerleyen haftalarda seçeceğimiz modülleri belirleyeceğiz ve BAP raporunu hazırlamaya başlayacağız.  </w:t>
      </w:r>
    </w:p>
    <w:p w14:paraId="4950C16F" w14:textId="01C840F0" w:rsidR="00DF02A4" w:rsidRPr="00DF02A4" w:rsidRDefault="00DF02A4" w:rsidP="008305AA">
      <w:pPr>
        <w:jc w:val="both"/>
      </w:pPr>
    </w:p>
    <w:sectPr w:rsidR="00DF02A4" w:rsidRPr="00DF02A4" w:rsidSect="00ED7695">
      <w:footerReference w:type="default" r:id="rId15"/>
      <w:pgSz w:w="12240" w:h="15840"/>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B8BF" w14:textId="77777777" w:rsidR="00601392" w:rsidRDefault="00601392" w:rsidP="0055547D">
      <w:pPr>
        <w:spacing w:after="0" w:line="240" w:lineRule="auto"/>
      </w:pPr>
      <w:r>
        <w:separator/>
      </w:r>
    </w:p>
  </w:endnote>
  <w:endnote w:type="continuationSeparator" w:id="0">
    <w:p w14:paraId="69DF81E7" w14:textId="77777777" w:rsidR="00601392" w:rsidRDefault="00601392" w:rsidP="00555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Pr>
      <w:id w:val="181099832"/>
      <w:docPartObj>
        <w:docPartGallery w:val="Page Numbers (Bottom of Page)"/>
        <w:docPartUnique/>
      </w:docPartObj>
    </w:sdtPr>
    <w:sdtEndPr>
      <w:rPr>
        <w:rFonts w:asciiTheme="majorHAnsi" w:eastAsiaTheme="majorEastAsia" w:hAnsiTheme="majorHAnsi" w:cstheme="majorBidi"/>
        <w:noProof/>
        <w:color w:val="156082" w:themeColor="accent1"/>
        <w:sz w:val="40"/>
        <w:szCs w:val="40"/>
      </w:rPr>
    </w:sdtEndPr>
    <w:sdtContent>
      <w:p w14:paraId="3C3C7B81" w14:textId="73685A87" w:rsidR="0055547D" w:rsidRDefault="0055547D">
        <w:pPr>
          <w:pStyle w:val="Footer"/>
          <w:jc w:val="right"/>
          <w:rPr>
            <w:rFonts w:asciiTheme="majorHAnsi" w:eastAsiaTheme="majorEastAsia" w:hAnsiTheme="majorHAnsi" w:cstheme="majorBidi"/>
            <w:color w:val="156082" w:themeColor="accent1"/>
            <w:sz w:val="40"/>
            <w:szCs w:val="40"/>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color w:val="156082" w:themeColor="accent1"/>
            <w:sz w:val="40"/>
            <w:szCs w:val="40"/>
          </w:rPr>
          <w:t>2</w:t>
        </w:r>
        <w:r>
          <w:rPr>
            <w:rFonts w:asciiTheme="majorHAnsi" w:eastAsiaTheme="majorEastAsia" w:hAnsiTheme="majorHAnsi" w:cstheme="majorBidi"/>
            <w:noProof/>
            <w:color w:val="156082" w:themeColor="accent1"/>
            <w:sz w:val="40"/>
            <w:szCs w:val="40"/>
          </w:rPr>
          <w:fldChar w:fldCharType="end"/>
        </w:r>
      </w:p>
    </w:sdtContent>
  </w:sdt>
  <w:p w14:paraId="39B1DE21" w14:textId="77777777" w:rsidR="0055547D" w:rsidRDefault="00555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6C62" w14:textId="77777777" w:rsidR="00601392" w:rsidRDefault="00601392" w:rsidP="0055547D">
      <w:pPr>
        <w:spacing w:after="0" w:line="240" w:lineRule="auto"/>
      </w:pPr>
      <w:r>
        <w:separator/>
      </w:r>
    </w:p>
  </w:footnote>
  <w:footnote w:type="continuationSeparator" w:id="0">
    <w:p w14:paraId="6D282679" w14:textId="77777777" w:rsidR="00601392" w:rsidRDefault="00601392" w:rsidP="00555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84"/>
    <w:multiLevelType w:val="hybridMultilevel"/>
    <w:tmpl w:val="D9960BCA"/>
    <w:lvl w:ilvl="0" w:tplc="6A06CC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D8654E"/>
    <w:multiLevelType w:val="hybridMultilevel"/>
    <w:tmpl w:val="591E26D4"/>
    <w:lvl w:ilvl="0" w:tplc="D2B4F7D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57C73"/>
    <w:multiLevelType w:val="hybridMultilevel"/>
    <w:tmpl w:val="C6787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27533C"/>
    <w:multiLevelType w:val="hybridMultilevel"/>
    <w:tmpl w:val="439C3300"/>
    <w:lvl w:ilvl="0" w:tplc="7B305910">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7AB229A"/>
    <w:multiLevelType w:val="hybridMultilevel"/>
    <w:tmpl w:val="262EF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7724C1"/>
    <w:multiLevelType w:val="hybridMultilevel"/>
    <w:tmpl w:val="033691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3209786">
    <w:abstractNumId w:val="5"/>
  </w:num>
  <w:num w:numId="2" w16cid:durableId="2076737199">
    <w:abstractNumId w:val="2"/>
  </w:num>
  <w:num w:numId="3" w16cid:durableId="239994614">
    <w:abstractNumId w:val="0"/>
  </w:num>
  <w:num w:numId="4" w16cid:durableId="952782022">
    <w:abstractNumId w:val="4"/>
  </w:num>
  <w:num w:numId="5" w16cid:durableId="941494160">
    <w:abstractNumId w:val="3"/>
  </w:num>
  <w:num w:numId="6" w16cid:durableId="1676952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9BF"/>
    <w:rsid w:val="001E3972"/>
    <w:rsid w:val="0055547D"/>
    <w:rsid w:val="00601392"/>
    <w:rsid w:val="00683651"/>
    <w:rsid w:val="00785657"/>
    <w:rsid w:val="007F3FCB"/>
    <w:rsid w:val="00805DBB"/>
    <w:rsid w:val="008305AA"/>
    <w:rsid w:val="00A30496"/>
    <w:rsid w:val="00A3240E"/>
    <w:rsid w:val="00B56E12"/>
    <w:rsid w:val="00BB19BF"/>
    <w:rsid w:val="00DA633D"/>
    <w:rsid w:val="00DF02A4"/>
    <w:rsid w:val="00E7384D"/>
    <w:rsid w:val="00ED3D35"/>
    <w:rsid w:val="00ED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DEBB"/>
  <w15:chartTrackingRefBased/>
  <w15:docId w15:val="{68EB0212-77C8-4024-97EE-40F2D5B21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BB1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BF"/>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BB19BF"/>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BB19BF"/>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BB19BF"/>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BB19BF"/>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BB19BF"/>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BB19BF"/>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BB19BF"/>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BB19BF"/>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BB1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9BF"/>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BB1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9BF"/>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BB19BF"/>
    <w:pPr>
      <w:spacing w:before="160"/>
      <w:jc w:val="center"/>
    </w:pPr>
    <w:rPr>
      <w:i/>
      <w:iCs/>
      <w:color w:val="404040" w:themeColor="text1" w:themeTint="BF"/>
    </w:rPr>
  </w:style>
  <w:style w:type="character" w:customStyle="1" w:styleId="QuoteChar">
    <w:name w:val="Quote Char"/>
    <w:basedOn w:val="DefaultParagraphFont"/>
    <w:link w:val="Quote"/>
    <w:uiPriority w:val="29"/>
    <w:rsid w:val="00BB19BF"/>
    <w:rPr>
      <w:i/>
      <w:iCs/>
      <w:color w:val="404040" w:themeColor="text1" w:themeTint="BF"/>
      <w:lang w:val="tr-TR"/>
    </w:rPr>
  </w:style>
  <w:style w:type="paragraph" w:styleId="ListParagraph">
    <w:name w:val="List Paragraph"/>
    <w:basedOn w:val="Normal"/>
    <w:uiPriority w:val="34"/>
    <w:qFormat/>
    <w:rsid w:val="00BB19BF"/>
    <w:pPr>
      <w:ind w:left="720"/>
      <w:contextualSpacing/>
    </w:pPr>
  </w:style>
  <w:style w:type="character" w:styleId="IntenseEmphasis">
    <w:name w:val="Intense Emphasis"/>
    <w:basedOn w:val="DefaultParagraphFont"/>
    <w:uiPriority w:val="21"/>
    <w:qFormat/>
    <w:rsid w:val="00BB19BF"/>
    <w:rPr>
      <w:i/>
      <w:iCs/>
      <w:color w:val="0F4761" w:themeColor="accent1" w:themeShade="BF"/>
    </w:rPr>
  </w:style>
  <w:style w:type="paragraph" w:styleId="IntenseQuote">
    <w:name w:val="Intense Quote"/>
    <w:basedOn w:val="Normal"/>
    <w:next w:val="Normal"/>
    <w:link w:val="IntenseQuoteChar"/>
    <w:uiPriority w:val="30"/>
    <w:qFormat/>
    <w:rsid w:val="00BB1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9BF"/>
    <w:rPr>
      <w:i/>
      <w:iCs/>
      <w:color w:val="0F4761" w:themeColor="accent1" w:themeShade="BF"/>
      <w:lang w:val="tr-TR"/>
    </w:rPr>
  </w:style>
  <w:style w:type="character" w:styleId="IntenseReference">
    <w:name w:val="Intense Reference"/>
    <w:basedOn w:val="DefaultParagraphFont"/>
    <w:uiPriority w:val="32"/>
    <w:qFormat/>
    <w:rsid w:val="00BB19BF"/>
    <w:rPr>
      <w:b/>
      <w:bCs/>
      <w:smallCaps/>
      <w:color w:val="0F4761" w:themeColor="accent1" w:themeShade="BF"/>
      <w:spacing w:val="5"/>
    </w:rPr>
  </w:style>
  <w:style w:type="paragraph" w:styleId="NoSpacing">
    <w:name w:val="No Spacing"/>
    <w:link w:val="NoSpacingChar"/>
    <w:uiPriority w:val="1"/>
    <w:qFormat/>
    <w:rsid w:val="00ED769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D7695"/>
    <w:rPr>
      <w:rFonts w:eastAsiaTheme="minorEastAsia"/>
      <w:kern w:val="0"/>
      <w:sz w:val="22"/>
      <w:szCs w:val="22"/>
      <w14:ligatures w14:val="none"/>
    </w:rPr>
  </w:style>
  <w:style w:type="character" w:styleId="Hyperlink">
    <w:name w:val="Hyperlink"/>
    <w:basedOn w:val="DefaultParagraphFont"/>
    <w:uiPriority w:val="99"/>
    <w:unhideWhenUsed/>
    <w:rsid w:val="00ED7695"/>
    <w:rPr>
      <w:color w:val="467886" w:themeColor="hyperlink"/>
      <w:u w:val="single"/>
    </w:rPr>
  </w:style>
  <w:style w:type="character" w:styleId="UnresolvedMention">
    <w:name w:val="Unresolved Mention"/>
    <w:basedOn w:val="DefaultParagraphFont"/>
    <w:uiPriority w:val="99"/>
    <w:semiHidden/>
    <w:unhideWhenUsed/>
    <w:rsid w:val="00ED7695"/>
    <w:rPr>
      <w:color w:val="605E5C"/>
      <w:shd w:val="clear" w:color="auto" w:fill="E1DFDD"/>
    </w:rPr>
  </w:style>
  <w:style w:type="character" w:styleId="FollowedHyperlink">
    <w:name w:val="FollowedHyperlink"/>
    <w:basedOn w:val="DefaultParagraphFont"/>
    <w:uiPriority w:val="99"/>
    <w:semiHidden/>
    <w:unhideWhenUsed/>
    <w:rsid w:val="00B56E12"/>
    <w:rPr>
      <w:color w:val="96607D" w:themeColor="followedHyperlink"/>
      <w:u w:val="single"/>
    </w:rPr>
  </w:style>
  <w:style w:type="character" w:styleId="PlaceholderText">
    <w:name w:val="Placeholder Text"/>
    <w:basedOn w:val="DefaultParagraphFont"/>
    <w:uiPriority w:val="99"/>
    <w:semiHidden/>
    <w:rsid w:val="00DF02A4"/>
    <w:rPr>
      <w:color w:val="666666"/>
    </w:rPr>
  </w:style>
  <w:style w:type="paragraph" w:styleId="Header">
    <w:name w:val="header"/>
    <w:basedOn w:val="Normal"/>
    <w:link w:val="HeaderChar"/>
    <w:uiPriority w:val="99"/>
    <w:unhideWhenUsed/>
    <w:rsid w:val="0055547D"/>
    <w:pPr>
      <w:tabs>
        <w:tab w:val="center" w:pos="4703"/>
        <w:tab w:val="right" w:pos="9406"/>
      </w:tabs>
      <w:spacing w:after="0" w:line="240" w:lineRule="auto"/>
    </w:pPr>
  </w:style>
  <w:style w:type="character" w:customStyle="1" w:styleId="HeaderChar">
    <w:name w:val="Header Char"/>
    <w:basedOn w:val="DefaultParagraphFont"/>
    <w:link w:val="Header"/>
    <w:uiPriority w:val="99"/>
    <w:rsid w:val="0055547D"/>
    <w:rPr>
      <w:lang w:val="tr-TR"/>
    </w:rPr>
  </w:style>
  <w:style w:type="paragraph" w:styleId="Footer">
    <w:name w:val="footer"/>
    <w:basedOn w:val="Normal"/>
    <w:link w:val="FooterChar"/>
    <w:uiPriority w:val="99"/>
    <w:unhideWhenUsed/>
    <w:rsid w:val="0055547D"/>
    <w:pPr>
      <w:tabs>
        <w:tab w:val="center" w:pos="4703"/>
        <w:tab w:val="right" w:pos="9406"/>
      </w:tabs>
      <w:spacing w:after="0" w:line="240" w:lineRule="auto"/>
    </w:pPr>
  </w:style>
  <w:style w:type="character" w:customStyle="1" w:styleId="FooterChar">
    <w:name w:val="Footer Char"/>
    <w:basedOn w:val="DefaultParagraphFont"/>
    <w:link w:val="Footer"/>
    <w:uiPriority w:val="99"/>
    <w:rsid w:val="0055547D"/>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627">
      <w:bodyDiv w:val="1"/>
      <w:marLeft w:val="0"/>
      <w:marRight w:val="0"/>
      <w:marTop w:val="0"/>
      <w:marBottom w:val="0"/>
      <w:divBdr>
        <w:top w:val="none" w:sz="0" w:space="0" w:color="auto"/>
        <w:left w:val="none" w:sz="0" w:space="0" w:color="auto"/>
        <w:bottom w:val="none" w:sz="0" w:space="0" w:color="auto"/>
        <w:right w:val="none" w:sz="0" w:space="0" w:color="auto"/>
      </w:divBdr>
    </w:div>
    <w:div w:id="771819942">
      <w:bodyDiv w:val="1"/>
      <w:marLeft w:val="0"/>
      <w:marRight w:val="0"/>
      <w:marTop w:val="0"/>
      <w:marBottom w:val="0"/>
      <w:divBdr>
        <w:top w:val="none" w:sz="0" w:space="0" w:color="auto"/>
        <w:left w:val="none" w:sz="0" w:space="0" w:color="auto"/>
        <w:bottom w:val="none" w:sz="0" w:space="0" w:color="auto"/>
        <w:right w:val="none" w:sz="0" w:space="0" w:color="auto"/>
      </w:divBdr>
    </w:div>
    <w:div w:id="851646207">
      <w:bodyDiv w:val="1"/>
      <w:marLeft w:val="0"/>
      <w:marRight w:val="0"/>
      <w:marTop w:val="0"/>
      <w:marBottom w:val="0"/>
      <w:divBdr>
        <w:top w:val="none" w:sz="0" w:space="0" w:color="auto"/>
        <w:left w:val="none" w:sz="0" w:space="0" w:color="auto"/>
        <w:bottom w:val="none" w:sz="0" w:space="0" w:color="auto"/>
        <w:right w:val="none" w:sz="0" w:space="0" w:color="auto"/>
      </w:divBdr>
    </w:div>
    <w:div w:id="1157378935">
      <w:bodyDiv w:val="1"/>
      <w:marLeft w:val="0"/>
      <w:marRight w:val="0"/>
      <w:marTop w:val="0"/>
      <w:marBottom w:val="0"/>
      <w:divBdr>
        <w:top w:val="none" w:sz="0" w:space="0" w:color="auto"/>
        <w:left w:val="none" w:sz="0" w:space="0" w:color="auto"/>
        <w:bottom w:val="none" w:sz="0" w:space="0" w:color="auto"/>
        <w:right w:val="none" w:sz="0" w:space="0" w:color="auto"/>
      </w:divBdr>
    </w:div>
    <w:div w:id="1518813725">
      <w:bodyDiv w:val="1"/>
      <w:marLeft w:val="0"/>
      <w:marRight w:val="0"/>
      <w:marTop w:val="0"/>
      <w:marBottom w:val="0"/>
      <w:divBdr>
        <w:top w:val="none" w:sz="0" w:space="0" w:color="auto"/>
        <w:left w:val="none" w:sz="0" w:space="0" w:color="auto"/>
        <w:bottom w:val="none" w:sz="0" w:space="0" w:color="auto"/>
        <w:right w:val="none" w:sz="0" w:space="0" w:color="auto"/>
      </w:divBdr>
    </w:div>
    <w:div w:id="1649825671">
      <w:bodyDiv w:val="1"/>
      <w:marLeft w:val="0"/>
      <w:marRight w:val="0"/>
      <w:marTop w:val="0"/>
      <w:marBottom w:val="0"/>
      <w:divBdr>
        <w:top w:val="none" w:sz="0" w:space="0" w:color="auto"/>
        <w:left w:val="none" w:sz="0" w:space="0" w:color="auto"/>
        <w:bottom w:val="none" w:sz="0" w:space="0" w:color="auto"/>
        <w:right w:val="none" w:sz="0" w:space="0" w:color="auto"/>
      </w:divBdr>
    </w:div>
    <w:div w:id="1752308929">
      <w:bodyDiv w:val="1"/>
      <w:marLeft w:val="0"/>
      <w:marRight w:val="0"/>
      <w:marTop w:val="0"/>
      <w:marBottom w:val="0"/>
      <w:divBdr>
        <w:top w:val="none" w:sz="0" w:space="0" w:color="auto"/>
        <w:left w:val="none" w:sz="0" w:space="0" w:color="auto"/>
        <w:bottom w:val="none" w:sz="0" w:space="0" w:color="auto"/>
        <w:right w:val="none" w:sz="0" w:space="0" w:color="auto"/>
      </w:divBdr>
    </w:div>
    <w:div w:id="1961951812">
      <w:bodyDiv w:val="1"/>
      <w:marLeft w:val="0"/>
      <w:marRight w:val="0"/>
      <w:marTop w:val="0"/>
      <w:marBottom w:val="0"/>
      <w:divBdr>
        <w:top w:val="none" w:sz="0" w:space="0" w:color="auto"/>
        <w:left w:val="none" w:sz="0" w:space="0" w:color="auto"/>
        <w:bottom w:val="none" w:sz="0" w:space="0" w:color="auto"/>
        <w:right w:val="none" w:sz="0" w:space="0" w:color="auto"/>
      </w:divBdr>
    </w:div>
    <w:div w:id="211111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romodelhobby.com/urun/flysky-fs-i4x-4-kanal-kumanda-seti-fs-r6b-alici-dahi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romodelhobby.com/urun/flysky-fs-gt3b-2-4ghz-3-kanal-dijital-rc-kumanda-seti-fs-gr3e-alici-dahi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obotzade.com/urun/flysky-fs-t4b-2-4ghz-4-kanal-alici-verici-kumanda"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robotzade.com/urun/radiolink-t8fb-8-kanal-2-4ghz-uzaktan-kumanda-alici-verici-seti" TargetMode="External"/><Relationship Id="rId4" Type="http://schemas.openxmlformats.org/officeDocument/2006/relationships/webSettings" Target="webSettings.xml"/><Relationship Id="rId9" Type="http://schemas.openxmlformats.org/officeDocument/2006/relationships/hyperlink" Target="https://www.robotzade.com/urun/acoms-technisport-v-2-kanal-uzaktan-kumanda-seti-band-1-26-995-mhz-kahverengi" TargetMode="External"/><Relationship Id="rId14" Type="http://schemas.openxmlformats.org/officeDocument/2006/relationships/hyperlink" Target="Haberle&#351;me%20&#220;r&#252;n%20Listesi.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Haberleşme ekibi                 6 aralık toplantı raporu</dc:title>
  <dc:subject>HYDROCAT HABERLEŞME EKİBİ</dc:subject>
  <dc:creator>Furkan  TATLISES</dc:creator>
  <cp:keywords/>
  <dc:description/>
  <cp:lastModifiedBy>Furkan  TATLISES</cp:lastModifiedBy>
  <cp:revision>3</cp:revision>
  <dcterms:created xsi:type="dcterms:W3CDTF">2025-12-06T17:22:00Z</dcterms:created>
  <dcterms:modified xsi:type="dcterms:W3CDTF">2025-12-06T18:30:00Z</dcterms:modified>
</cp:coreProperties>
</file>