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8A79B" w14:textId="77777777" w:rsidR="00D9634B" w:rsidRPr="00D9634B" w:rsidRDefault="00FD44A1" w:rsidP="00D612C0">
      <w:pPr>
        <w:ind w:firstLine="0"/>
        <w:jc w:val="both"/>
        <w:rPr>
          <w:rFonts w:ascii="Times New Roman" w:hAnsi="Times New Roman" w:cs="Times New Roman"/>
          <w:sz w:val="24"/>
          <w:lang w:val="es-ES"/>
        </w:rPr>
      </w:pPr>
      <w:bookmarkStart w:id="0" w:name="_GoBack"/>
      <w:bookmarkEnd w:id="0"/>
      <w:r w:rsidRPr="00D9634B">
        <w:rPr>
          <w:rFonts w:ascii="Times New Roman" w:hAnsi="Times New Roman" w:cs="Times New Roman"/>
          <w:sz w:val="24"/>
          <w:lang w:val="en-001"/>
        </w:rPr>
        <w:t xml:space="preserve">Universidad Rafael </w:t>
      </w:r>
      <w:proofErr w:type="spellStart"/>
      <w:r w:rsidRPr="00D9634B">
        <w:rPr>
          <w:rFonts w:ascii="Times New Roman" w:hAnsi="Times New Roman" w:cs="Times New Roman"/>
          <w:sz w:val="24"/>
          <w:lang w:val="en-001"/>
        </w:rPr>
        <w:t>Landivar</w:t>
      </w:r>
      <w:proofErr w:type="spellEnd"/>
    </w:p>
    <w:p w14:paraId="35F2C0A6" w14:textId="77777777" w:rsidR="00FD44A1" w:rsidRPr="00D9634B" w:rsidRDefault="00FD44A1" w:rsidP="00D612C0">
      <w:pPr>
        <w:ind w:firstLine="0"/>
        <w:jc w:val="both"/>
        <w:rPr>
          <w:rFonts w:ascii="Times New Roman" w:hAnsi="Times New Roman" w:cs="Times New Roman"/>
          <w:sz w:val="24"/>
          <w:lang w:val="en-001"/>
        </w:rPr>
      </w:pPr>
      <w:r w:rsidRPr="00D9634B">
        <w:rPr>
          <w:rFonts w:ascii="Times New Roman" w:hAnsi="Times New Roman" w:cs="Times New Roman"/>
          <w:sz w:val="24"/>
          <w:lang w:val="en-001"/>
        </w:rPr>
        <w:t>Campus San Alberto Hurtado</w:t>
      </w:r>
    </w:p>
    <w:p w14:paraId="3CD563E4" w14:textId="77777777" w:rsidR="00FD44A1" w:rsidRPr="00D9634B" w:rsidRDefault="00FD44A1" w:rsidP="00D612C0">
      <w:pPr>
        <w:ind w:firstLine="0"/>
        <w:jc w:val="both"/>
        <w:rPr>
          <w:rFonts w:ascii="Times New Roman" w:hAnsi="Times New Roman" w:cs="Times New Roman"/>
          <w:sz w:val="24"/>
          <w:lang w:val="es-ES"/>
        </w:rPr>
      </w:pPr>
      <w:proofErr w:type="spellStart"/>
      <w:r w:rsidRPr="00D9634B">
        <w:rPr>
          <w:rFonts w:ascii="Times New Roman" w:hAnsi="Times New Roman" w:cs="Times New Roman"/>
          <w:sz w:val="24"/>
          <w:lang w:val="en-001"/>
        </w:rPr>
        <w:t>Facultad</w:t>
      </w:r>
      <w:proofErr w:type="spellEnd"/>
      <w:r w:rsidRPr="00D9634B">
        <w:rPr>
          <w:rFonts w:ascii="Times New Roman" w:hAnsi="Times New Roman" w:cs="Times New Roman"/>
          <w:sz w:val="24"/>
          <w:lang w:val="en-001"/>
        </w:rPr>
        <w:t xml:space="preserve"> de </w:t>
      </w:r>
      <w:proofErr w:type="spellStart"/>
      <w:r w:rsidRPr="00D9634B">
        <w:rPr>
          <w:rFonts w:ascii="Times New Roman" w:hAnsi="Times New Roman" w:cs="Times New Roman"/>
          <w:sz w:val="24"/>
          <w:lang w:val="en-001"/>
        </w:rPr>
        <w:t>Ingenier</w:t>
      </w:r>
      <w:r w:rsidRPr="00D9634B">
        <w:rPr>
          <w:rFonts w:ascii="Times New Roman" w:hAnsi="Times New Roman" w:cs="Times New Roman"/>
          <w:sz w:val="24"/>
          <w:lang w:val="es-ES"/>
        </w:rPr>
        <w:t>ía</w:t>
      </w:r>
      <w:proofErr w:type="spellEnd"/>
      <w:r w:rsidRPr="00D9634B">
        <w:rPr>
          <w:rFonts w:ascii="Times New Roman" w:hAnsi="Times New Roman" w:cs="Times New Roman"/>
          <w:sz w:val="24"/>
          <w:lang w:val="es-ES"/>
        </w:rPr>
        <w:t xml:space="preserve"> </w:t>
      </w:r>
    </w:p>
    <w:p w14:paraId="6165F585" w14:textId="77777777" w:rsidR="00FD44A1" w:rsidRPr="00D9634B" w:rsidRDefault="00FD44A1" w:rsidP="00D612C0">
      <w:pPr>
        <w:ind w:firstLine="0"/>
        <w:jc w:val="both"/>
        <w:rPr>
          <w:rFonts w:ascii="Times New Roman" w:hAnsi="Times New Roman" w:cs="Times New Roman"/>
          <w:sz w:val="24"/>
          <w:lang w:val="es-ES"/>
        </w:rPr>
      </w:pPr>
      <w:r w:rsidRPr="00D9634B">
        <w:rPr>
          <w:rFonts w:ascii="Times New Roman" w:hAnsi="Times New Roman" w:cs="Times New Roman"/>
          <w:sz w:val="24"/>
          <w:lang w:val="es-ES"/>
        </w:rPr>
        <w:t xml:space="preserve">Ingeniería </w:t>
      </w:r>
      <w:r w:rsidR="00D9634B" w:rsidRPr="00D9634B">
        <w:rPr>
          <w:rFonts w:ascii="Times New Roman" w:hAnsi="Times New Roman" w:cs="Times New Roman"/>
          <w:sz w:val="24"/>
          <w:lang w:val="es-ES"/>
        </w:rPr>
        <w:t>en Informática y Sistemas</w:t>
      </w:r>
    </w:p>
    <w:p w14:paraId="1F88EB66" w14:textId="77777777" w:rsidR="00D9634B" w:rsidRPr="00D9634B" w:rsidRDefault="00D9634B" w:rsidP="00D612C0">
      <w:pPr>
        <w:ind w:firstLine="0"/>
        <w:jc w:val="both"/>
        <w:rPr>
          <w:rFonts w:ascii="Times New Roman" w:hAnsi="Times New Roman" w:cs="Times New Roman"/>
          <w:sz w:val="24"/>
          <w:lang w:val="es-ES"/>
        </w:rPr>
      </w:pPr>
      <w:r w:rsidRPr="00D9634B">
        <w:rPr>
          <w:rFonts w:ascii="Times New Roman" w:hAnsi="Times New Roman" w:cs="Times New Roman"/>
          <w:sz w:val="24"/>
          <w:lang w:val="es-ES"/>
        </w:rPr>
        <w:t xml:space="preserve">Ing. Edwin David García </w:t>
      </w:r>
      <w:proofErr w:type="spellStart"/>
      <w:r w:rsidRPr="00D9634B">
        <w:rPr>
          <w:rFonts w:ascii="Times New Roman" w:hAnsi="Times New Roman" w:cs="Times New Roman"/>
          <w:sz w:val="24"/>
          <w:lang w:val="es-ES"/>
        </w:rPr>
        <w:t>Ajca</w:t>
      </w:r>
      <w:proofErr w:type="spellEnd"/>
    </w:p>
    <w:p w14:paraId="62BB7A19" w14:textId="77777777" w:rsidR="00D9634B" w:rsidRPr="00D9634B" w:rsidRDefault="00D9634B" w:rsidP="00D612C0">
      <w:pPr>
        <w:ind w:firstLine="0"/>
        <w:jc w:val="both"/>
        <w:rPr>
          <w:rFonts w:ascii="Times New Roman" w:hAnsi="Times New Roman" w:cs="Times New Roman"/>
          <w:sz w:val="24"/>
          <w:lang w:val="es-ES"/>
        </w:rPr>
      </w:pPr>
    </w:p>
    <w:p w14:paraId="4D480D50" w14:textId="77777777" w:rsidR="00D9634B" w:rsidRPr="00D9634B" w:rsidRDefault="00D9634B" w:rsidP="00D612C0">
      <w:pPr>
        <w:ind w:firstLine="0"/>
        <w:jc w:val="both"/>
        <w:rPr>
          <w:rFonts w:ascii="Times New Roman" w:hAnsi="Times New Roman" w:cs="Times New Roman"/>
          <w:sz w:val="24"/>
          <w:lang w:val="es-ES"/>
        </w:rPr>
      </w:pPr>
    </w:p>
    <w:p w14:paraId="6033960B" w14:textId="77777777" w:rsidR="00D9634B" w:rsidRPr="00D9634B" w:rsidRDefault="00D9634B" w:rsidP="00D612C0">
      <w:pPr>
        <w:ind w:firstLine="0"/>
        <w:jc w:val="both"/>
        <w:rPr>
          <w:rFonts w:ascii="Times New Roman" w:hAnsi="Times New Roman" w:cs="Times New Roman"/>
          <w:sz w:val="24"/>
          <w:lang w:val="es-ES"/>
        </w:rPr>
      </w:pPr>
    </w:p>
    <w:p w14:paraId="361017FC" w14:textId="77777777" w:rsidR="00D9634B" w:rsidRPr="00D9634B" w:rsidRDefault="00D9634B" w:rsidP="00D612C0">
      <w:pPr>
        <w:ind w:firstLine="0"/>
        <w:jc w:val="both"/>
        <w:rPr>
          <w:rFonts w:ascii="Times New Roman" w:hAnsi="Times New Roman" w:cs="Times New Roman"/>
          <w:sz w:val="24"/>
          <w:lang w:val="es-ES"/>
        </w:rPr>
      </w:pPr>
    </w:p>
    <w:p w14:paraId="2274FF48" w14:textId="77777777" w:rsidR="00D9634B" w:rsidRPr="00D9634B" w:rsidRDefault="00D9634B" w:rsidP="00D612C0">
      <w:pPr>
        <w:ind w:firstLine="0"/>
        <w:jc w:val="both"/>
        <w:rPr>
          <w:rFonts w:ascii="Times New Roman" w:hAnsi="Times New Roman" w:cs="Times New Roman"/>
          <w:sz w:val="24"/>
          <w:lang w:val="es-ES"/>
        </w:rPr>
      </w:pPr>
    </w:p>
    <w:p w14:paraId="7D7233BC" w14:textId="77777777" w:rsidR="00D9634B" w:rsidRPr="00D9634B" w:rsidRDefault="00D9634B" w:rsidP="00D612C0">
      <w:pPr>
        <w:ind w:firstLine="0"/>
        <w:jc w:val="both"/>
        <w:rPr>
          <w:rFonts w:ascii="Times New Roman" w:hAnsi="Times New Roman" w:cs="Times New Roman"/>
          <w:sz w:val="24"/>
          <w:lang w:val="es-ES"/>
        </w:rPr>
      </w:pPr>
    </w:p>
    <w:p w14:paraId="2137B78C" w14:textId="77777777" w:rsidR="00D9634B" w:rsidRDefault="00D9634B" w:rsidP="00D612C0">
      <w:pPr>
        <w:ind w:firstLine="0"/>
        <w:jc w:val="both"/>
        <w:rPr>
          <w:rFonts w:ascii="Times New Roman" w:hAnsi="Times New Roman" w:cs="Times New Roman"/>
          <w:b/>
          <w:sz w:val="52"/>
          <w:lang w:val="es-ES"/>
        </w:rPr>
      </w:pPr>
      <w:r w:rsidRPr="00D9634B">
        <w:rPr>
          <w:rFonts w:ascii="Times New Roman" w:hAnsi="Times New Roman" w:cs="Times New Roman"/>
          <w:b/>
          <w:sz w:val="52"/>
          <w:lang w:val="es-ES"/>
        </w:rPr>
        <w:t>Portafolio de Inversiones</w:t>
      </w:r>
    </w:p>
    <w:p w14:paraId="71894043" w14:textId="77777777" w:rsidR="00D9634B" w:rsidRPr="00D9634B" w:rsidRDefault="00D9634B" w:rsidP="00D612C0">
      <w:pPr>
        <w:ind w:firstLine="0"/>
        <w:jc w:val="both"/>
        <w:rPr>
          <w:rFonts w:ascii="Times New Roman" w:hAnsi="Times New Roman" w:cs="Times New Roman"/>
          <w:b/>
          <w:sz w:val="24"/>
          <w:szCs w:val="24"/>
          <w:lang w:val="es-ES"/>
        </w:rPr>
      </w:pPr>
    </w:p>
    <w:p w14:paraId="39733257" w14:textId="77777777" w:rsidR="00D9634B" w:rsidRPr="00D9634B" w:rsidRDefault="00D9634B" w:rsidP="00D612C0">
      <w:pPr>
        <w:ind w:firstLine="0"/>
        <w:jc w:val="both"/>
        <w:rPr>
          <w:rFonts w:ascii="Times New Roman" w:hAnsi="Times New Roman" w:cs="Times New Roman"/>
          <w:b/>
          <w:sz w:val="24"/>
          <w:szCs w:val="24"/>
          <w:lang w:val="es-ES"/>
        </w:rPr>
      </w:pPr>
    </w:p>
    <w:p w14:paraId="135F11F1" w14:textId="77777777" w:rsidR="00D9634B" w:rsidRDefault="00D9634B" w:rsidP="00D612C0">
      <w:pPr>
        <w:ind w:firstLine="0"/>
        <w:jc w:val="both"/>
        <w:rPr>
          <w:rFonts w:ascii="Times New Roman" w:hAnsi="Times New Roman" w:cs="Times New Roman"/>
          <w:b/>
          <w:sz w:val="24"/>
          <w:lang w:val="es-ES"/>
        </w:rPr>
      </w:pPr>
    </w:p>
    <w:p w14:paraId="41401854" w14:textId="77777777" w:rsidR="00D9634B" w:rsidRDefault="00D9634B" w:rsidP="00D612C0">
      <w:pPr>
        <w:ind w:firstLine="0"/>
        <w:jc w:val="both"/>
        <w:rPr>
          <w:rFonts w:ascii="Times New Roman" w:hAnsi="Times New Roman" w:cs="Times New Roman"/>
          <w:b/>
          <w:sz w:val="24"/>
          <w:lang w:val="es-ES"/>
        </w:rPr>
      </w:pPr>
    </w:p>
    <w:p w14:paraId="52F216D2" w14:textId="77777777" w:rsidR="00D9634B" w:rsidRDefault="00D9634B" w:rsidP="00D612C0">
      <w:pPr>
        <w:ind w:firstLine="0"/>
        <w:jc w:val="both"/>
        <w:rPr>
          <w:rFonts w:ascii="Times New Roman" w:hAnsi="Times New Roman" w:cs="Times New Roman"/>
          <w:b/>
          <w:sz w:val="24"/>
          <w:lang w:val="es-ES"/>
        </w:rPr>
      </w:pPr>
    </w:p>
    <w:p w14:paraId="2C625AFF" w14:textId="77777777" w:rsidR="00D9634B" w:rsidRPr="00D9634B" w:rsidRDefault="00D9634B" w:rsidP="00D612C0">
      <w:pPr>
        <w:ind w:firstLine="0"/>
        <w:jc w:val="both"/>
        <w:rPr>
          <w:rFonts w:ascii="Times New Roman" w:hAnsi="Times New Roman" w:cs="Times New Roman"/>
          <w:b/>
          <w:sz w:val="24"/>
          <w:lang w:val="es-ES"/>
        </w:rPr>
      </w:pPr>
    </w:p>
    <w:p w14:paraId="5449A0E8" w14:textId="77777777" w:rsidR="00D9634B" w:rsidRDefault="00D9634B" w:rsidP="00D612C0">
      <w:pPr>
        <w:ind w:firstLine="0"/>
        <w:jc w:val="both"/>
        <w:rPr>
          <w:rFonts w:ascii="Times New Roman" w:hAnsi="Times New Roman" w:cs="Times New Roman"/>
          <w:sz w:val="24"/>
          <w:lang w:val="es-ES"/>
        </w:rPr>
      </w:pPr>
      <w:r>
        <w:rPr>
          <w:rFonts w:ascii="Times New Roman" w:hAnsi="Times New Roman" w:cs="Times New Roman"/>
          <w:sz w:val="24"/>
          <w:lang w:val="es-ES"/>
        </w:rPr>
        <w:t>María Leonor Rosales Gutiérrez</w:t>
      </w:r>
    </w:p>
    <w:p w14:paraId="27AECDEF" w14:textId="77777777" w:rsidR="00D9634B" w:rsidRDefault="00D9634B" w:rsidP="00D612C0">
      <w:pPr>
        <w:ind w:firstLine="0"/>
        <w:jc w:val="both"/>
        <w:rPr>
          <w:rFonts w:ascii="Times New Roman" w:hAnsi="Times New Roman" w:cs="Times New Roman"/>
          <w:sz w:val="24"/>
          <w:lang w:val="es-ES"/>
        </w:rPr>
      </w:pPr>
      <w:r>
        <w:rPr>
          <w:rFonts w:ascii="Times New Roman" w:hAnsi="Times New Roman" w:cs="Times New Roman"/>
          <w:sz w:val="24"/>
          <w:lang w:val="es-ES"/>
        </w:rPr>
        <w:t>1560124</w:t>
      </w:r>
    </w:p>
    <w:p w14:paraId="781F01A5" w14:textId="77777777" w:rsidR="00D9634B" w:rsidRDefault="00D9634B" w:rsidP="00D612C0">
      <w:pPr>
        <w:ind w:firstLine="0"/>
        <w:jc w:val="both"/>
        <w:rPr>
          <w:rFonts w:ascii="Times New Roman" w:hAnsi="Times New Roman" w:cs="Times New Roman"/>
          <w:sz w:val="24"/>
          <w:lang w:val="es-ES"/>
        </w:rPr>
      </w:pPr>
    </w:p>
    <w:p w14:paraId="588EFD24" w14:textId="77777777" w:rsidR="00D9634B" w:rsidRDefault="00D9634B" w:rsidP="00D612C0">
      <w:pPr>
        <w:ind w:firstLine="0"/>
        <w:jc w:val="both"/>
        <w:rPr>
          <w:rFonts w:ascii="Times New Roman" w:hAnsi="Times New Roman" w:cs="Times New Roman"/>
          <w:sz w:val="24"/>
          <w:lang w:val="es-ES"/>
        </w:rPr>
        <w:sectPr w:rsidR="00D9634B">
          <w:pgSz w:w="12240" w:h="15840"/>
          <w:pgMar w:top="1417" w:right="1701" w:bottom="1417" w:left="1701" w:header="708" w:footer="708" w:gutter="0"/>
          <w:cols w:space="708"/>
          <w:docGrid w:linePitch="360"/>
        </w:sectPr>
      </w:pPr>
      <w:r>
        <w:rPr>
          <w:rFonts w:ascii="Times New Roman" w:hAnsi="Times New Roman" w:cs="Times New Roman"/>
          <w:sz w:val="24"/>
          <w:lang w:val="es-ES"/>
        </w:rPr>
        <w:t>Quetzaltenango, Guatemala, 2 de febrero de 2025</w:t>
      </w:r>
    </w:p>
    <w:p w14:paraId="009244FE" w14:textId="77777777" w:rsidR="00D9634B" w:rsidRPr="00D612C0" w:rsidRDefault="00D9634B" w:rsidP="00D612C0">
      <w:pPr>
        <w:ind w:firstLine="0"/>
        <w:jc w:val="center"/>
        <w:rPr>
          <w:rFonts w:ascii="Times New Roman" w:hAnsi="Times New Roman" w:cs="Times New Roman"/>
          <w:b/>
          <w:sz w:val="28"/>
          <w:lang w:val="es-ES"/>
        </w:rPr>
      </w:pPr>
      <w:r w:rsidRPr="00D612C0">
        <w:rPr>
          <w:rFonts w:ascii="Times New Roman" w:hAnsi="Times New Roman" w:cs="Times New Roman"/>
          <w:b/>
          <w:sz w:val="28"/>
          <w:lang w:val="es-ES"/>
        </w:rPr>
        <w:lastRenderedPageBreak/>
        <w:t>Resumen</w:t>
      </w:r>
    </w:p>
    <w:p w14:paraId="066D81DE" w14:textId="77777777" w:rsidR="00FD679C" w:rsidRPr="00FD679C" w:rsidRDefault="00FD679C" w:rsidP="00D612C0">
      <w:pPr>
        <w:spacing w:before="100" w:beforeAutospacing="1" w:after="100" w:afterAutospacing="1" w:line="240" w:lineRule="auto"/>
        <w:ind w:firstLine="0"/>
        <w:jc w:val="both"/>
        <w:rPr>
          <w:rFonts w:ascii="Times New Roman" w:eastAsia="Times New Roman" w:hAnsi="Times New Roman" w:cs="Times New Roman"/>
          <w:sz w:val="24"/>
          <w:szCs w:val="24"/>
          <w:lang w:eastAsia="es-GT"/>
        </w:rPr>
      </w:pPr>
      <w:r w:rsidRPr="00FD679C">
        <w:rPr>
          <w:rFonts w:ascii="Times New Roman" w:eastAsia="Times New Roman" w:hAnsi="Times New Roman" w:cs="Times New Roman"/>
          <w:sz w:val="24"/>
          <w:szCs w:val="24"/>
          <w:lang w:eastAsia="es-GT"/>
        </w:rPr>
        <w:t>Este documento presenta el portafolio de inversión de diversas áreas, estructurado a partir de un capital inicial de $100,000 dólares. Dicho monto fue distribuido en ocho categorías de inversión, con la restricción de no asignar más del 30% a ninguna de ellas. Las categorías son las siguientes:</w:t>
      </w:r>
    </w:p>
    <w:p w14:paraId="321BE0F7" w14:textId="77777777" w:rsidR="00FD679C" w:rsidRPr="00FD679C" w:rsidRDefault="00FD679C" w:rsidP="00D612C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FD679C">
        <w:rPr>
          <w:rFonts w:ascii="Times New Roman" w:eastAsia="Times New Roman" w:hAnsi="Times New Roman" w:cs="Times New Roman"/>
          <w:sz w:val="24"/>
          <w:szCs w:val="24"/>
          <w:lang w:eastAsia="es-GT"/>
        </w:rPr>
        <w:t>Bonos soberanos/municipales</w:t>
      </w:r>
    </w:p>
    <w:p w14:paraId="7292355B" w14:textId="77777777" w:rsidR="00FD679C" w:rsidRPr="00FD679C" w:rsidRDefault="00FD679C" w:rsidP="00D612C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FD679C">
        <w:rPr>
          <w:rFonts w:ascii="Times New Roman" w:eastAsia="Times New Roman" w:hAnsi="Times New Roman" w:cs="Times New Roman"/>
          <w:sz w:val="24"/>
          <w:szCs w:val="24"/>
          <w:lang w:eastAsia="es-GT"/>
        </w:rPr>
        <w:t>Bonos corporativos</w:t>
      </w:r>
    </w:p>
    <w:p w14:paraId="6E15EBDD" w14:textId="77777777" w:rsidR="00FD679C" w:rsidRPr="00FD679C" w:rsidRDefault="00FD679C" w:rsidP="00D612C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FD679C">
        <w:rPr>
          <w:rFonts w:ascii="Times New Roman" w:eastAsia="Times New Roman" w:hAnsi="Times New Roman" w:cs="Times New Roman"/>
          <w:sz w:val="24"/>
          <w:szCs w:val="24"/>
          <w:lang w:eastAsia="es-GT"/>
        </w:rPr>
        <w:t>Acciones</w:t>
      </w:r>
    </w:p>
    <w:p w14:paraId="5A0672FF" w14:textId="77777777" w:rsidR="00FD679C" w:rsidRPr="00FD679C" w:rsidRDefault="00FD679C" w:rsidP="00D612C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FD679C">
        <w:rPr>
          <w:rFonts w:ascii="Times New Roman" w:eastAsia="Times New Roman" w:hAnsi="Times New Roman" w:cs="Times New Roman"/>
          <w:sz w:val="24"/>
          <w:szCs w:val="24"/>
          <w:lang w:eastAsia="es-GT"/>
        </w:rPr>
        <w:t>Acciones de riesgo</w:t>
      </w:r>
    </w:p>
    <w:p w14:paraId="44768843" w14:textId="77777777" w:rsidR="00FD679C" w:rsidRPr="00FD679C" w:rsidRDefault="00FD679C" w:rsidP="00D612C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GT"/>
        </w:rPr>
      </w:pPr>
      <w:proofErr w:type="spellStart"/>
      <w:r w:rsidRPr="00FD679C">
        <w:rPr>
          <w:rFonts w:ascii="Times New Roman" w:eastAsia="Times New Roman" w:hAnsi="Times New Roman" w:cs="Times New Roman"/>
          <w:sz w:val="24"/>
          <w:szCs w:val="24"/>
          <w:lang w:eastAsia="es-GT"/>
        </w:rPr>
        <w:t>Commodity</w:t>
      </w:r>
      <w:proofErr w:type="spellEnd"/>
      <w:r w:rsidRPr="00FD679C">
        <w:rPr>
          <w:rFonts w:ascii="Times New Roman" w:eastAsia="Times New Roman" w:hAnsi="Times New Roman" w:cs="Times New Roman"/>
          <w:sz w:val="24"/>
          <w:szCs w:val="24"/>
          <w:lang w:eastAsia="es-GT"/>
        </w:rPr>
        <w:t xml:space="preserve"> 1</w:t>
      </w:r>
    </w:p>
    <w:p w14:paraId="12565433" w14:textId="77777777" w:rsidR="00FD679C" w:rsidRPr="00FD679C" w:rsidRDefault="00FD679C" w:rsidP="00D612C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GT"/>
        </w:rPr>
      </w:pPr>
      <w:proofErr w:type="spellStart"/>
      <w:r w:rsidRPr="00FD679C">
        <w:rPr>
          <w:rFonts w:ascii="Times New Roman" w:eastAsia="Times New Roman" w:hAnsi="Times New Roman" w:cs="Times New Roman"/>
          <w:sz w:val="24"/>
          <w:szCs w:val="24"/>
          <w:lang w:eastAsia="es-GT"/>
        </w:rPr>
        <w:t>Commodity</w:t>
      </w:r>
      <w:proofErr w:type="spellEnd"/>
      <w:r w:rsidRPr="00FD679C">
        <w:rPr>
          <w:rFonts w:ascii="Times New Roman" w:eastAsia="Times New Roman" w:hAnsi="Times New Roman" w:cs="Times New Roman"/>
          <w:sz w:val="24"/>
          <w:szCs w:val="24"/>
          <w:lang w:eastAsia="es-GT"/>
        </w:rPr>
        <w:t xml:space="preserve"> 2</w:t>
      </w:r>
    </w:p>
    <w:p w14:paraId="14E8E48C" w14:textId="77777777" w:rsidR="00FD679C" w:rsidRPr="00FD679C" w:rsidRDefault="00FD679C" w:rsidP="00D612C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FD679C">
        <w:rPr>
          <w:rFonts w:ascii="Times New Roman" w:eastAsia="Times New Roman" w:hAnsi="Times New Roman" w:cs="Times New Roman"/>
          <w:sz w:val="24"/>
          <w:szCs w:val="24"/>
          <w:lang w:eastAsia="es-GT"/>
        </w:rPr>
        <w:t>Moneda 1</w:t>
      </w:r>
    </w:p>
    <w:p w14:paraId="4594954B" w14:textId="77777777" w:rsidR="00FD679C" w:rsidRPr="00FD679C" w:rsidRDefault="00FD679C" w:rsidP="00D612C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GT"/>
        </w:rPr>
      </w:pPr>
      <w:r w:rsidRPr="00FD679C">
        <w:rPr>
          <w:rFonts w:ascii="Times New Roman" w:eastAsia="Times New Roman" w:hAnsi="Times New Roman" w:cs="Times New Roman"/>
          <w:sz w:val="24"/>
          <w:szCs w:val="24"/>
          <w:lang w:eastAsia="es-GT"/>
        </w:rPr>
        <w:t>Moneda 2</w:t>
      </w:r>
    </w:p>
    <w:p w14:paraId="70302E31" w14:textId="77777777" w:rsidR="00FD679C" w:rsidRPr="00FD679C" w:rsidRDefault="00FD679C" w:rsidP="00D612C0">
      <w:pPr>
        <w:spacing w:before="100" w:beforeAutospacing="1" w:after="100" w:afterAutospacing="1" w:line="240" w:lineRule="auto"/>
        <w:ind w:firstLine="0"/>
        <w:jc w:val="both"/>
        <w:rPr>
          <w:rFonts w:ascii="Times New Roman" w:eastAsia="Times New Roman" w:hAnsi="Times New Roman" w:cs="Times New Roman"/>
          <w:sz w:val="24"/>
          <w:szCs w:val="24"/>
          <w:lang w:eastAsia="es-GT"/>
        </w:rPr>
      </w:pPr>
      <w:r w:rsidRPr="00FD679C">
        <w:rPr>
          <w:rFonts w:ascii="Times New Roman" w:eastAsia="Times New Roman" w:hAnsi="Times New Roman" w:cs="Times New Roman"/>
          <w:sz w:val="24"/>
          <w:szCs w:val="24"/>
          <w:lang w:eastAsia="es-GT"/>
        </w:rPr>
        <w:t>Este portafolio busca diversificar la inversión y gestionar el riesgo de manera estratégica.</w:t>
      </w:r>
    </w:p>
    <w:p w14:paraId="036906BD" w14:textId="77777777" w:rsidR="00FD679C" w:rsidRDefault="00FD679C" w:rsidP="00D612C0">
      <w:pPr>
        <w:ind w:firstLine="0"/>
        <w:jc w:val="both"/>
        <w:rPr>
          <w:rFonts w:ascii="Times New Roman" w:hAnsi="Times New Roman" w:cs="Times New Roman"/>
          <w:sz w:val="24"/>
        </w:rPr>
        <w:sectPr w:rsidR="00FD679C">
          <w:pgSz w:w="12240" w:h="15840"/>
          <w:pgMar w:top="1417" w:right="1701" w:bottom="1417" w:left="1701" w:header="708" w:footer="708" w:gutter="0"/>
          <w:cols w:space="708"/>
          <w:docGrid w:linePitch="360"/>
        </w:sectPr>
      </w:pPr>
    </w:p>
    <w:p w14:paraId="6F343ABA" w14:textId="77777777" w:rsidR="00D9634B" w:rsidRPr="00E75C2C" w:rsidRDefault="00E75C2C" w:rsidP="00D612C0">
      <w:pPr>
        <w:ind w:firstLine="0"/>
        <w:jc w:val="center"/>
        <w:rPr>
          <w:rFonts w:ascii="Times New Roman" w:hAnsi="Times New Roman" w:cs="Times New Roman"/>
          <w:b/>
          <w:sz w:val="28"/>
        </w:rPr>
      </w:pPr>
      <w:r>
        <w:rPr>
          <w:rFonts w:ascii="Times New Roman" w:hAnsi="Times New Roman" w:cs="Times New Roman"/>
          <w:b/>
          <w:sz w:val="28"/>
        </w:rPr>
        <w:lastRenderedPageBreak/>
        <w:t>Portafolio de Inversiones</w:t>
      </w:r>
    </w:p>
    <w:p w14:paraId="41BDE902" w14:textId="77777777" w:rsidR="00FD679C" w:rsidRPr="004160BA" w:rsidRDefault="00FD679C" w:rsidP="00D612C0">
      <w:pPr>
        <w:pStyle w:val="Prrafodelista"/>
        <w:numPr>
          <w:ilvl w:val="0"/>
          <w:numId w:val="3"/>
        </w:numPr>
        <w:jc w:val="both"/>
        <w:rPr>
          <w:rFonts w:ascii="Times New Roman" w:hAnsi="Times New Roman" w:cs="Times New Roman"/>
          <w:b/>
          <w:sz w:val="24"/>
        </w:rPr>
      </w:pPr>
      <w:r w:rsidRPr="004160BA">
        <w:rPr>
          <w:rFonts w:ascii="Times New Roman" w:hAnsi="Times New Roman" w:cs="Times New Roman"/>
          <w:b/>
          <w:sz w:val="24"/>
        </w:rPr>
        <w:t>Bonos Soberanos</w:t>
      </w:r>
      <w:r w:rsidRPr="004160BA">
        <w:rPr>
          <w:rFonts w:ascii="Times New Roman" w:hAnsi="Times New Roman" w:cs="Times New Roman"/>
          <w:b/>
          <w:sz w:val="24"/>
          <w:lang w:val="en-001"/>
        </w:rPr>
        <w:t>/</w:t>
      </w:r>
      <w:r w:rsidRPr="004160BA">
        <w:rPr>
          <w:rFonts w:ascii="Times New Roman" w:hAnsi="Times New Roman" w:cs="Times New Roman"/>
          <w:b/>
          <w:sz w:val="24"/>
        </w:rPr>
        <w:t>Municipales</w:t>
      </w:r>
      <w:r w:rsidR="0035308D" w:rsidRPr="004160BA">
        <w:rPr>
          <w:rFonts w:ascii="Times New Roman" w:hAnsi="Times New Roman" w:cs="Times New Roman"/>
          <w:b/>
          <w:sz w:val="24"/>
        </w:rPr>
        <w:t xml:space="preserve"> </w:t>
      </w:r>
      <w:r w:rsidR="0035308D" w:rsidRPr="004160BA">
        <w:rPr>
          <w:rFonts w:ascii="Times New Roman" w:hAnsi="Times New Roman" w:cs="Times New Roman"/>
          <w:b/>
          <w:sz w:val="24"/>
          <w:lang w:val="en-001"/>
        </w:rPr>
        <w:t xml:space="preserve">- </w:t>
      </w:r>
      <w:proofErr w:type="spellStart"/>
      <w:r w:rsidR="0035308D" w:rsidRPr="004160BA">
        <w:rPr>
          <w:rFonts w:ascii="Times New Roman" w:hAnsi="Times New Roman" w:cs="Times New Roman"/>
          <w:b/>
          <w:sz w:val="24"/>
        </w:rPr>
        <w:t>Treasury</w:t>
      </w:r>
      <w:proofErr w:type="spellEnd"/>
      <w:r w:rsidR="0035308D" w:rsidRPr="004160BA">
        <w:rPr>
          <w:rFonts w:ascii="Times New Roman" w:hAnsi="Times New Roman" w:cs="Times New Roman"/>
          <w:b/>
          <w:sz w:val="24"/>
        </w:rPr>
        <w:t xml:space="preserve"> </w:t>
      </w:r>
      <w:proofErr w:type="spellStart"/>
      <w:r w:rsidR="0035308D" w:rsidRPr="004160BA">
        <w:rPr>
          <w:rFonts w:ascii="Times New Roman" w:hAnsi="Times New Roman" w:cs="Times New Roman"/>
          <w:b/>
          <w:sz w:val="24"/>
        </w:rPr>
        <w:t>Yield</w:t>
      </w:r>
      <w:proofErr w:type="spellEnd"/>
      <w:r w:rsidR="0035308D" w:rsidRPr="004160BA">
        <w:rPr>
          <w:rFonts w:ascii="Times New Roman" w:hAnsi="Times New Roman" w:cs="Times New Roman"/>
          <w:b/>
          <w:sz w:val="24"/>
        </w:rPr>
        <w:t xml:space="preserve"> 5 </w:t>
      </w:r>
      <w:proofErr w:type="spellStart"/>
      <w:r w:rsidR="0035308D" w:rsidRPr="004160BA">
        <w:rPr>
          <w:rFonts w:ascii="Times New Roman" w:hAnsi="Times New Roman" w:cs="Times New Roman"/>
          <w:b/>
          <w:sz w:val="24"/>
        </w:rPr>
        <w:t>Years</w:t>
      </w:r>
      <w:proofErr w:type="spellEnd"/>
    </w:p>
    <w:p w14:paraId="2DA0B9E2" w14:textId="77777777" w:rsidR="00FD679C" w:rsidRDefault="00FD679C" w:rsidP="00D612C0">
      <w:pPr>
        <w:ind w:firstLine="0"/>
        <w:jc w:val="both"/>
        <w:rPr>
          <w:rFonts w:ascii="Times New Roman" w:hAnsi="Times New Roman" w:cs="Times New Roman"/>
          <w:sz w:val="24"/>
        </w:rPr>
      </w:pPr>
      <w:r>
        <w:rPr>
          <w:rFonts w:ascii="Times New Roman" w:hAnsi="Times New Roman" w:cs="Times New Roman"/>
          <w:sz w:val="24"/>
        </w:rPr>
        <w:t xml:space="preserve">En esta categoría de decidió invertir en </w:t>
      </w:r>
      <w:proofErr w:type="spellStart"/>
      <w:r w:rsidRPr="00FD679C">
        <w:rPr>
          <w:rFonts w:ascii="Times New Roman" w:hAnsi="Times New Roman" w:cs="Times New Roman"/>
          <w:sz w:val="24"/>
        </w:rPr>
        <w:t>Treasury</w:t>
      </w:r>
      <w:proofErr w:type="spellEnd"/>
      <w:r w:rsidRPr="00FD679C">
        <w:rPr>
          <w:rFonts w:ascii="Times New Roman" w:hAnsi="Times New Roman" w:cs="Times New Roman"/>
          <w:sz w:val="24"/>
        </w:rPr>
        <w:t xml:space="preserve"> </w:t>
      </w:r>
      <w:proofErr w:type="spellStart"/>
      <w:r w:rsidRPr="00FD679C">
        <w:rPr>
          <w:rFonts w:ascii="Times New Roman" w:hAnsi="Times New Roman" w:cs="Times New Roman"/>
          <w:sz w:val="24"/>
        </w:rPr>
        <w:t>Yield</w:t>
      </w:r>
      <w:proofErr w:type="spellEnd"/>
      <w:r w:rsidRPr="00FD679C">
        <w:rPr>
          <w:rFonts w:ascii="Times New Roman" w:hAnsi="Times New Roman" w:cs="Times New Roman"/>
          <w:sz w:val="24"/>
        </w:rPr>
        <w:t xml:space="preserve"> 5 </w:t>
      </w:r>
      <w:proofErr w:type="spellStart"/>
      <w:r w:rsidRPr="00FD679C">
        <w:rPr>
          <w:rFonts w:ascii="Times New Roman" w:hAnsi="Times New Roman" w:cs="Times New Roman"/>
          <w:sz w:val="24"/>
        </w:rPr>
        <w:t>Years</w:t>
      </w:r>
      <w:proofErr w:type="spellEnd"/>
      <w:r>
        <w:rPr>
          <w:rFonts w:ascii="Times New Roman" w:hAnsi="Times New Roman" w:cs="Times New Roman"/>
          <w:sz w:val="24"/>
        </w:rPr>
        <w:t>, ya que al ser un bono de gobierno se obtiene una seguridad de inversión, de igual manera se obtiene un rendimiento estable</w:t>
      </w:r>
      <w:r w:rsidR="00DA4FFC">
        <w:rPr>
          <w:rFonts w:ascii="Times New Roman" w:hAnsi="Times New Roman" w:cs="Times New Roman"/>
          <w:sz w:val="24"/>
        </w:rPr>
        <w:t>.</w:t>
      </w:r>
    </w:p>
    <w:p w14:paraId="0A07E9DF" w14:textId="77777777" w:rsidR="00DA4FFC" w:rsidRDefault="00DA4FFC" w:rsidP="00D612C0">
      <w:pPr>
        <w:pStyle w:val="Prrafodelista"/>
        <w:numPr>
          <w:ilvl w:val="0"/>
          <w:numId w:val="4"/>
        </w:numPr>
        <w:jc w:val="both"/>
        <w:rPr>
          <w:rFonts w:ascii="Times New Roman" w:hAnsi="Times New Roman" w:cs="Times New Roman"/>
          <w:sz w:val="24"/>
        </w:rPr>
      </w:pPr>
      <w:r>
        <w:rPr>
          <w:rFonts w:ascii="Times New Roman" w:hAnsi="Times New Roman" w:cs="Times New Roman"/>
          <w:sz w:val="24"/>
        </w:rPr>
        <w:t>Rendimiento</w:t>
      </w:r>
    </w:p>
    <w:p w14:paraId="6CA3D086" w14:textId="77777777" w:rsidR="00DA4FFC" w:rsidRDefault="00DA4FFC" w:rsidP="00D612C0">
      <w:pPr>
        <w:ind w:firstLine="0"/>
        <w:jc w:val="both"/>
        <w:rPr>
          <w:rFonts w:ascii="Times New Roman" w:hAnsi="Times New Roman" w:cs="Times New Roman"/>
          <w:sz w:val="24"/>
        </w:rPr>
      </w:pPr>
      <w:r>
        <w:rPr>
          <w:rFonts w:ascii="Times New Roman" w:hAnsi="Times New Roman" w:cs="Times New Roman"/>
          <w:sz w:val="24"/>
        </w:rPr>
        <w:t>Aunque su rendimiento actual no sea el más elevado, este consta con un rendimiento estable, lo que significa un flujo de ingresos más estable y predecible</w:t>
      </w:r>
    </w:p>
    <w:p w14:paraId="63838D94" w14:textId="77777777" w:rsidR="00DA4FFC" w:rsidRPr="00DA4FFC" w:rsidRDefault="00DA4FFC" w:rsidP="00D612C0">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Rating </w:t>
      </w:r>
    </w:p>
    <w:p w14:paraId="48DB4BFE" w14:textId="77777777" w:rsidR="00DA4FFC" w:rsidRDefault="00B3095B" w:rsidP="00D612C0">
      <w:pPr>
        <w:ind w:firstLine="0"/>
        <w:jc w:val="both"/>
        <w:rPr>
          <w:rFonts w:ascii="Times New Roman" w:hAnsi="Times New Roman" w:cs="Times New Roman"/>
          <w:sz w:val="24"/>
        </w:rPr>
      </w:pPr>
      <w:r w:rsidRPr="00B3095B">
        <w:rPr>
          <w:rFonts w:ascii="Times New Roman" w:hAnsi="Times New Roman" w:cs="Times New Roman"/>
          <w:sz w:val="24"/>
        </w:rPr>
        <w:t>Este tipo de bono es ideal para quienes buscan una inversión de bajo riesgo y con rendimientos relativamente seguros, aunque no tiene un alto potencial de crecimiento.</w:t>
      </w:r>
    </w:p>
    <w:p w14:paraId="1FFF3853" w14:textId="77777777" w:rsidR="00B3095B" w:rsidRDefault="00B3095B" w:rsidP="00D612C0">
      <w:pPr>
        <w:ind w:firstLine="0"/>
        <w:jc w:val="both"/>
        <w:rPr>
          <w:rFonts w:ascii="Times New Roman" w:hAnsi="Times New Roman" w:cs="Times New Roman"/>
          <w:sz w:val="24"/>
        </w:rPr>
      </w:pPr>
    </w:p>
    <w:p w14:paraId="1D2094F5" w14:textId="77777777" w:rsidR="0035308D" w:rsidRPr="004160BA" w:rsidRDefault="0035308D" w:rsidP="00D612C0">
      <w:pPr>
        <w:pStyle w:val="Prrafodelista"/>
        <w:numPr>
          <w:ilvl w:val="0"/>
          <w:numId w:val="3"/>
        </w:numPr>
        <w:jc w:val="both"/>
        <w:rPr>
          <w:rFonts w:ascii="Times New Roman" w:hAnsi="Times New Roman" w:cs="Times New Roman"/>
          <w:b/>
          <w:sz w:val="24"/>
        </w:rPr>
      </w:pPr>
      <w:bookmarkStart w:id="1" w:name="_Hlk189424631"/>
      <w:r w:rsidRPr="004160BA">
        <w:rPr>
          <w:rFonts w:ascii="Times New Roman" w:hAnsi="Times New Roman" w:cs="Times New Roman"/>
          <w:b/>
          <w:sz w:val="24"/>
        </w:rPr>
        <w:t xml:space="preserve">Bonos Corporativos - Coca-Cola </w:t>
      </w:r>
      <w:proofErr w:type="spellStart"/>
      <w:r w:rsidRPr="004160BA">
        <w:rPr>
          <w:rFonts w:ascii="Times New Roman" w:hAnsi="Times New Roman" w:cs="Times New Roman"/>
          <w:b/>
          <w:sz w:val="24"/>
        </w:rPr>
        <w:t>Consolidated</w:t>
      </w:r>
      <w:proofErr w:type="spellEnd"/>
      <w:r w:rsidRPr="004160BA">
        <w:rPr>
          <w:rFonts w:ascii="Times New Roman" w:hAnsi="Times New Roman" w:cs="Times New Roman"/>
          <w:b/>
          <w:sz w:val="24"/>
        </w:rPr>
        <w:t xml:space="preserve"> Inc.</w:t>
      </w:r>
    </w:p>
    <w:bookmarkEnd w:id="1"/>
    <w:p w14:paraId="05FF3574" w14:textId="77777777" w:rsidR="0035308D" w:rsidRPr="0035308D" w:rsidRDefault="0035308D" w:rsidP="00D612C0">
      <w:pPr>
        <w:ind w:firstLine="0"/>
        <w:jc w:val="both"/>
        <w:rPr>
          <w:rFonts w:ascii="Times New Roman" w:hAnsi="Times New Roman" w:cs="Times New Roman"/>
          <w:sz w:val="24"/>
        </w:rPr>
      </w:pPr>
      <w:r w:rsidRPr="0035308D">
        <w:rPr>
          <w:rFonts w:ascii="Times New Roman" w:hAnsi="Times New Roman" w:cs="Times New Roman"/>
          <w:sz w:val="24"/>
        </w:rPr>
        <w:t xml:space="preserve">Se decidió invertir en estos bonos debido al alcance global de la empresa y su sólida base económica, lo que ofrece una mayor estabilidad y rentabilidad a largo plazo. Aunque su precio es ligeramente elevado, la trayectoria financiera de Coca-Cola </w:t>
      </w:r>
      <w:proofErr w:type="spellStart"/>
      <w:r w:rsidRPr="0035308D">
        <w:rPr>
          <w:rFonts w:ascii="Times New Roman" w:hAnsi="Times New Roman" w:cs="Times New Roman"/>
          <w:sz w:val="24"/>
        </w:rPr>
        <w:t>Consolidated</w:t>
      </w:r>
      <w:proofErr w:type="spellEnd"/>
      <w:r w:rsidRPr="0035308D">
        <w:rPr>
          <w:rFonts w:ascii="Times New Roman" w:hAnsi="Times New Roman" w:cs="Times New Roman"/>
          <w:sz w:val="24"/>
        </w:rPr>
        <w:t xml:space="preserve"> respalda la viabilidad de esta inversión.</w:t>
      </w:r>
    </w:p>
    <w:p w14:paraId="2AB24A54" w14:textId="77777777" w:rsidR="0035308D" w:rsidRPr="0035308D" w:rsidRDefault="0035308D" w:rsidP="00D612C0">
      <w:pPr>
        <w:pStyle w:val="Prrafodelista"/>
        <w:numPr>
          <w:ilvl w:val="0"/>
          <w:numId w:val="4"/>
        </w:numPr>
        <w:jc w:val="both"/>
        <w:rPr>
          <w:rFonts w:ascii="Times New Roman" w:hAnsi="Times New Roman" w:cs="Times New Roman"/>
          <w:sz w:val="24"/>
        </w:rPr>
      </w:pPr>
      <w:r w:rsidRPr="0035308D">
        <w:rPr>
          <w:rFonts w:ascii="Times New Roman" w:hAnsi="Times New Roman" w:cs="Times New Roman"/>
          <w:sz w:val="24"/>
        </w:rPr>
        <w:t>Rendimiento</w:t>
      </w:r>
    </w:p>
    <w:p w14:paraId="14DA5248" w14:textId="77777777" w:rsidR="0035308D" w:rsidRPr="0035308D" w:rsidRDefault="0035308D" w:rsidP="00D612C0">
      <w:pPr>
        <w:ind w:firstLine="0"/>
        <w:jc w:val="both"/>
        <w:rPr>
          <w:rFonts w:ascii="Times New Roman" w:hAnsi="Times New Roman" w:cs="Times New Roman"/>
          <w:sz w:val="24"/>
          <w:lang w:val="en-001"/>
        </w:rPr>
      </w:pPr>
      <w:r w:rsidRPr="0035308D">
        <w:rPr>
          <w:rFonts w:ascii="Times New Roman" w:hAnsi="Times New Roman" w:cs="Times New Roman"/>
          <w:sz w:val="24"/>
        </w:rPr>
        <w:t xml:space="preserve">El rendimiento es variable; sin embargo, según las proyecciones gráficas, no se esperan caídas significativas. Dado que Coca-Cola </w:t>
      </w:r>
      <w:proofErr w:type="spellStart"/>
      <w:r w:rsidRPr="0035308D">
        <w:rPr>
          <w:rFonts w:ascii="Times New Roman" w:hAnsi="Times New Roman" w:cs="Times New Roman"/>
          <w:sz w:val="24"/>
        </w:rPr>
        <w:t>Consolidated</w:t>
      </w:r>
      <w:proofErr w:type="spellEnd"/>
      <w:r w:rsidRPr="0035308D">
        <w:rPr>
          <w:rFonts w:ascii="Times New Roman" w:hAnsi="Times New Roman" w:cs="Times New Roman"/>
          <w:sz w:val="24"/>
        </w:rPr>
        <w:t xml:space="preserve"> es una de las principales empresas en el mercado de bebidas carbonatadas y otros productos, se prevé un rendimiento estable</w:t>
      </w:r>
      <w:r w:rsidR="00B3095B">
        <w:rPr>
          <w:rFonts w:ascii="Times New Roman" w:hAnsi="Times New Roman" w:cs="Times New Roman"/>
          <w:sz w:val="24"/>
        </w:rPr>
        <w:t>.</w:t>
      </w:r>
    </w:p>
    <w:p w14:paraId="16935EDD" w14:textId="77777777" w:rsidR="0035308D" w:rsidRPr="0035308D" w:rsidRDefault="0035308D" w:rsidP="00D612C0">
      <w:pPr>
        <w:pStyle w:val="Prrafodelista"/>
        <w:numPr>
          <w:ilvl w:val="0"/>
          <w:numId w:val="4"/>
        </w:numPr>
        <w:jc w:val="both"/>
        <w:rPr>
          <w:rFonts w:ascii="Times New Roman" w:hAnsi="Times New Roman" w:cs="Times New Roman"/>
          <w:sz w:val="24"/>
        </w:rPr>
      </w:pPr>
      <w:r w:rsidRPr="0035308D">
        <w:rPr>
          <w:rFonts w:ascii="Times New Roman" w:hAnsi="Times New Roman" w:cs="Times New Roman"/>
          <w:sz w:val="24"/>
        </w:rPr>
        <w:t>Tipo de Empresa</w:t>
      </w:r>
    </w:p>
    <w:p w14:paraId="2EAAFB6F" w14:textId="77777777" w:rsidR="0035308D" w:rsidRDefault="0035308D" w:rsidP="00D612C0">
      <w:pPr>
        <w:ind w:firstLine="0"/>
        <w:jc w:val="both"/>
        <w:rPr>
          <w:rFonts w:ascii="Times New Roman" w:hAnsi="Times New Roman" w:cs="Times New Roman"/>
          <w:sz w:val="24"/>
        </w:rPr>
      </w:pPr>
      <w:r w:rsidRPr="0035308D">
        <w:rPr>
          <w:rFonts w:ascii="Times New Roman" w:hAnsi="Times New Roman" w:cs="Times New Roman"/>
          <w:sz w:val="24"/>
        </w:rPr>
        <w:lastRenderedPageBreak/>
        <w:t xml:space="preserve">Coca-Cola </w:t>
      </w:r>
      <w:proofErr w:type="spellStart"/>
      <w:r w:rsidRPr="0035308D">
        <w:rPr>
          <w:rFonts w:ascii="Times New Roman" w:hAnsi="Times New Roman" w:cs="Times New Roman"/>
          <w:sz w:val="24"/>
        </w:rPr>
        <w:t>Consolidated</w:t>
      </w:r>
      <w:proofErr w:type="spellEnd"/>
      <w:r w:rsidRPr="0035308D">
        <w:rPr>
          <w:rFonts w:ascii="Times New Roman" w:hAnsi="Times New Roman" w:cs="Times New Roman"/>
          <w:sz w:val="24"/>
        </w:rPr>
        <w:t xml:space="preserve"> Inc. es la embotelladora independiente más grande de productos Coca-Cola en Estados Unidos, encargada tanto de la producción como de la distribución de sus productos.</w:t>
      </w:r>
    </w:p>
    <w:p w14:paraId="707C9F2C" w14:textId="77777777" w:rsidR="004160BA" w:rsidRDefault="00E70B13" w:rsidP="00D612C0">
      <w:pPr>
        <w:pStyle w:val="Prrafodelista"/>
        <w:numPr>
          <w:ilvl w:val="0"/>
          <w:numId w:val="4"/>
        </w:numPr>
        <w:jc w:val="both"/>
        <w:rPr>
          <w:rFonts w:ascii="Times New Roman" w:hAnsi="Times New Roman" w:cs="Times New Roman"/>
          <w:sz w:val="24"/>
        </w:rPr>
      </w:pPr>
      <w:r w:rsidRPr="0035308D">
        <w:rPr>
          <w:rFonts w:ascii="Times New Roman" w:hAnsi="Times New Roman" w:cs="Times New Roman"/>
          <w:sz w:val="24"/>
        </w:rPr>
        <w:t>Rating</w:t>
      </w:r>
    </w:p>
    <w:p w14:paraId="77F3509E" w14:textId="77777777" w:rsidR="00E70B13" w:rsidRDefault="00F01C8F" w:rsidP="00D612C0">
      <w:pPr>
        <w:ind w:firstLine="0"/>
        <w:jc w:val="both"/>
        <w:rPr>
          <w:rFonts w:ascii="Times New Roman" w:hAnsi="Times New Roman" w:cs="Times New Roman"/>
          <w:sz w:val="24"/>
        </w:rPr>
      </w:pPr>
      <w:r w:rsidRPr="00F01C8F">
        <w:rPr>
          <w:rFonts w:ascii="Times New Roman" w:hAnsi="Times New Roman" w:cs="Times New Roman"/>
          <w:sz w:val="24"/>
        </w:rPr>
        <w:t xml:space="preserve">los Bonos Corporativos de Coca-Cola </w:t>
      </w:r>
      <w:proofErr w:type="spellStart"/>
      <w:r w:rsidRPr="00F01C8F">
        <w:rPr>
          <w:rFonts w:ascii="Times New Roman" w:hAnsi="Times New Roman" w:cs="Times New Roman"/>
          <w:sz w:val="24"/>
        </w:rPr>
        <w:t>Consolidated</w:t>
      </w:r>
      <w:proofErr w:type="spellEnd"/>
      <w:r w:rsidRPr="00F01C8F">
        <w:rPr>
          <w:rFonts w:ascii="Times New Roman" w:hAnsi="Times New Roman" w:cs="Times New Roman"/>
          <w:sz w:val="24"/>
        </w:rPr>
        <w:t xml:space="preserve"> Inc., la estabilidad de esta empresa, con su sólida base económica, hace que sea una inversión bastante segura. A pesar de la variabilidad de los rendimientos, la compañía tiene un alcance global que puede garantizar una rentabilidad estable</w:t>
      </w:r>
    </w:p>
    <w:p w14:paraId="4C68C47E" w14:textId="77777777" w:rsidR="00B3095B" w:rsidRDefault="00B3095B" w:rsidP="00D612C0">
      <w:pPr>
        <w:ind w:firstLine="0"/>
        <w:jc w:val="both"/>
        <w:rPr>
          <w:rFonts w:ascii="Times New Roman" w:hAnsi="Times New Roman" w:cs="Times New Roman"/>
          <w:sz w:val="24"/>
        </w:rPr>
      </w:pPr>
    </w:p>
    <w:p w14:paraId="6A4702CB" w14:textId="77777777" w:rsidR="004160BA" w:rsidRPr="004160BA" w:rsidRDefault="004160BA" w:rsidP="00D612C0">
      <w:pPr>
        <w:pStyle w:val="Prrafodelista"/>
        <w:numPr>
          <w:ilvl w:val="0"/>
          <w:numId w:val="3"/>
        </w:numPr>
        <w:jc w:val="both"/>
        <w:rPr>
          <w:rFonts w:ascii="Times New Roman" w:hAnsi="Times New Roman" w:cs="Times New Roman"/>
          <w:b/>
          <w:sz w:val="24"/>
          <w:lang w:val="en-001"/>
        </w:rPr>
      </w:pPr>
      <w:proofErr w:type="spellStart"/>
      <w:r w:rsidRPr="004160BA">
        <w:rPr>
          <w:rFonts w:ascii="Times New Roman" w:hAnsi="Times New Roman" w:cs="Times New Roman"/>
          <w:b/>
          <w:sz w:val="24"/>
          <w:lang w:val="en-001"/>
        </w:rPr>
        <w:t>Acciones</w:t>
      </w:r>
      <w:proofErr w:type="spellEnd"/>
      <w:r w:rsidRPr="004160BA">
        <w:rPr>
          <w:rFonts w:ascii="Times New Roman" w:hAnsi="Times New Roman" w:cs="Times New Roman"/>
          <w:b/>
          <w:sz w:val="24"/>
          <w:lang w:val="en-001"/>
        </w:rPr>
        <w:t xml:space="preserve"> – GitLab Inc.</w:t>
      </w:r>
    </w:p>
    <w:p w14:paraId="41430A9A" w14:textId="77777777" w:rsidR="004160BA" w:rsidRPr="004160BA" w:rsidRDefault="004160BA" w:rsidP="00D612C0">
      <w:pPr>
        <w:ind w:firstLine="0"/>
        <w:jc w:val="both"/>
        <w:rPr>
          <w:rFonts w:ascii="Times New Roman" w:hAnsi="Times New Roman" w:cs="Times New Roman"/>
          <w:sz w:val="24"/>
        </w:rPr>
      </w:pPr>
      <w:r w:rsidRPr="004160BA">
        <w:rPr>
          <w:rFonts w:ascii="Times New Roman" w:hAnsi="Times New Roman" w:cs="Times New Roman"/>
          <w:sz w:val="24"/>
        </w:rPr>
        <w:t xml:space="preserve">Se decidió invertir en </w:t>
      </w:r>
      <w:proofErr w:type="spellStart"/>
      <w:r w:rsidRPr="004160BA">
        <w:rPr>
          <w:rFonts w:ascii="Times New Roman" w:hAnsi="Times New Roman" w:cs="Times New Roman"/>
          <w:sz w:val="24"/>
        </w:rPr>
        <w:t>GitLab</w:t>
      </w:r>
      <w:proofErr w:type="spellEnd"/>
      <w:r w:rsidRPr="004160BA">
        <w:rPr>
          <w:rFonts w:ascii="Times New Roman" w:hAnsi="Times New Roman" w:cs="Times New Roman"/>
          <w:sz w:val="24"/>
        </w:rPr>
        <w:t xml:space="preserve"> Inc. debido al rápido crecimiento de su industria y comunidad. La empresa está enfocada en optimizar el rendimiento de los desarrolladores, proporcionando herramientas que abarcan desde la planificación hasta el monitoreo, lo que le otorga un gran alcance en el sector tecnológico.</w:t>
      </w:r>
    </w:p>
    <w:p w14:paraId="43FA7C27" w14:textId="77777777" w:rsidR="004160BA" w:rsidRPr="004160BA" w:rsidRDefault="004160BA" w:rsidP="00D612C0">
      <w:pPr>
        <w:pStyle w:val="Prrafodelista"/>
        <w:numPr>
          <w:ilvl w:val="0"/>
          <w:numId w:val="4"/>
        </w:numPr>
        <w:jc w:val="both"/>
        <w:rPr>
          <w:rFonts w:ascii="Times New Roman" w:hAnsi="Times New Roman" w:cs="Times New Roman"/>
          <w:sz w:val="24"/>
        </w:rPr>
      </w:pPr>
      <w:r w:rsidRPr="004160BA">
        <w:rPr>
          <w:rFonts w:ascii="Times New Roman" w:hAnsi="Times New Roman" w:cs="Times New Roman"/>
          <w:sz w:val="24"/>
        </w:rPr>
        <w:t>Rendimiento</w:t>
      </w:r>
    </w:p>
    <w:p w14:paraId="7B79C592" w14:textId="77777777" w:rsidR="004160BA" w:rsidRPr="004160BA" w:rsidRDefault="004160BA" w:rsidP="00D612C0">
      <w:pPr>
        <w:ind w:firstLine="0"/>
        <w:jc w:val="both"/>
        <w:rPr>
          <w:rFonts w:ascii="Times New Roman" w:hAnsi="Times New Roman" w:cs="Times New Roman"/>
          <w:sz w:val="24"/>
        </w:rPr>
      </w:pPr>
      <w:r w:rsidRPr="004160BA">
        <w:rPr>
          <w:rFonts w:ascii="Times New Roman" w:hAnsi="Times New Roman" w:cs="Times New Roman"/>
          <w:sz w:val="24"/>
        </w:rPr>
        <w:t xml:space="preserve">El rendimiento es variable debido a la alta volatilidad del precio de sus acciones. Sin embargo, gracias a la creciente demanda de soluciones DevOps y la expansión del mercado tecnológico, </w:t>
      </w:r>
      <w:proofErr w:type="spellStart"/>
      <w:r w:rsidRPr="004160BA">
        <w:rPr>
          <w:rFonts w:ascii="Times New Roman" w:hAnsi="Times New Roman" w:cs="Times New Roman"/>
          <w:sz w:val="24"/>
        </w:rPr>
        <w:t>GitLab</w:t>
      </w:r>
      <w:proofErr w:type="spellEnd"/>
      <w:r w:rsidRPr="004160BA">
        <w:rPr>
          <w:rFonts w:ascii="Times New Roman" w:hAnsi="Times New Roman" w:cs="Times New Roman"/>
          <w:sz w:val="24"/>
        </w:rPr>
        <w:t xml:space="preserve"> presenta un potencial de rendimiento alto, aunque con un nivel de riesgo asociado.</w:t>
      </w:r>
    </w:p>
    <w:p w14:paraId="099D7757" w14:textId="77777777" w:rsidR="004160BA" w:rsidRPr="004160BA" w:rsidRDefault="004160BA" w:rsidP="00D612C0">
      <w:pPr>
        <w:pStyle w:val="Prrafodelista"/>
        <w:numPr>
          <w:ilvl w:val="0"/>
          <w:numId w:val="4"/>
        </w:numPr>
        <w:jc w:val="both"/>
        <w:rPr>
          <w:rFonts w:ascii="Times New Roman" w:hAnsi="Times New Roman" w:cs="Times New Roman"/>
          <w:sz w:val="24"/>
        </w:rPr>
      </w:pPr>
      <w:r w:rsidRPr="004160BA">
        <w:rPr>
          <w:rFonts w:ascii="Times New Roman" w:hAnsi="Times New Roman" w:cs="Times New Roman"/>
          <w:sz w:val="24"/>
        </w:rPr>
        <w:t>Tipo de Empresa</w:t>
      </w:r>
    </w:p>
    <w:p w14:paraId="78F7FD79" w14:textId="77777777" w:rsidR="004160BA" w:rsidRDefault="004160BA" w:rsidP="00D612C0">
      <w:pPr>
        <w:ind w:firstLine="0"/>
        <w:jc w:val="both"/>
        <w:rPr>
          <w:rFonts w:ascii="Times New Roman" w:hAnsi="Times New Roman" w:cs="Times New Roman"/>
          <w:sz w:val="24"/>
        </w:rPr>
      </w:pPr>
      <w:proofErr w:type="spellStart"/>
      <w:r w:rsidRPr="004160BA">
        <w:rPr>
          <w:rFonts w:ascii="Times New Roman" w:hAnsi="Times New Roman" w:cs="Times New Roman"/>
          <w:sz w:val="24"/>
        </w:rPr>
        <w:t>GitLab</w:t>
      </w:r>
      <w:proofErr w:type="spellEnd"/>
      <w:r w:rsidRPr="004160BA">
        <w:rPr>
          <w:rFonts w:ascii="Times New Roman" w:hAnsi="Times New Roman" w:cs="Times New Roman"/>
          <w:sz w:val="24"/>
        </w:rPr>
        <w:t xml:space="preserve"> es una empresa de software especializada en plataformas colaborativas para el desarrollo de software (DevOps), facilitando la integración y automatización en los procesos de desarrollo.</w:t>
      </w:r>
    </w:p>
    <w:p w14:paraId="5CC405FD" w14:textId="77777777" w:rsidR="004160BA" w:rsidRDefault="00627032" w:rsidP="00D612C0">
      <w:pPr>
        <w:pStyle w:val="Prrafodelista"/>
        <w:numPr>
          <w:ilvl w:val="0"/>
          <w:numId w:val="4"/>
        </w:numPr>
        <w:jc w:val="both"/>
        <w:rPr>
          <w:rFonts w:ascii="Times New Roman" w:hAnsi="Times New Roman" w:cs="Times New Roman"/>
          <w:sz w:val="24"/>
        </w:rPr>
      </w:pPr>
      <w:r w:rsidRPr="004160BA">
        <w:rPr>
          <w:rFonts w:ascii="Times New Roman" w:hAnsi="Times New Roman" w:cs="Times New Roman"/>
          <w:sz w:val="24"/>
        </w:rPr>
        <w:t>Rating</w:t>
      </w:r>
    </w:p>
    <w:p w14:paraId="67269EA3" w14:textId="77777777" w:rsidR="00F01C8F" w:rsidRDefault="00F01C8F" w:rsidP="00F01C8F">
      <w:pPr>
        <w:ind w:firstLine="0"/>
        <w:jc w:val="both"/>
        <w:rPr>
          <w:rFonts w:ascii="Times New Roman" w:hAnsi="Times New Roman" w:cs="Times New Roman"/>
          <w:sz w:val="24"/>
        </w:rPr>
      </w:pPr>
      <w:proofErr w:type="spellStart"/>
      <w:r w:rsidRPr="00F01C8F">
        <w:rPr>
          <w:rFonts w:ascii="Times New Roman" w:hAnsi="Times New Roman" w:cs="Times New Roman"/>
          <w:sz w:val="24"/>
        </w:rPr>
        <w:lastRenderedPageBreak/>
        <w:t>GitLab</w:t>
      </w:r>
      <w:proofErr w:type="spellEnd"/>
      <w:r w:rsidRPr="00F01C8F">
        <w:rPr>
          <w:rFonts w:ascii="Times New Roman" w:hAnsi="Times New Roman" w:cs="Times New Roman"/>
          <w:sz w:val="24"/>
        </w:rPr>
        <w:t xml:space="preserve"> Inc., por su parte, se encuentra en un sector tecnológico en rápido crecimiento, lo que la convierte en una opción atractiva con un rendimiento potencialmente alto. Sin embargo, la volatilidad del mercado tecnológico le da un riesgo medio.</w:t>
      </w:r>
    </w:p>
    <w:p w14:paraId="4FA0CA5A" w14:textId="77777777" w:rsidR="00B3095B" w:rsidRPr="00F01C8F" w:rsidRDefault="00B3095B" w:rsidP="00F01C8F">
      <w:pPr>
        <w:ind w:firstLine="0"/>
        <w:jc w:val="both"/>
        <w:rPr>
          <w:rFonts w:ascii="Times New Roman" w:hAnsi="Times New Roman" w:cs="Times New Roman"/>
          <w:sz w:val="24"/>
        </w:rPr>
      </w:pPr>
    </w:p>
    <w:p w14:paraId="667FB130" w14:textId="77777777" w:rsidR="004160BA" w:rsidRPr="004160BA" w:rsidRDefault="004160BA" w:rsidP="00D612C0">
      <w:pPr>
        <w:pStyle w:val="Prrafodelista"/>
        <w:numPr>
          <w:ilvl w:val="0"/>
          <w:numId w:val="3"/>
        </w:numPr>
        <w:jc w:val="both"/>
        <w:rPr>
          <w:rFonts w:ascii="Times New Roman" w:hAnsi="Times New Roman" w:cs="Times New Roman"/>
          <w:b/>
          <w:sz w:val="24"/>
        </w:rPr>
      </w:pPr>
      <w:r w:rsidRPr="004160BA">
        <w:rPr>
          <w:rFonts w:ascii="Times New Roman" w:hAnsi="Times New Roman" w:cs="Times New Roman"/>
          <w:b/>
          <w:sz w:val="24"/>
        </w:rPr>
        <w:t xml:space="preserve">Acciones de Riesgo – </w:t>
      </w:r>
      <w:proofErr w:type="spellStart"/>
      <w:r w:rsidRPr="004160BA">
        <w:rPr>
          <w:rFonts w:ascii="Times New Roman" w:hAnsi="Times New Roman" w:cs="Times New Roman"/>
          <w:b/>
          <w:sz w:val="24"/>
        </w:rPr>
        <w:t>Canaan</w:t>
      </w:r>
      <w:proofErr w:type="spellEnd"/>
      <w:r w:rsidRPr="004160BA">
        <w:rPr>
          <w:rFonts w:ascii="Times New Roman" w:hAnsi="Times New Roman" w:cs="Times New Roman"/>
          <w:b/>
          <w:sz w:val="24"/>
        </w:rPr>
        <w:t xml:space="preserve"> Inc.</w:t>
      </w:r>
    </w:p>
    <w:p w14:paraId="4BBD7E1D" w14:textId="77777777" w:rsidR="004160BA" w:rsidRPr="004160BA" w:rsidRDefault="004160BA" w:rsidP="00D612C0">
      <w:pPr>
        <w:ind w:firstLine="0"/>
        <w:jc w:val="both"/>
        <w:rPr>
          <w:rFonts w:ascii="Times New Roman" w:hAnsi="Times New Roman" w:cs="Times New Roman"/>
          <w:sz w:val="24"/>
        </w:rPr>
      </w:pPr>
      <w:r w:rsidRPr="004160BA">
        <w:rPr>
          <w:rFonts w:ascii="Times New Roman" w:hAnsi="Times New Roman" w:cs="Times New Roman"/>
          <w:sz w:val="24"/>
        </w:rPr>
        <w:t xml:space="preserve">Se decidió invertir en </w:t>
      </w:r>
      <w:proofErr w:type="spellStart"/>
      <w:r w:rsidRPr="004160BA">
        <w:rPr>
          <w:rFonts w:ascii="Times New Roman" w:hAnsi="Times New Roman" w:cs="Times New Roman"/>
          <w:sz w:val="24"/>
        </w:rPr>
        <w:t>Canaan</w:t>
      </w:r>
      <w:proofErr w:type="spellEnd"/>
      <w:r w:rsidRPr="004160BA">
        <w:rPr>
          <w:rFonts w:ascii="Times New Roman" w:hAnsi="Times New Roman" w:cs="Times New Roman"/>
          <w:sz w:val="24"/>
        </w:rPr>
        <w:t xml:space="preserve"> Inc. debido a su vinculación con el mercado de las criptomonedas, lo que representa tanto un alto riesgo como una gran oportunidad. Aunque la devaluación de las criptomonedas puede afectar negativamente su valor, el aumento en los precios de estos activos también podría impulsar el crecimiento de la empresa.</w:t>
      </w:r>
    </w:p>
    <w:p w14:paraId="3F9C0C28" w14:textId="77777777" w:rsidR="004160BA" w:rsidRPr="004160BA" w:rsidRDefault="004160BA" w:rsidP="00D612C0">
      <w:pPr>
        <w:pStyle w:val="Prrafodelista"/>
        <w:numPr>
          <w:ilvl w:val="0"/>
          <w:numId w:val="5"/>
        </w:numPr>
        <w:jc w:val="both"/>
        <w:rPr>
          <w:rFonts w:ascii="Times New Roman" w:hAnsi="Times New Roman" w:cs="Times New Roman"/>
          <w:sz w:val="24"/>
        </w:rPr>
      </w:pPr>
      <w:r w:rsidRPr="004160BA">
        <w:rPr>
          <w:rFonts w:ascii="Times New Roman" w:hAnsi="Times New Roman" w:cs="Times New Roman"/>
          <w:sz w:val="24"/>
        </w:rPr>
        <w:t>Rendimiento</w:t>
      </w:r>
    </w:p>
    <w:p w14:paraId="608B2A67" w14:textId="77777777" w:rsidR="004160BA" w:rsidRPr="004160BA" w:rsidRDefault="004160BA" w:rsidP="00D612C0">
      <w:pPr>
        <w:ind w:firstLine="0"/>
        <w:jc w:val="both"/>
        <w:rPr>
          <w:rFonts w:ascii="Times New Roman" w:hAnsi="Times New Roman" w:cs="Times New Roman"/>
          <w:sz w:val="24"/>
        </w:rPr>
      </w:pPr>
      <w:r w:rsidRPr="004160BA">
        <w:rPr>
          <w:rFonts w:ascii="Times New Roman" w:hAnsi="Times New Roman" w:cs="Times New Roman"/>
          <w:sz w:val="24"/>
        </w:rPr>
        <w:t xml:space="preserve">El rendimiento de </w:t>
      </w:r>
      <w:proofErr w:type="spellStart"/>
      <w:r w:rsidRPr="004160BA">
        <w:rPr>
          <w:rFonts w:ascii="Times New Roman" w:hAnsi="Times New Roman" w:cs="Times New Roman"/>
          <w:sz w:val="24"/>
        </w:rPr>
        <w:t>Canaan</w:t>
      </w:r>
      <w:proofErr w:type="spellEnd"/>
      <w:r w:rsidRPr="004160BA">
        <w:rPr>
          <w:rFonts w:ascii="Times New Roman" w:hAnsi="Times New Roman" w:cs="Times New Roman"/>
          <w:sz w:val="24"/>
        </w:rPr>
        <w:t xml:space="preserve"> Inc. está estrechamente ligado a la variación del precio de sus acciones, que es altamente volátil debido a su relación con el mercado de criptomonedas.</w:t>
      </w:r>
    </w:p>
    <w:p w14:paraId="55E6A362" w14:textId="77777777" w:rsidR="004160BA" w:rsidRDefault="004160BA" w:rsidP="00D612C0">
      <w:pPr>
        <w:pStyle w:val="Prrafodelista"/>
        <w:numPr>
          <w:ilvl w:val="0"/>
          <w:numId w:val="5"/>
        </w:numPr>
        <w:jc w:val="both"/>
        <w:rPr>
          <w:rFonts w:ascii="Times New Roman" w:hAnsi="Times New Roman" w:cs="Times New Roman"/>
          <w:sz w:val="24"/>
        </w:rPr>
      </w:pPr>
      <w:r w:rsidRPr="004160BA">
        <w:rPr>
          <w:rFonts w:ascii="Times New Roman" w:hAnsi="Times New Roman" w:cs="Times New Roman"/>
          <w:sz w:val="24"/>
        </w:rPr>
        <w:t>Tipo de Empresa</w:t>
      </w:r>
    </w:p>
    <w:p w14:paraId="0C16CB02" w14:textId="77777777" w:rsidR="004160BA" w:rsidRDefault="004160BA" w:rsidP="00D612C0">
      <w:pPr>
        <w:ind w:firstLine="0"/>
        <w:jc w:val="both"/>
        <w:rPr>
          <w:rFonts w:ascii="Times New Roman" w:hAnsi="Times New Roman" w:cs="Times New Roman"/>
          <w:sz w:val="24"/>
        </w:rPr>
      </w:pPr>
      <w:proofErr w:type="spellStart"/>
      <w:r w:rsidRPr="004160BA">
        <w:rPr>
          <w:rFonts w:ascii="Times New Roman" w:hAnsi="Times New Roman" w:cs="Times New Roman"/>
          <w:sz w:val="24"/>
        </w:rPr>
        <w:t>Canaan</w:t>
      </w:r>
      <w:proofErr w:type="spellEnd"/>
      <w:r w:rsidRPr="004160BA">
        <w:rPr>
          <w:rFonts w:ascii="Times New Roman" w:hAnsi="Times New Roman" w:cs="Times New Roman"/>
          <w:sz w:val="24"/>
        </w:rPr>
        <w:t xml:space="preserve"> Inc. es una empresa de tecnología especializada en el diseño y fabricación de hardware para la minería de criptomonedas</w:t>
      </w:r>
      <w:r w:rsidR="00F01C8F">
        <w:rPr>
          <w:rFonts w:ascii="Times New Roman" w:hAnsi="Times New Roman" w:cs="Times New Roman"/>
          <w:sz w:val="24"/>
        </w:rPr>
        <w:t>.</w:t>
      </w:r>
    </w:p>
    <w:p w14:paraId="6176CE7C" w14:textId="77777777" w:rsidR="00E75C2C" w:rsidRPr="004160BA" w:rsidRDefault="00E75C2C" w:rsidP="00D612C0">
      <w:pPr>
        <w:pStyle w:val="Prrafodelista"/>
        <w:numPr>
          <w:ilvl w:val="0"/>
          <w:numId w:val="5"/>
        </w:numPr>
        <w:jc w:val="both"/>
        <w:rPr>
          <w:rFonts w:ascii="Times New Roman" w:hAnsi="Times New Roman" w:cs="Times New Roman"/>
          <w:sz w:val="24"/>
        </w:rPr>
      </w:pPr>
      <w:r w:rsidRPr="004160BA">
        <w:rPr>
          <w:rFonts w:ascii="Times New Roman" w:hAnsi="Times New Roman" w:cs="Times New Roman"/>
          <w:sz w:val="24"/>
        </w:rPr>
        <w:t>Rating</w:t>
      </w:r>
    </w:p>
    <w:p w14:paraId="25DC652F" w14:textId="77777777" w:rsidR="00E75C2C" w:rsidRDefault="00F01C8F" w:rsidP="00D612C0">
      <w:pPr>
        <w:ind w:firstLine="0"/>
        <w:jc w:val="both"/>
        <w:rPr>
          <w:rFonts w:ascii="Times New Roman" w:hAnsi="Times New Roman" w:cs="Times New Roman"/>
          <w:sz w:val="24"/>
        </w:rPr>
      </w:pPr>
      <w:r w:rsidRPr="00F01C8F">
        <w:rPr>
          <w:rFonts w:ascii="Times New Roman" w:hAnsi="Times New Roman" w:cs="Times New Roman"/>
          <w:sz w:val="24"/>
        </w:rPr>
        <w:t xml:space="preserve">La inversión en </w:t>
      </w:r>
      <w:proofErr w:type="spellStart"/>
      <w:r w:rsidRPr="00F01C8F">
        <w:rPr>
          <w:rFonts w:ascii="Times New Roman" w:hAnsi="Times New Roman" w:cs="Times New Roman"/>
          <w:sz w:val="24"/>
        </w:rPr>
        <w:t>Canaan</w:t>
      </w:r>
      <w:proofErr w:type="spellEnd"/>
      <w:r w:rsidRPr="00F01C8F">
        <w:rPr>
          <w:rFonts w:ascii="Times New Roman" w:hAnsi="Times New Roman" w:cs="Times New Roman"/>
          <w:sz w:val="24"/>
        </w:rPr>
        <w:t xml:space="preserve"> Inc., vinculada al mercado de las criptomonedas, presenta un alto riesgo debido a la volatilidad del mercado de criptomonedas. Si bien el potencial de crecimiento es alto, el riesgo es igualmente significativo</w:t>
      </w:r>
      <w:r>
        <w:rPr>
          <w:rFonts w:ascii="Times New Roman" w:hAnsi="Times New Roman" w:cs="Times New Roman"/>
          <w:sz w:val="24"/>
        </w:rPr>
        <w:t>.</w:t>
      </w:r>
    </w:p>
    <w:p w14:paraId="13227266" w14:textId="77777777" w:rsidR="00B3095B" w:rsidRDefault="00B3095B" w:rsidP="00D612C0">
      <w:pPr>
        <w:ind w:firstLine="0"/>
        <w:jc w:val="both"/>
        <w:rPr>
          <w:rFonts w:ascii="Times New Roman" w:hAnsi="Times New Roman" w:cs="Times New Roman"/>
          <w:sz w:val="24"/>
        </w:rPr>
      </w:pPr>
    </w:p>
    <w:p w14:paraId="2B8B80FB" w14:textId="77777777" w:rsidR="00ED28C8" w:rsidRPr="00ED28C8" w:rsidRDefault="00ED28C8" w:rsidP="00D612C0">
      <w:pPr>
        <w:pStyle w:val="Prrafodelista"/>
        <w:numPr>
          <w:ilvl w:val="0"/>
          <w:numId w:val="3"/>
        </w:numPr>
        <w:jc w:val="both"/>
        <w:rPr>
          <w:rFonts w:ascii="Times New Roman" w:hAnsi="Times New Roman" w:cs="Times New Roman"/>
          <w:b/>
          <w:sz w:val="24"/>
          <w:szCs w:val="24"/>
          <w:lang w:val="en-US"/>
        </w:rPr>
      </w:pPr>
      <w:r w:rsidRPr="00F01C8F">
        <w:rPr>
          <w:rFonts w:ascii="Times New Roman" w:hAnsi="Times New Roman" w:cs="Times New Roman"/>
          <w:b/>
          <w:sz w:val="24"/>
          <w:szCs w:val="24"/>
        </w:rPr>
        <w:t xml:space="preserve"> </w:t>
      </w:r>
      <w:r w:rsidRPr="00ED28C8">
        <w:rPr>
          <w:rFonts w:ascii="Times New Roman" w:hAnsi="Times New Roman" w:cs="Times New Roman"/>
          <w:b/>
          <w:sz w:val="24"/>
          <w:szCs w:val="24"/>
          <w:lang w:val="en-US"/>
        </w:rPr>
        <w:t>Commodity (</w:t>
      </w:r>
      <w:proofErr w:type="spellStart"/>
      <w:r w:rsidRPr="00ED28C8">
        <w:rPr>
          <w:rFonts w:ascii="Times New Roman" w:hAnsi="Times New Roman" w:cs="Times New Roman"/>
          <w:b/>
          <w:sz w:val="24"/>
          <w:szCs w:val="24"/>
          <w:lang w:val="en-US"/>
        </w:rPr>
        <w:t>Orgánico</w:t>
      </w:r>
      <w:proofErr w:type="spellEnd"/>
      <w:r w:rsidRPr="00ED28C8">
        <w:rPr>
          <w:rFonts w:ascii="Times New Roman" w:hAnsi="Times New Roman" w:cs="Times New Roman"/>
          <w:b/>
          <w:sz w:val="24"/>
          <w:szCs w:val="24"/>
          <w:lang w:val="en-US"/>
        </w:rPr>
        <w:t>) – Eastman Chemical Company</w:t>
      </w:r>
    </w:p>
    <w:p w14:paraId="21DFF36E" w14:textId="77777777" w:rsidR="00ED28C8" w:rsidRPr="00ED28C8" w:rsidRDefault="00ED28C8" w:rsidP="00D612C0">
      <w:pPr>
        <w:ind w:firstLine="0"/>
        <w:jc w:val="both"/>
        <w:rPr>
          <w:rFonts w:ascii="Times New Roman" w:hAnsi="Times New Roman" w:cs="Times New Roman"/>
          <w:sz w:val="24"/>
          <w:szCs w:val="24"/>
        </w:rPr>
      </w:pPr>
      <w:r w:rsidRPr="00ED28C8">
        <w:rPr>
          <w:rFonts w:ascii="Times New Roman" w:hAnsi="Times New Roman" w:cs="Times New Roman"/>
          <w:sz w:val="24"/>
          <w:szCs w:val="24"/>
        </w:rPr>
        <w:t>Eastman Chemical Company tiene una presencia global, lo que permite diversificar la inversión en distintos mercados y economías, favoreciendo su crecimiento a largo plazo.</w:t>
      </w:r>
    </w:p>
    <w:p w14:paraId="278A7910" w14:textId="77777777" w:rsidR="00ED28C8" w:rsidRPr="00B3095B" w:rsidRDefault="00ED28C8" w:rsidP="00D612C0">
      <w:pPr>
        <w:pStyle w:val="Prrafodelista"/>
        <w:numPr>
          <w:ilvl w:val="0"/>
          <w:numId w:val="5"/>
        </w:numPr>
        <w:jc w:val="both"/>
        <w:rPr>
          <w:rFonts w:ascii="Times New Roman" w:hAnsi="Times New Roman" w:cs="Times New Roman"/>
          <w:sz w:val="24"/>
          <w:szCs w:val="24"/>
        </w:rPr>
      </w:pPr>
      <w:r w:rsidRPr="00B3095B">
        <w:rPr>
          <w:rFonts w:ascii="Times New Roman" w:hAnsi="Times New Roman" w:cs="Times New Roman"/>
          <w:sz w:val="24"/>
          <w:szCs w:val="24"/>
        </w:rPr>
        <w:lastRenderedPageBreak/>
        <w:t>Rendimiento</w:t>
      </w:r>
    </w:p>
    <w:p w14:paraId="065313D6" w14:textId="77777777" w:rsidR="00ED28C8" w:rsidRPr="00ED28C8" w:rsidRDefault="00ED28C8" w:rsidP="00D612C0">
      <w:pPr>
        <w:ind w:firstLine="0"/>
        <w:jc w:val="both"/>
        <w:rPr>
          <w:rFonts w:ascii="Times New Roman" w:hAnsi="Times New Roman" w:cs="Times New Roman"/>
          <w:sz w:val="24"/>
          <w:szCs w:val="24"/>
        </w:rPr>
      </w:pPr>
      <w:r w:rsidRPr="00ED28C8">
        <w:rPr>
          <w:rFonts w:ascii="Times New Roman" w:hAnsi="Times New Roman" w:cs="Times New Roman"/>
          <w:sz w:val="24"/>
          <w:szCs w:val="24"/>
        </w:rPr>
        <w:t>El rendimiento total de una inversión en Eastman incluye tanto la apreciación del valor de sus acciones como la estabilidad de su negocio en el sector químico. Aunque el valor de la acción varía constantemente según la situación del mercado, se espera que mantenga una tendencia estable a largo plazo, aunque con cierto nivel de riesgo.</w:t>
      </w:r>
    </w:p>
    <w:p w14:paraId="3C2CB4FC" w14:textId="77777777" w:rsidR="00ED28C8" w:rsidRPr="00ED28C8" w:rsidRDefault="00ED28C8" w:rsidP="00D612C0">
      <w:pPr>
        <w:pStyle w:val="Prrafodelista"/>
        <w:numPr>
          <w:ilvl w:val="0"/>
          <w:numId w:val="5"/>
        </w:numPr>
        <w:jc w:val="both"/>
        <w:rPr>
          <w:rFonts w:ascii="Times New Roman" w:hAnsi="Times New Roman" w:cs="Times New Roman"/>
          <w:sz w:val="24"/>
          <w:szCs w:val="24"/>
        </w:rPr>
      </w:pPr>
      <w:r w:rsidRPr="00ED28C8">
        <w:rPr>
          <w:rFonts w:ascii="Times New Roman" w:hAnsi="Times New Roman" w:cs="Times New Roman"/>
          <w:sz w:val="24"/>
          <w:szCs w:val="24"/>
        </w:rPr>
        <w:t>Tipo de Empresa</w:t>
      </w:r>
    </w:p>
    <w:p w14:paraId="1A2802E3" w14:textId="77777777" w:rsidR="00ED28C8" w:rsidRPr="00ED28C8" w:rsidRDefault="00ED28C8" w:rsidP="00D612C0">
      <w:pPr>
        <w:ind w:firstLine="0"/>
        <w:jc w:val="both"/>
        <w:rPr>
          <w:rFonts w:ascii="Times New Roman" w:hAnsi="Times New Roman" w:cs="Times New Roman"/>
          <w:sz w:val="24"/>
          <w:szCs w:val="24"/>
        </w:rPr>
      </w:pPr>
      <w:r w:rsidRPr="00ED28C8">
        <w:rPr>
          <w:rFonts w:ascii="Times New Roman" w:hAnsi="Times New Roman" w:cs="Times New Roman"/>
          <w:sz w:val="24"/>
          <w:szCs w:val="24"/>
        </w:rPr>
        <w:t>Eastman Chemical Company es una empresa química global que produce una amplia gama de productos, incluyendo químicos, fibras y plásticos, utilizados en sectores como la agricultura, el cuidado personal y la industria textil.</w:t>
      </w:r>
    </w:p>
    <w:p w14:paraId="0C03820E" w14:textId="77777777" w:rsidR="00731F6B" w:rsidRPr="00731F6B" w:rsidRDefault="00731F6B" w:rsidP="00D612C0">
      <w:pPr>
        <w:pStyle w:val="Prrafodelista"/>
        <w:numPr>
          <w:ilvl w:val="0"/>
          <w:numId w:val="5"/>
        </w:numPr>
        <w:jc w:val="both"/>
        <w:rPr>
          <w:rFonts w:ascii="Times New Roman" w:hAnsi="Times New Roman" w:cs="Times New Roman"/>
          <w:sz w:val="24"/>
          <w:szCs w:val="24"/>
        </w:rPr>
      </w:pPr>
      <w:r w:rsidRPr="00731F6B">
        <w:rPr>
          <w:rFonts w:ascii="Times New Roman" w:hAnsi="Times New Roman" w:cs="Times New Roman"/>
          <w:sz w:val="24"/>
          <w:szCs w:val="24"/>
        </w:rPr>
        <w:t>Rating</w:t>
      </w:r>
    </w:p>
    <w:p w14:paraId="7DA1006A" w14:textId="77777777" w:rsidR="00731F6B" w:rsidRDefault="00B3095B" w:rsidP="00D612C0">
      <w:pPr>
        <w:ind w:firstLine="0"/>
        <w:jc w:val="both"/>
        <w:rPr>
          <w:rFonts w:ascii="Times New Roman" w:hAnsi="Times New Roman" w:cs="Times New Roman"/>
          <w:sz w:val="24"/>
          <w:szCs w:val="24"/>
        </w:rPr>
      </w:pPr>
      <w:r w:rsidRPr="00B3095B">
        <w:rPr>
          <w:rFonts w:ascii="Times New Roman" w:hAnsi="Times New Roman" w:cs="Times New Roman"/>
          <w:sz w:val="24"/>
          <w:szCs w:val="24"/>
        </w:rPr>
        <w:t>Eastman Chemical Company se presenta como una opción más estable, con una presencia global que asegura un crecimiento sostenido en el largo plazo. El rendimiento esperado es estable, aunque sin grandes picos de crecimiento</w:t>
      </w:r>
      <w:r>
        <w:rPr>
          <w:rFonts w:ascii="Times New Roman" w:hAnsi="Times New Roman" w:cs="Times New Roman"/>
          <w:sz w:val="24"/>
          <w:szCs w:val="24"/>
        </w:rPr>
        <w:t>.</w:t>
      </w:r>
    </w:p>
    <w:p w14:paraId="2499DE97" w14:textId="77777777" w:rsidR="00B3095B" w:rsidRPr="00731F6B" w:rsidRDefault="00B3095B" w:rsidP="00D612C0">
      <w:pPr>
        <w:ind w:firstLine="0"/>
        <w:jc w:val="both"/>
        <w:rPr>
          <w:rFonts w:ascii="Times New Roman" w:hAnsi="Times New Roman" w:cs="Times New Roman"/>
          <w:sz w:val="24"/>
          <w:szCs w:val="24"/>
        </w:rPr>
      </w:pPr>
    </w:p>
    <w:p w14:paraId="3DFD18E7" w14:textId="77777777" w:rsidR="00ED28C8" w:rsidRPr="00ED28C8" w:rsidRDefault="00ED28C8" w:rsidP="00D612C0">
      <w:pPr>
        <w:pStyle w:val="Prrafodelista"/>
        <w:numPr>
          <w:ilvl w:val="0"/>
          <w:numId w:val="3"/>
        </w:numPr>
        <w:jc w:val="both"/>
        <w:rPr>
          <w:rFonts w:ascii="Times New Roman" w:hAnsi="Times New Roman" w:cs="Times New Roman"/>
          <w:b/>
          <w:sz w:val="24"/>
          <w:szCs w:val="24"/>
          <w:shd w:val="clear" w:color="auto" w:fill="FFFFFF"/>
        </w:rPr>
      </w:pPr>
      <w:r w:rsidRPr="00ED28C8">
        <w:rPr>
          <w:rFonts w:ascii="Times New Roman" w:hAnsi="Times New Roman" w:cs="Times New Roman"/>
          <w:b/>
          <w:sz w:val="24"/>
          <w:szCs w:val="24"/>
          <w:shd w:val="clear" w:color="auto" w:fill="FFFFFF"/>
        </w:rPr>
        <w:t xml:space="preserve"> </w:t>
      </w:r>
      <w:proofErr w:type="spellStart"/>
      <w:r w:rsidRPr="00ED28C8">
        <w:rPr>
          <w:rFonts w:ascii="Times New Roman" w:hAnsi="Times New Roman" w:cs="Times New Roman"/>
          <w:b/>
          <w:sz w:val="24"/>
          <w:szCs w:val="24"/>
          <w:shd w:val="clear" w:color="auto" w:fill="FFFFFF"/>
        </w:rPr>
        <w:t>Commodity</w:t>
      </w:r>
      <w:proofErr w:type="spellEnd"/>
      <w:r w:rsidRPr="00ED28C8">
        <w:rPr>
          <w:rFonts w:ascii="Times New Roman" w:hAnsi="Times New Roman" w:cs="Times New Roman"/>
          <w:b/>
          <w:sz w:val="24"/>
          <w:szCs w:val="24"/>
          <w:shd w:val="clear" w:color="auto" w:fill="FFFFFF"/>
        </w:rPr>
        <w:t xml:space="preserve"> (Inorgánico) – </w:t>
      </w:r>
      <w:proofErr w:type="spellStart"/>
      <w:r w:rsidRPr="00ED28C8">
        <w:rPr>
          <w:rFonts w:ascii="Times New Roman" w:hAnsi="Times New Roman" w:cs="Times New Roman"/>
          <w:b/>
          <w:sz w:val="24"/>
          <w:szCs w:val="24"/>
          <w:shd w:val="clear" w:color="auto" w:fill="FFFFFF"/>
        </w:rPr>
        <w:t>AngloGold</w:t>
      </w:r>
      <w:proofErr w:type="spellEnd"/>
      <w:r w:rsidRPr="00ED28C8">
        <w:rPr>
          <w:rFonts w:ascii="Times New Roman" w:hAnsi="Times New Roman" w:cs="Times New Roman"/>
          <w:b/>
          <w:sz w:val="24"/>
          <w:szCs w:val="24"/>
          <w:shd w:val="clear" w:color="auto" w:fill="FFFFFF"/>
        </w:rPr>
        <w:t xml:space="preserve"> Ashanti</w:t>
      </w:r>
    </w:p>
    <w:p w14:paraId="31B12BC9" w14:textId="77777777" w:rsidR="00ED28C8" w:rsidRPr="00ED28C8" w:rsidRDefault="00ED28C8" w:rsidP="00D612C0">
      <w:pPr>
        <w:ind w:firstLine="0"/>
        <w:jc w:val="both"/>
        <w:rPr>
          <w:rFonts w:ascii="Times New Roman" w:hAnsi="Times New Roman" w:cs="Times New Roman"/>
          <w:sz w:val="24"/>
          <w:szCs w:val="24"/>
          <w:shd w:val="clear" w:color="auto" w:fill="FFFFFF"/>
        </w:rPr>
      </w:pPr>
      <w:r w:rsidRPr="00ED28C8">
        <w:rPr>
          <w:rFonts w:ascii="Times New Roman" w:hAnsi="Times New Roman" w:cs="Times New Roman"/>
          <w:sz w:val="24"/>
          <w:szCs w:val="24"/>
          <w:shd w:val="clear" w:color="auto" w:fill="FFFFFF"/>
        </w:rPr>
        <w:t xml:space="preserve">Se decidió invertir en oro a través de </w:t>
      </w:r>
      <w:proofErr w:type="spellStart"/>
      <w:r w:rsidRPr="00ED28C8">
        <w:rPr>
          <w:rFonts w:ascii="Times New Roman" w:hAnsi="Times New Roman" w:cs="Times New Roman"/>
          <w:sz w:val="24"/>
          <w:szCs w:val="24"/>
          <w:shd w:val="clear" w:color="auto" w:fill="FFFFFF"/>
        </w:rPr>
        <w:t>AngloGold</w:t>
      </w:r>
      <w:proofErr w:type="spellEnd"/>
      <w:r w:rsidRPr="00ED28C8">
        <w:rPr>
          <w:rFonts w:ascii="Times New Roman" w:hAnsi="Times New Roman" w:cs="Times New Roman"/>
          <w:sz w:val="24"/>
          <w:szCs w:val="24"/>
          <w:shd w:val="clear" w:color="auto" w:fill="FFFFFF"/>
        </w:rPr>
        <w:t xml:space="preserve"> Ashanti, una de las principales productoras de este metal a nivel mundial. El oro es un recurso con alta demanda en el mercado, lo que lo convierte en una inversión estratégica con potencial de apreciación.</w:t>
      </w:r>
    </w:p>
    <w:p w14:paraId="74E99E00" w14:textId="77777777" w:rsidR="00ED28C8" w:rsidRPr="00ED28C8" w:rsidRDefault="00ED28C8" w:rsidP="00D612C0">
      <w:pPr>
        <w:pStyle w:val="Prrafodelista"/>
        <w:numPr>
          <w:ilvl w:val="0"/>
          <w:numId w:val="5"/>
        </w:numPr>
        <w:jc w:val="both"/>
        <w:rPr>
          <w:rFonts w:ascii="Times New Roman" w:hAnsi="Times New Roman" w:cs="Times New Roman"/>
          <w:sz w:val="24"/>
          <w:szCs w:val="24"/>
          <w:shd w:val="clear" w:color="auto" w:fill="FFFFFF"/>
        </w:rPr>
      </w:pPr>
      <w:r w:rsidRPr="00ED28C8">
        <w:rPr>
          <w:rFonts w:ascii="Times New Roman" w:hAnsi="Times New Roman" w:cs="Times New Roman"/>
          <w:sz w:val="24"/>
          <w:szCs w:val="24"/>
          <w:shd w:val="clear" w:color="auto" w:fill="FFFFFF"/>
        </w:rPr>
        <w:t>Rendimiento</w:t>
      </w:r>
    </w:p>
    <w:p w14:paraId="415F59FD" w14:textId="77777777" w:rsidR="00ED28C8" w:rsidRPr="00ED28C8" w:rsidRDefault="00ED28C8" w:rsidP="00D612C0">
      <w:pPr>
        <w:ind w:firstLine="0"/>
        <w:jc w:val="both"/>
        <w:rPr>
          <w:rFonts w:ascii="Times New Roman" w:hAnsi="Times New Roman" w:cs="Times New Roman"/>
          <w:sz w:val="24"/>
          <w:szCs w:val="24"/>
          <w:shd w:val="clear" w:color="auto" w:fill="FFFFFF"/>
        </w:rPr>
      </w:pPr>
      <w:r w:rsidRPr="00ED28C8">
        <w:rPr>
          <w:rFonts w:ascii="Times New Roman" w:hAnsi="Times New Roman" w:cs="Times New Roman"/>
          <w:sz w:val="24"/>
          <w:szCs w:val="24"/>
          <w:shd w:val="clear" w:color="auto" w:fill="FFFFFF"/>
        </w:rPr>
        <w:t xml:space="preserve">El rendimiento total de la inversión depende en gran medida de la apreciación del precio de las acciones de la empresa, el cual varía según el precio del oro y la percepción del mercado sobre </w:t>
      </w:r>
      <w:proofErr w:type="spellStart"/>
      <w:r w:rsidRPr="00ED28C8">
        <w:rPr>
          <w:rFonts w:ascii="Times New Roman" w:hAnsi="Times New Roman" w:cs="Times New Roman"/>
          <w:sz w:val="24"/>
          <w:szCs w:val="24"/>
          <w:shd w:val="clear" w:color="auto" w:fill="FFFFFF"/>
        </w:rPr>
        <w:t>AngloGold</w:t>
      </w:r>
      <w:proofErr w:type="spellEnd"/>
      <w:r w:rsidRPr="00ED28C8">
        <w:rPr>
          <w:rFonts w:ascii="Times New Roman" w:hAnsi="Times New Roman" w:cs="Times New Roman"/>
          <w:sz w:val="24"/>
          <w:szCs w:val="24"/>
          <w:shd w:val="clear" w:color="auto" w:fill="FFFFFF"/>
        </w:rPr>
        <w:t xml:space="preserve"> Ashanti.</w:t>
      </w:r>
    </w:p>
    <w:p w14:paraId="020C1FA6" w14:textId="77777777" w:rsidR="00ED28C8" w:rsidRPr="00ED28C8" w:rsidRDefault="00ED28C8" w:rsidP="00D612C0">
      <w:pPr>
        <w:pStyle w:val="Prrafodelista"/>
        <w:numPr>
          <w:ilvl w:val="0"/>
          <w:numId w:val="5"/>
        </w:numPr>
        <w:jc w:val="both"/>
        <w:rPr>
          <w:rFonts w:ascii="Times New Roman" w:hAnsi="Times New Roman" w:cs="Times New Roman"/>
          <w:sz w:val="24"/>
          <w:szCs w:val="24"/>
          <w:shd w:val="clear" w:color="auto" w:fill="FFFFFF"/>
        </w:rPr>
      </w:pPr>
      <w:r w:rsidRPr="00ED28C8">
        <w:rPr>
          <w:rFonts w:ascii="Times New Roman" w:hAnsi="Times New Roman" w:cs="Times New Roman"/>
          <w:sz w:val="24"/>
          <w:szCs w:val="24"/>
          <w:shd w:val="clear" w:color="auto" w:fill="FFFFFF"/>
        </w:rPr>
        <w:t>Tipo de Empresa</w:t>
      </w:r>
    </w:p>
    <w:p w14:paraId="2626C387" w14:textId="77777777" w:rsidR="00ED28C8" w:rsidRPr="00ED28C8" w:rsidRDefault="00ED28C8" w:rsidP="00D612C0">
      <w:pPr>
        <w:ind w:firstLine="0"/>
        <w:jc w:val="both"/>
        <w:rPr>
          <w:rFonts w:ascii="Times New Roman" w:hAnsi="Times New Roman" w:cs="Times New Roman"/>
          <w:sz w:val="24"/>
          <w:szCs w:val="24"/>
          <w:shd w:val="clear" w:color="auto" w:fill="FFFFFF"/>
        </w:rPr>
      </w:pPr>
      <w:proofErr w:type="spellStart"/>
      <w:r w:rsidRPr="00ED28C8">
        <w:rPr>
          <w:rFonts w:ascii="Times New Roman" w:hAnsi="Times New Roman" w:cs="Times New Roman"/>
          <w:sz w:val="24"/>
          <w:szCs w:val="24"/>
          <w:shd w:val="clear" w:color="auto" w:fill="FFFFFF"/>
        </w:rPr>
        <w:lastRenderedPageBreak/>
        <w:t>AngloGold</w:t>
      </w:r>
      <w:proofErr w:type="spellEnd"/>
      <w:r w:rsidRPr="00ED28C8">
        <w:rPr>
          <w:rFonts w:ascii="Times New Roman" w:hAnsi="Times New Roman" w:cs="Times New Roman"/>
          <w:sz w:val="24"/>
          <w:szCs w:val="24"/>
          <w:shd w:val="clear" w:color="auto" w:fill="FFFFFF"/>
        </w:rPr>
        <w:t xml:space="preserve"> Ashanti es una compañía minera dedicada a la exploración, desarrollo y operación de minas de oro en diversos países de África, América y Europa.</w:t>
      </w:r>
    </w:p>
    <w:p w14:paraId="3827C991" w14:textId="77777777" w:rsidR="00C5274A" w:rsidRDefault="00C5274A" w:rsidP="00D612C0">
      <w:pPr>
        <w:pStyle w:val="Prrafodelista"/>
        <w:numPr>
          <w:ilvl w:val="0"/>
          <w:numId w:val="5"/>
        </w:numPr>
        <w:jc w:val="both"/>
        <w:rPr>
          <w:rFonts w:ascii="Times New Roman" w:hAnsi="Times New Roman" w:cs="Times New Roman"/>
          <w:sz w:val="24"/>
          <w:szCs w:val="24"/>
          <w:shd w:val="clear" w:color="auto" w:fill="FFFFFF"/>
        </w:rPr>
      </w:pPr>
      <w:r w:rsidRPr="00C5274A">
        <w:rPr>
          <w:rFonts w:ascii="Times New Roman" w:hAnsi="Times New Roman" w:cs="Times New Roman"/>
          <w:sz w:val="24"/>
          <w:szCs w:val="24"/>
          <w:shd w:val="clear" w:color="auto" w:fill="FFFFFF"/>
        </w:rPr>
        <w:t>R</w:t>
      </w:r>
      <w:r>
        <w:rPr>
          <w:rFonts w:ascii="Times New Roman" w:hAnsi="Times New Roman" w:cs="Times New Roman"/>
          <w:sz w:val="24"/>
          <w:szCs w:val="24"/>
          <w:shd w:val="clear" w:color="auto" w:fill="FFFFFF"/>
        </w:rPr>
        <w:t>ating</w:t>
      </w:r>
    </w:p>
    <w:p w14:paraId="696CA101" w14:textId="77777777" w:rsidR="00ED28C8" w:rsidRDefault="00B3095B" w:rsidP="00D612C0">
      <w:pPr>
        <w:ind w:firstLine="0"/>
        <w:jc w:val="both"/>
        <w:rPr>
          <w:rFonts w:ascii="Times New Roman" w:hAnsi="Times New Roman" w:cs="Times New Roman"/>
          <w:sz w:val="24"/>
          <w:szCs w:val="24"/>
          <w:shd w:val="clear" w:color="auto" w:fill="FFFFFF"/>
        </w:rPr>
      </w:pPr>
      <w:r w:rsidRPr="00B3095B">
        <w:rPr>
          <w:rFonts w:ascii="Times New Roman" w:hAnsi="Times New Roman" w:cs="Times New Roman"/>
          <w:sz w:val="24"/>
          <w:szCs w:val="24"/>
          <w:shd w:val="clear" w:color="auto" w:fill="FFFFFF"/>
        </w:rPr>
        <w:t xml:space="preserve">La inversión en </w:t>
      </w:r>
      <w:proofErr w:type="spellStart"/>
      <w:r w:rsidRPr="00B3095B">
        <w:rPr>
          <w:rFonts w:ascii="Times New Roman" w:hAnsi="Times New Roman" w:cs="Times New Roman"/>
          <w:sz w:val="24"/>
          <w:szCs w:val="24"/>
          <w:shd w:val="clear" w:color="auto" w:fill="FFFFFF"/>
        </w:rPr>
        <w:t>AngloGold</w:t>
      </w:r>
      <w:proofErr w:type="spellEnd"/>
      <w:r w:rsidRPr="00B3095B">
        <w:rPr>
          <w:rFonts w:ascii="Times New Roman" w:hAnsi="Times New Roman" w:cs="Times New Roman"/>
          <w:sz w:val="24"/>
          <w:szCs w:val="24"/>
          <w:shd w:val="clear" w:color="auto" w:fill="FFFFFF"/>
        </w:rPr>
        <w:t xml:space="preserve"> Ashanti, con su vinculación al oro, tiene un rendimiento alto, pero está sujeta a las fluctuaciones del mercado de metales. Aunque el oro es un recurso con una alta demanda</w:t>
      </w:r>
      <w:r>
        <w:rPr>
          <w:rFonts w:ascii="Times New Roman" w:hAnsi="Times New Roman" w:cs="Times New Roman"/>
          <w:sz w:val="24"/>
          <w:szCs w:val="24"/>
          <w:shd w:val="clear" w:color="auto" w:fill="FFFFFF"/>
        </w:rPr>
        <w:t>.</w:t>
      </w:r>
    </w:p>
    <w:p w14:paraId="0769A1B2" w14:textId="77777777" w:rsidR="00B3095B" w:rsidRDefault="00B3095B" w:rsidP="00D612C0">
      <w:pPr>
        <w:ind w:firstLine="0"/>
        <w:jc w:val="both"/>
        <w:rPr>
          <w:rFonts w:ascii="Times New Roman" w:hAnsi="Times New Roman" w:cs="Times New Roman"/>
          <w:sz w:val="24"/>
          <w:szCs w:val="24"/>
          <w:shd w:val="clear" w:color="auto" w:fill="FFFFFF"/>
        </w:rPr>
      </w:pPr>
    </w:p>
    <w:p w14:paraId="7A6CE694" w14:textId="77777777" w:rsidR="00ED28C8" w:rsidRPr="00ED28C8" w:rsidRDefault="00ED28C8" w:rsidP="00D612C0">
      <w:pPr>
        <w:pStyle w:val="Prrafodelista"/>
        <w:numPr>
          <w:ilvl w:val="0"/>
          <w:numId w:val="3"/>
        </w:numPr>
        <w:jc w:val="both"/>
        <w:rPr>
          <w:rFonts w:ascii="Times New Roman" w:hAnsi="Times New Roman" w:cs="Times New Roman"/>
          <w:b/>
          <w:sz w:val="24"/>
          <w:szCs w:val="24"/>
          <w:shd w:val="clear" w:color="auto" w:fill="FFFFFF"/>
        </w:rPr>
      </w:pPr>
      <w:r w:rsidRPr="00ED28C8">
        <w:rPr>
          <w:rFonts w:ascii="Times New Roman" w:hAnsi="Times New Roman" w:cs="Times New Roman"/>
          <w:b/>
          <w:sz w:val="24"/>
          <w:szCs w:val="24"/>
          <w:shd w:val="clear" w:color="auto" w:fill="FFFFFF"/>
        </w:rPr>
        <w:t xml:space="preserve"> Moneda – GBP/JPY</w:t>
      </w:r>
    </w:p>
    <w:p w14:paraId="3ED6AF75" w14:textId="77777777" w:rsidR="00ED28C8" w:rsidRPr="00ED28C8" w:rsidRDefault="00ED28C8" w:rsidP="00D612C0">
      <w:pPr>
        <w:ind w:firstLine="0"/>
        <w:jc w:val="both"/>
        <w:rPr>
          <w:rFonts w:ascii="Times New Roman" w:hAnsi="Times New Roman" w:cs="Times New Roman"/>
          <w:sz w:val="24"/>
          <w:szCs w:val="24"/>
          <w:shd w:val="clear" w:color="auto" w:fill="FFFFFF"/>
        </w:rPr>
      </w:pPr>
      <w:r w:rsidRPr="00ED28C8">
        <w:rPr>
          <w:rFonts w:ascii="Times New Roman" w:hAnsi="Times New Roman" w:cs="Times New Roman"/>
          <w:sz w:val="24"/>
          <w:szCs w:val="24"/>
          <w:shd w:val="clear" w:color="auto" w:fill="FFFFFF"/>
        </w:rPr>
        <w:t>Se decidió invertir en yenes japoneses a través del par de divisas GBP/JPY, utilizando libras esterlinas para la compra. Aunque su precio es moderadamente elevado, ofrece mayor estabilidad en comparación con otras monedas.</w:t>
      </w:r>
    </w:p>
    <w:p w14:paraId="4D15E05D" w14:textId="77777777" w:rsidR="00ED28C8" w:rsidRPr="00ED28C8" w:rsidRDefault="00ED28C8" w:rsidP="00D612C0">
      <w:pPr>
        <w:pStyle w:val="Prrafodelista"/>
        <w:numPr>
          <w:ilvl w:val="0"/>
          <w:numId w:val="5"/>
        </w:numPr>
        <w:jc w:val="both"/>
        <w:rPr>
          <w:rFonts w:ascii="Times New Roman" w:hAnsi="Times New Roman" w:cs="Times New Roman"/>
          <w:sz w:val="24"/>
          <w:szCs w:val="24"/>
          <w:shd w:val="clear" w:color="auto" w:fill="FFFFFF"/>
        </w:rPr>
      </w:pPr>
      <w:r w:rsidRPr="00ED28C8">
        <w:rPr>
          <w:rFonts w:ascii="Times New Roman" w:hAnsi="Times New Roman" w:cs="Times New Roman"/>
          <w:sz w:val="24"/>
          <w:szCs w:val="24"/>
          <w:shd w:val="clear" w:color="auto" w:fill="FFFFFF"/>
        </w:rPr>
        <w:t>Rendimiento</w:t>
      </w:r>
    </w:p>
    <w:p w14:paraId="5B4D26DA" w14:textId="77777777" w:rsidR="00ED28C8" w:rsidRPr="00ED28C8" w:rsidRDefault="00ED28C8" w:rsidP="00D612C0">
      <w:pPr>
        <w:ind w:firstLine="0"/>
        <w:jc w:val="both"/>
        <w:rPr>
          <w:rFonts w:ascii="Times New Roman" w:hAnsi="Times New Roman" w:cs="Times New Roman"/>
          <w:sz w:val="24"/>
          <w:szCs w:val="24"/>
          <w:shd w:val="clear" w:color="auto" w:fill="FFFFFF"/>
        </w:rPr>
      </w:pPr>
      <w:r w:rsidRPr="00ED28C8">
        <w:rPr>
          <w:rFonts w:ascii="Times New Roman" w:hAnsi="Times New Roman" w:cs="Times New Roman"/>
          <w:sz w:val="24"/>
          <w:szCs w:val="24"/>
          <w:shd w:val="clear" w:color="auto" w:fill="FFFFFF"/>
        </w:rPr>
        <w:t>El rendimiento de esta inversión es altamente variable, ya que el valor del par GBP/JPY fluctúa constantemente según la oferta y demanda en el mercado de divisas. Si se compra a un precio alto y se vende bajo, el rendimiento será negativo; en cambio, al comprar en un punto bajo y vender en un punto alto, se pueden generar ganancias.</w:t>
      </w:r>
    </w:p>
    <w:p w14:paraId="39D85595" w14:textId="77777777" w:rsidR="00596998" w:rsidRDefault="00596998" w:rsidP="00D612C0">
      <w:pPr>
        <w:pStyle w:val="Prrafodelista"/>
        <w:numPr>
          <w:ilvl w:val="0"/>
          <w:numId w:val="5"/>
        </w:numPr>
        <w:jc w:val="both"/>
        <w:rPr>
          <w:rFonts w:ascii="Times New Roman" w:hAnsi="Times New Roman" w:cs="Times New Roman"/>
          <w:sz w:val="24"/>
          <w:szCs w:val="24"/>
          <w:shd w:val="clear" w:color="auto" w:fill="FFFFFF"/>
          <w:lang w:val="es-ES"/>
        </w:rPr>
      </w:pPr>
      <w:r>
        <w:rPr>
          <w:rFonts w:ascii="Times New Roman" w:hAnsi="Times New Roman" w:cs="Times New Roman"/>
          <w:sz w:val="24"/>
          <w:szCs w:val="24"/>
          <w:shd w:val="clear" w:color="auto" w:fill="FFFFFF"/>
          <w:lang w:val="es-ES"/>
        </w:rPr>
        <w:t>Rating</w:t>
      </w:r>
    </w:p>
    <w:p w14:paraId="3B580D8B" w14:textId="77777777" w:rsidR="00B3095B" w:rsidRDefault="00B3095B" w:rsidP="00B3095B">
      <w:pPr>
        <w:ind w:firstLine="0"/>
        <w:jc w:val="both"/>
        <w:rPr>
          <w:rFonts w:ascii="Times New Roman" w:hAnsi="Times New Roman" w:cs="Times New Roman"/>
          <w:sz w:val="24"/>
          <w:szCs w:val="24"/>
          <w:shd w:val="clear" w:color="auto" w:fill="FFFFFF"/>
          <w:lang w:val="es-ES"/>
        </w:rPr>
      </w:pPr>
      <w:r w:rsidRPr="00B3095B">
        <w:rPr>
          <w:rFonts w:ascii="Times New Roman" w:hAnsi="Times New Roman" w:cs="Times New Roman"/>
          <w:sz w:val="24"/>
          <w:szCs w:val="24"/>
          <w:shd w:val="clear" w:color="auto" w:fill="FFFFFF"/>
          <w:lang w:val="es-ES"/>
        </w:rPr>
        <w:t>El riesgo es relativamente alto debido a las fluctuaciones constantes del mercado de divisas, lo que puede generar rendimientos impredecibles. Aunque tiene potencial de ganancias si se maneja correctamente, su volatilidad lo hace una opción con un riesgo mayor.</w:t>
      </w:r>
    </w:p>
    <w:p w14:paraId="3C0C7439" w14:textId="77777777" w:rsidR="00B3095B" w:rsidRDefault="00B3095B" w:rsidP="00B3095B">
      <w:pPr>
        <w:ind w:firstLine="0"/>
        <w:jc w:val="both"/>
        <w:rPr>
          <w:rFonts w:ascii="Times New Roman" w:hAnsi="Times New Roman" w:cs="Times New Roman"/>
          <w:sz w:val="24"/>
          <w:szCs w:val="24"/>
          <w:shd w:val="clear" w:color="auto" w:fill="FFFFFF"/>
          <w:lang w:val="es-ES"/>
        </w:rPr>
      </w:pPr>
    </w:p>
    <w:p w14:paraId="44D389AC" w14:textId="77777777" w:rsidR="00ED28C8" w:rsidRPr="00B3095B" w:rsidRDefault="00ED28C8" w:rsidP="00B3095B">
      <w:pPr>
        <w:pStyle w:val="Prrafodelista"/>
        <w:numPr>
          <w:ilvl w:val="0"/>
          <w:numId w:val="3"/>
        </w:numPr>
        <w:jc w:val="both"/>
        <w:rPr>
          <w:rFonts w:ascii="Times New Roman" w:hAnsi="Times New Roman" w:cs="Times New Roman"/>
          <w:sz w:val="24"/>
          <w:szCs w:val="24"/>
          <w:shd w:val="clear" w:color="auto" w:fill="FFFFFF"/>
          <w:lang w:val="es-ES"/>
        </w:rPr>
      </w:pPr>
      <w:r w:rsidRPr="00B3095B">
        <w:rPr>
          <w:rFonts w:ascii="Times New Roman" w:hAnsi="Times New Roman" w:cs="Times New Roman"/>
          <w:b/>
          <w:sz w:val="24"/>
          <w:szCs w:val="24"/>
          <w:shd w:val="clear" w:color="auto" w:fill="FFFFFF"/>
          <w:lang w:val="es-ES"/>
        </w:rPr>
        <w:t>Moneda 2 – USD/SGD</w:t>
      </w:r>
    </w:p>
    <w:p w14:paraId="02555298" w14:textId="77777777" w:rsidR="00ED28C8" w:rsidRPr="00ED28C8" w:rsidRDefault="00ED28C8" w:rsidP="00D612C0">
      <w:pPr>
        <w:ind w:firstLine="0"/>
        <w:jc w:val="both"/>
        <w:rPr>
          <w:rFonts w:ascii="Times New Roman" w:hAnsi="Times New Roman" w:cs="Times New Roman"/>
          <w:sz w:val="24"/>
          <w:szCs w:val="24"/>
          <w:shd w:val="clear" w:color="auto" w:fill="FFFFFF"/>
          <w:lang w:val="es-ES"/>
        </w:rPr>
      </w:pPr>
      <w:r w:rsidRPr="00ED28C8">
        <w:rPr>
          <w:rFonts w:ascii="Times New Roman" w:hAnsi="Times New Roman" w:cs="Times New Roman"/>
          <w:sz w:val="24"/>
          <w:szCs w:val="24"/>
          <w:shd w:val="clear" w:color="auto" w:fill="FFFFFF"/>
          <w:lang w:val="es-ES"/>
        </w:rPr>
        <w:lastRenderedPageBreak/>
        <w:t>Se optó por invertir en el par de divisas USD/SGD debido a la estabilidad económica de Singapur, que es uno de los principales centros financieros de Asia. Además, la moneda tiende a ser menos susceptible a grandes fluctuaciones debido a su buena liquidez y estabilidad en las transacciones.</w:t>
      </w:r>
    </w:p>
    <w:p w14:paraId="1E4E5328" w14:textId="77777777" w:rsidR="00ED28C8" w:rsidRPr="00ED28C8" w:rsidRDefault="00ED28C8" w:rsidP="00D612C0">
      <w:pPr>
        <w:pStyle w:val="Prrafodelista"/>
        <w:numPr>
          <w:ilvl w:val="0"/>
          <w:numId w:val="5"/>
        </w:numPr>
        <w:jc w:val="both"/>
        <w:rPr>
          <w:rFonts w:ascii="Times New Roman" w:hAnsi="Times New Roman" w:cs="Times New Roman"/>
          <w:sz w:val="24"/>
          <w:szCs w:val="24"/>
          <w:shd w:val="clear" w:color="auto" w:fill="FFFFFF"/>
          <w:lang w:val="es-ES"/>
        </w:rPr>
      </w:pPr>
      <w:r w:rsidRPr="00ED28C8">
        <w:rPr>
          <w:rFonts w:ascii="Times New Roman" w:hAnsi="Times New Roman" w:cs="Times New Roman"/>
          <w:sz w:val="24"/>
          <w:szCs w:val="24"/>
          <w:shd w:val="clear" w:color="auto" w:fill="FFFFFF"/>
          <w:lang w:val="es-ES"/>
        </w:rPr>
        <w:t>Rendimiento</w:t>
      </w:r>
    </w:p>
    <w:p w14:paraId="3DD8F961" w14:textId="77777777" w:rsidR="00ED28C8" w:rsidRDefault="00ED28C8" w:rsidP="00D612C0">
      <w:pPr>
        <w:ind w:firstLine="0"/>
        <w:jc w:val="both"/>
        <w:rPr>
          <w:rFonts w:ascii="Times New Roman" w:hAnsi="Times New Roman" w:cs="Times New Roman"/>
          <w:sz w:val="24"/>
          <w:szCs w:val="24"/>
          <w:shd w:val="clear" w:color="auto" w:fill="FFFFFF"/>
          <w:lang w:val="es-ES"/>
        </w:rPr>
      </w:pPr>
      <w:r w:rsidRPr="00ED28C8">
        <w:rPr>
          <w:rFonts w:ascii="Times New Roman" w:hAnsi="Times New Roman" w:cs="Times New Roman"/>
          <w:sz w:val="24"/>
          <w:szCs w:val="24"/>
          <w:shd w:val="clear" w:color="auto" w:fill="FFFFFF"/>
          <w:lang w:val="es-ES"/>
        </w:rPr>
        <w:t>El rendimiento de esta inversión depende en gran medida de la capacidad para predecir los movimientos del mercado y de la estrategia de trading utilizada.</w:t>
      </w:r>
    </w:p>
    <w:p w14:paraId="47E3D288" w14:textId="77777777" w:rsidR="0035308D" w:rsidRPr="00ED28C8" w:rsidRDefault="0035308D" w:rsidP="00D612C0">
      <w:pPr>
        <w:pStyle w:val="Prrafodelista"/>
        <w:numPr>
          <w:ilvl w:val="0"/>
          <w:numId w:val="5"/>
        </w:numPr>
        <w:jc w:val="both"/>
        <w:rPr>
          <w:rFonts w:ascii="Times New Roman" w:hAnsi="Times New Roman" w:cs="Times New Roman"/>
          <w:sz w:val="24"/>
          <w:szCs w:val="24"/>
          <w:shd w:val="clear" w:color="auto" w:fill="FFFFFF"/>
        </w:rPr>
      </w:pPr>
      <w:r w:rsidRPr="00ED28C8">
        <w:rPr>
          <w:rFonts w:ascii="Times New Roman" w:hAnsi="Times New Roman" w:cs="Times New Roman"/>
          <w:sz w:val="24"/>
          <w:szCs w:val="24"/>
          <w:shd w:val="clear" w:color="auto" w:fill="FFFFFF"/>
        </w:rPr>
        <w:t>Rating</w:t>
      </w:r>
    </w:p>
    <w:p w14:paraId="0A109283" w14:textId="77777777" w:rsidR="0035308D" w:rsidRPr="0035308D" w:rsidRDefault="00B3095B" w:rsidP="00D612C0">
      <w:pPr>
        <w:ind w:firstLine="0"/>
        <w:jc w:val="both"/>
        <w:rPr>
          <w:rFonts w:ascii="Times New Roman" w:hAnsi="Times New Roman" w:cs="Times New Roman"/>
          <w:sz w:val="24"/>
          <w:szCs w:val="24"/>
          <w:shd w:val="clear" w:color="auto" w:fill="FFFFFF"/>
        </w:rPr>
      </w:pPr>
      <w:r w:rsidRPr="00B3095B">
        <w:rPr>
          <w:rFonts w:ascii="Times New Roman" w:hAnsi="Times New Roman" w:cs="Times New Roman"/>
          <w:sz w:val="24"/>
          <w:szCs w:val="24"/>
          <w:shd w:val="clear" w:color="auto" w:fill="FFFFFF"/>
        </w:rPr>
        <w:t>Aunque también está sujeto a fluctuaciones, la estabilidad económica de Singapur hace que esta moneda sea más confiable en términos de rendimiento. El riesgo es moderado y, en general, ofrece un rendimiento más predecible.</w:t>
      </w:r>
    </w:p>
    <w:p w14:paraId="38D15CAB" w14:textId="77777777" w:rsidR="00F01C8F" w:rsidRDefault="00F01C8F" w:rsidP="00D612C0">
      <w:pPr>
        <w:ind w:firstLine="0"/>
        <w:jc w:val="both"/>
        <w:rPr>
          <w:rFonts w:ascii="Times New Roman" w:eastAsia="Times New Roman" w:hAnsi="Times New Roman" w:cs="Times New Roman"/>
          <w:color w:val="000000"/>
          <w:sz w:val="24"/>
          <w:szCs w:val="24"/>
          <w:lang w:eastAsia="es-GT"/>
        </w:rPr>
      </w:pPr>
    </w:p>
    <w:p w14:paraId="52DCE4FC" w14:textId="77777777" w:rsidR="00F01C8F" w:rsidRDefault="00F01C8F" w:rsidP="00D612C0">
      <w:pPr>
        <w:ind w:firstLine="0"/>
        <w:jc w:val="both"/>
        <w:rPr>
          <w:rFonts w:ascii="Times New Roman" w:eastAsia="Times New Roman" w:hAnsi="Times New Roman" w:cs="Times New Roman"/>
          <w:color w:val="000000"/>
          <w:sz w:val="24"/>
          <w:szCs w:val="24"/>
          <w:lang w:eastAsia="es-GT"/>
        </w:rPr>
        <w:sectPr w:rsidR="00F01C8F" w:rsidSect="004160BA">
          <w:pgSz w:w="12240" w:h="15840"/>
          <w:pgMar w:top="1440" w:right="1440" w:bottom="1440" w:left="1440" w:header="708" w:footer="708" w:gutter="0"/>
          <w:cols w:space="708"/>
          <w:docGrid w:linePitch="360"/>
        </w:sectPr>
      </w:pPr>
    </w:p>
    <w:p w14:paraId="7F4981B7" w14:textId="77777777" w:rsidR="00C5274A" w:rsidRDefault="00D612C0" w:rsidP="00D612C0">
      <w:pPr>
        <w:ind w:firstLine="0"/>
        <w:jc w:val="center"/>
        <w:rPr>
          <w:rFonts w:ascii="Times New Roman" w:eastAsia="Times New Roman" w:hAnsi="Times New Roman" w:cs="Times New Roman"/>
          <w:b/>
          <w:color w:val="000000"/>
          <w:sz w:val="28"/>
          <w:szCs w:val="24"/>
          <w:lang w:val="es-ES" w:eastAsia="es-GT"/>
        </w:rPr>
      </w:pPr>
      <w:proofErr w:type="spellStart"/>
      <w:r w:rsidRPr="00D612C0">
        <w:rPr>
          <w:rFonts w:ascii="Times New Roman" w:eastAsia="Times New Roman" w:hAnsi="Times New Roman" w:cs="Times New Roman"/>
          <w:b/>
          <w:color w:val="000000"/>
          <w:sz w:val="28"/>
          <w:szCs w:val="24"/>
          <w:lang w:val="en-001" w:eastAsia="es-GT"/>
        </w:rPr>
        <w:lastRenderedPageBreak/>
        <w:t>Tabla</w:t>
      </w:r>
      <w:proofErr w:type="spellEnd"/>
      <w:r w:rsidRPr="00D612C0">
        <w:rPr>
          <w:rFonts w:ascii="Times New Roman" w:eastAsia="Times New Roman" w:hAnsi="Times New Roman" w:cs="Times New Roman"/>
          <w:b/>
          <w:color w:val="000000"/>
          <w:sz w:val="28"/>
          <w:szCs w:val="24"/>
          <w:lang w:val="en-001" w:eastAsia="es-GT"/>
        </w:rPr>
        <w:t xml:space="preserve"> de </w:t>
      </w:r>
      <w:proofErr w:type="spellStart"/>
      <w:r w:rsidRPr="00D612C0">
        <w:rPr>
          <w:rFonts w:ascii="Times New Roman" w:eastAsia="Times New Roman" w:hAnsi="Times New Roman" w:cs="Times New Roman"/>
          <w:b/>
          <w:color w:val="000000"/>
          <w:sz w:val="28"/>
          <w:szCs w:val="24"/>
          <w:lang w:val="en-001" w:eastAsia="es-GT"/>
        </w:rPr>
        <w:t>Inversi</w:t>
      </w:r>
      <w:r w:rsidRPr="00D612C0">
        <w:rPr>
          <w:rFonts w:ascii="Times New Roman" w:eastAsia="Times New Roman" w:hAnsi="Times New Roman" w:cs="Times New Roman"/>
          <w:b/>
          <w:color w:val="000000"/>
          <w:sz w:val="28"/>
          <w:szCs w:val="24"/>
          <w:lang w:val="es-ES" w:eastAsia="es-GT"/>
        </w:rPr>
        <w:t>ón</w:t>
      </w:r>
      <w:proofErr w:type="spellEnd"/>
    </w:p>
    <w:p w14:paraId="42025872" w14:textId="77777777" w:rsidR="00D612C0" w:rsidRDefault="00D612C0" w:rsidP="00D612C0">
      <w:pPr>
        <w:ind w:firstLine="0"/>
        <w:jc w:val="both"/>
        <w:rPr>
          <w:rFonts w:ascii="Times New Roman" w:eastAsia="Times New Roman" w:hAnsi="Times New Roman" w:cs="Times New Roman"/>
          <w:color w:val="000000"/>
          <w:sz w:val="24"/>
          <w:szCs w:val="24"/>
          <w:lang w:val="es-ES" w:eastAsia="es-GT"/>
        </w:rPr>
      </w:pPr>
      <w:r w:rsidRPr="00D612C0">
        <w:rPr>
          <w:noProof/>
        </w:rPr>
        <w:drawing>
          <wp:inline distT="0" distB="0" distL="0" distR="0" wp14:anchorId="7A0FCBC0" wp14:editId="4B088AB9">
            <wp:extent cx="5943600" cy="230577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05772"/>
                    </a:xfrm>
                    <a:prstGeom prst="rect">
                      <a:avLst/>
                    </a:prstGeom>
                    <a:noFill/>
                    <a:ln>
                      <a:noFill/>
                    </a:ln>
                  </pic:spPr>
                </pic:pic>
              </a:graphicData>
            </a:graphic>
          </wp:inline>
        </w:drawing>
      </w:r>
    </w:p>
    <w:p w14:paraId="6F07D6C4" w14:textId="77777777" w:rsidR="00D612C0" w:rsidRDefault="00D612C0" w:rsidP="00D612C0">
      <w:pPr>
        <w:ind w:firstLine="0"/>
        <w:jc w:val="both"/>
        <w:rPr>
          <w:rFonts w:ascii="Times New Roman" w:eastAsia="Times New Roman" w:hAnsi="Times New Roman" w:cs="Times New Roman"/>
          <w:color w:val="000000"/>
          <w:sz w:val="24"/>
          <w:szCs w:val="24"/>
          <w:lang w:val="es-ES" w:eastAsia="es-GT"/>
        </w:rPr>
        <w:sectPr w:rsidR="00D612C0" w:rsidSect="004160BA">
          <w:pgSz w:w="12240" w:h="15840"/>
          <w:pgMar w:top="1440" w:right="1440" w:bottom="1440" w:left="1440" w:header="708" w:footer="708" w:gutter="0"/>
          <w:cols w:space="708"/>
          <w:docGrid w:linePitch="360"/>
        </w:sectPr>
      </w:pPr>
    </w:p>
    <w:p w14:paraId="1AC716BD" w14:textId="77777777" w:rsidR="00F01C8F" w:rsidRDefault="00D612C0" w:rsidP="00F01C8F">
      <w:pPr>
        <w:ind w:firstLine="0"/>
        <w:jc w:val="center"/>
        <w:rPr>
          <w:rFonts w:ascii="Times New Roman" w:hAnsi="Times New Roman" w:cs="Times New Roman"/>
          <w:sz w:val="24"/>
        </w:rPr>
      </w:pPr>
      <w:r w:rsidRPr="00D612C0">
        <w:rPr>
          <w:rFonts w:ascii="Times New Roman" w:eastAsia="Times New Roman" w:hAnsi="Times New Roman" w:cs="Times New Roman"/>
          <w:b/>
          <w:color w:val="000000"/>
          <w:sz w:val="28"/>
          <w:szCs w:val="24"/>
          <w:lang w:val="es-ES" w:eastAsia="es-GT"/>
        </w:rPr>
        <w:lastRenderedPageBreak/>
        <w:t>Anexos</w:t>
      </w:r>
    </w:p>
    <w:p w14:paraId="62C01C1C" w14:textId="77777777" w:rsidR="00F01C8F" w:rsidRDefault="00D612C0" w:rsidP="00F01C8F">
      <w:pPr>
        <w:keepNext/>
        <w:ind w:firstLine="0"/>
        <w:jc w:val="center"/>
      </w:pPr>
      <w:r w:rsidRPr="00DA4FFC">
        <w:rPr>
          <w:rFonts w:ascii="Times New Roman" w:hAnsi="Times New Roman" w:cs="Times New Roman"/>
          <w:noProof/>
          <w:sz w:val="24"/>
        </w:rPr>
        <w:drawing>
          <wp:inline distT="0" distB="0" distL="0" distR="0" wp14:anchorId="21BEC36F" wp14:editId="2E5C4634">
            <wp:extent cx="5830952" cy="326571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2675"/>
                    <a:stretch/>
                  </pic:blipFill>
                  <pic:spPr bwMode="auto">
                    <a:xfrm>
                      <a:off x="0" y="0"/>
                      <a:ext cx="5843400" cy="3272686"/>
                    </a:xfrm>
                    <a:prstGeom prst="rect">
                      <a:avLst/>
                    </a:prstGeom>
                    <a:ln>
                      <a:noFill/>
                    </a:ln>
                    <a:extLst>
                      <a:ext uri="{53640926-AAD7-44D8-BBD7-CCE9431645EC}">
                        <a14:shadowObscured xmlns:a14="http://schemas.microsoft.com/office/drawing/2010/main"/>
                      </a:ext>
                    </a:extLst>
                  </pic:spPr>
                </pic:pic>
              </a:graphicData>
            </a:graphic>
          </wp:inline>
        </w:drawing>
      </w:r>
    </w:p>
    <w:p w14:paraId="7F035B00" w14:textId="283742C9" w:rsidR="00D612C0" w:rsidRPr="00D612C0" w:rsidRDefault="00F01C8F" w:rsidP="00F01C8F">
      <w:pPr>
        <w:pStyle w:val="Descripcin"/>
        <w:jc w:val="center"/>
        <w:rPr>
          <w:rFonts w:ascii="Times New Roman" w:eastAsia="Times New Roman" w:hAnsi="Times New Roman" w:cs="Times New Roman"/>
          <w:b/>
          <w:color w:val="000000"/>
          <w:sz w:val="28"/>
          <w:szCs w:val="24"/>
          <w:lang w:val="es-ES" w:eastAsia="es-GT"/>
        </w:rPr>
      </w:pPr>
      <w:r>
        <w:t xml:space="preserve">Ilustración </w:t>
      </w:r>
      <w:fldSimple w:instr=" SEQ Ilustración \* ARABIC ">
        <w:r w:rsidR="00AF6AE3">
          <w:rPr>
            <w:noProof/>
          </w:rPr>
          <w:t>1</w:t>
        </w:r>
      </w:fldSimple>
      <w:r w:rsidRPr="005E179C">
        <w:t xml:space="preserve">Bonos Soberanos/Municipales - </w:t>
      </w:r>
      <w:proofErr w:type="spellStart"/>
      <w:r w:rsidRPr="005E179C">
        <w:t>Treasury</w:t>
      </w:r>
      <w:proofErr w:type="spellEnd"/>
      <w:r w:rsidRPr="005E179C">
        <w:t xml:space="preserve"> </w:t>
      </w:r>
      <w:proofErr w:type="spellStart"/>
      <w:r w:rsidRPr="005E179C">
        <w:t>Yield</w:t>
      </w:r>
      <w:proofErr w:type="spellEnd"/>
      <w:r w:rsidRPr="005E179C">
        <w:t xml:space="preserve"> 5 </w:t>
      </w:r>
      <w:proofErr w:type="spellStart"/>
      <w:r w:rsidRPr="005E179C">
        <w:t>Years</w:t>
      </w:r>
      <w:proofErr w:type="spellEnd"/>
    </w:p>
    <w:p w14:paraId="3EC7005E" w14:textId="77777777" w:rsidR="00F01C8F" w:rsidRDefault="00D612C0" w:rsidP="00F01C8F">
      <w:pPr>
        <w:keepNext/>
        <w:ind w:firstLine="0"/>
        <w:jc w:val="both"/>
      </w:pPr>
      <w:r w:rsidRPr="00E70B13">
        <w:rPr>
          <w:rFonts w:ascii="Times New Roman" w:hAnsi="Times New Roman" w:cs="Times New Roman"/>
          <w:noProof/>
          <w:sz w:val="24"/>
        </w:rPr>
        <w:drawing>
          <wp:inline distT="0" distB="0" distL="0" distR="0" wp14:anchorId="24FDFA4E" wp14:editId="3E784BC4">
            <wp:extent cx="5612118" cy="377634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5767"/>
                    <a:stretch/>
                  </pic:blipFill>
                  <pic:spPr bwMode="auto">
                    <a:xfrm>
                      <a:off x="0" y="0"/>
                      <a:ext cx="5621461" cy="3782632"/>
                    </a:xfrm>
                    <a:prstGeom prst="rect">
                      <a:avLst/>
                    </a:prstGeom>
                    <a:ln>
                      <a:noFill/>
                    </a:ln>
                    <a:extLst>
                      <a:ext uri="{53640926-AAD7-44D8-BBD7-CCE9431645EC}">
                        <a14:shadowObscured xmlns:a14="http://schemas.microsoft.com/office/drawing/2010/main"/>
                      </a:ext>
                    </a:extLst>
                  </pic:spPr>
                </pic:pic>
              </a:graphicData>
            </a:graphic>
          </wp:inline>
        </w:drawing>
      </w:r>
    </w:p>
    <w:p w14:paraId="7365E93E" w14:textId="33F2433A" w:rsidR="00D612C0" w:rsidRDefault="00F01C8F" w:rsidP="00F01C8F">
      <w:pPr>
        <w:pStyle w:val="Descripcin"/>
        <w:jc w:val="center"/>
      </w:pPr>
      <w:r>
        <w:t xml:space="preserve">Ilustración </w:t>
      </w:r>
      <w:fldSimple w:instr=" SEQ Ilustración \* ARABIC ">
        <w:r w:rsidR="00AF6AE3">
          <w:rPr>
            <w:noProof/>
          </w:rPr>
          <w:t>2</w:t>
        </w:r>
      </w:fldSimple>
      <w:r w:rsidRPr="00CF1A6A">
        <w:t xml:space="preserve">Bonos Corporativos - Coca-Cola </w:t>
      </w:r>
      <w:proofErr w:type="spellStart"/>
      <w:r w:rsidRPr="00CF1A6A">
        <w:t>Consolidated</w:t>
      </w:r>
      <w:proofErr w:type="spellEnd"/>
      <w:r w:rsidRPr="00CF1A6A">
        <w:t xml:space="preserve"> Inc.</w:t>
      </w:r>
    </w:p>
    <w:p w14:paraId="27B1DA39" w14:textId="77777777" w:rsidR="00F01C8F" w:rsidRDefault="00F01C8F" w:rsidP="00F01C8F">
      <w:pPr>
        <w:keepNext/>
        <w:ind w:firstLine="0"/>
      </w:pPr>
      <w:r w:rsidRPr="00627032">
        <w:rPr>
          <w:rFonts w:ascii="Times New Roman" w:hAnsi="Times New Roman" w:cs="Times New Roman"/>
          <w:noProof/>
          <w:sz w:val="24"/>
        </w:rPr>
        <w:lastRenderedPageBreak/>
        <w:drawing>
          <wp:inline distT="0" distB="0" distL="0" distR="0" wp14:anchorId="27FF7858" wp14:editId="0EB88F27">
            <wp:extent cx="5611803" cy="3621974"/>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524"/>
                    <a:stretch/>
                  </pic:blipFill>
                  <pic:spPr bwMode="auto">
                    <a:xfrm>
                      <a:off x="0" y="0"/>
                      <a:ext cx="5612130" cy="3622185"/>
                    </a:xfrm>
                    <a:prstGeom prst="rect">
                      <a:avLst/>
                    </a:prstGeom>
                    <a:ln>
                      <a:noFill/>
                    </a:ln>
                    <a:extLst>
                      <a:ext uri="{53640926-AAD7-44D8-BBD7-CCE9431645EC}">
                        <a14:shadowObscured xmlns:a14="http://schemas.microsoft.com/office/drawing/2010/main"/>
                      </a:ext>
                    </a:extLst>
                  </pic:spPr>
                </pic:pic>
              </a:graphicData>
            </a:graphic>
          </wp:inline>
        </w:drawing>
      </w:r>
    </w:p>
    <w:p w14:paraId="6D0D895B" w14:textId="39CE5375" w:rsidR="00F01C8F" w:rsidRDefault="00F01C8F" w:rsidP="00F01C8F">
      <w:pPr>
        <w:pStyle w:val="Descripcin"/>
        <w:jc w:val="center"/>
      </w:pPr>
      <w:r>
        <w:t xml:space="preserve">Ilustración </w:t>
      </w:r>
      <w:fldSimple w:instr=" SEQ Ilustración \* ARABIC ">
        <w:r w:rsidR="00AF6AE3">
          <w:rPr>
            <w:noProof/>
          </w:rPr>
          <w:t>3</w:t>
        </w:r>
      </w:fldSimple>
      <w:r>
        <w:t xml:space="preserve">Acciones – </w:t>
      </w:r>
      <w:proofErr w:type="spellStart"/>
      <w:r>
        <w:t>GitLab</w:t>
      </w:r>
      <w:proofErr w:type="spellEnd"/>
      <w:r w:rsidRPr="00E75C2C">
        <w:rPr>
          <w:rFonts w:ascii="Times New Roman" w:hAnsi="Times New Roman" w:cs="Times New Roman"/>
          <w:noProof/>
          <w:sz w:val="24"/>
        </w:rPr>
        <w:drawing>
          <wp:inline distT="0" distB="0" distL="0" distR="0" wp14:anchorId="59589412" wp14:editId="36356CA1">
            <wp:extent cx="5612130" cy="3859481"/>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510"/>
                    <a:stretch/>
                  </pic:blipFill>
                  <pic:spPr bwMode="auto">
                    <a:xfrm>
                      <a:off x="0" y="0"/>
                      <a:ext cx="5612130" cy="3859481"/>
                    </a:xfrm>
                    <a:prstGeom prst="rect">
                      <a:avLst/>
                    </a:prstGeom>
                    <a:ln>
                      <a:noFill/>
                    </a:ln>
                    <a:extLst>
                      <a:ext uri="{53640926-AAD7-44D8-BBD7-CCE9431645EC}">
                        <a14:shadowObscured xmlns:a14="http://schemas.microsoft.com/office/drawing/2010/main"/>
                      </a:ext>
                    </a:extLst>
                  </pic:spPr>
                </pic:pic>
              </a:graphicData>
            </a:graphic>
          </wp:inline>
        </w:drawing>
      </w:r>
    </w:p>
    <w:p w14:paraId="3B5B614B" w14:textId="09CF6631" w:rsidR="00F01C8F" w:rsidRDefault="00F01C8F" w:rsidP="00F01C8F">
      <w:pPr>
        <w:pStyle w:val="Descripcin"/>
        <w:jc w:val="center"/>
      </w:pPr>
      <w:r>
        <w:t xml:space="preserve">Ilustración </w:t>
      </w:r>
      <w:fldSimple w:instr=" SEQ Ilustración \* ARABIC ">
        <w:r w:rsidR="00AF6AE3">
          <w:rPr>
            <w:noProof/>
          </w:rPr>
          <w:t>4</w:t>
        </w:r>
      </w:fldSimple>
      <w:r>
        <w:t xml:space="preserve">Acciones de Riesgo - </w:t>
      </w:r>
      <w:proofErr w:type="spellStart"/>
      <w:r>
        <w:t>Canaan</w:t>
      </w:r>
      <w:proofErr w:type="spellEnd"/>
      <w:r>
        <w:t xml:space="preserve"> Inc.</w:t>
      </w:r>
    </w:p>
    <w:p w14:paraId="3BB05030" w14:textId="77777777" w:rsidR="00F01C8F" w:rsidRDefault="00F01C8F" w:rsidP="00F01C8F">
      <w:pPr>
        <w:keepNext/>
        <w:ind w:firstLine="0"/>
      </w:pPr>
      <w:r w:rsidRPr="00731F6B">
        <w:rPr>
          <w:rFonts w:ascii="Times New Roman" w:hAnsi="Times New Roman" w:cs="Times New Roman"/>
          <w:noProof/>
          <w:sz w:val="24"/>
          <w:szCs w:val="24"/>
        </w:rPr>
        <w:lastRenderedPageBreak/>
        <w:drawing>
          <wp:inline distT="0" distB="0" distL="0" distR="0" wp14:anchorId="3A951A28" wp14:editId="051936D1">
            <wp:extent cx="5526405" cy="333696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8383"/>
                    <a:stretch/>
                  </pic:blipFill>
                  <pic:spPr bwMode="auto">
                    <a:xfrm>
                      <a:off x="0" y="0"/>
                      <a:ext cx="5562504" cy="3358763"/>
                    </a:xfrm>
                    <a:prstGeom prst="rect">
                      <a:avLst/>
                    </a:prstGeom>
                    <a:ln>
                      <a:noFill/>
                    </a:ln>
                    <a:extLst>
                      <a:ext uri="{53640926-AAD7-44D8-BBD7-CCE9431645EC}">
                        <a14:shadowObscured xmlns:a14="http://schemas.microsoft.com/office/drawing/2010/main"/>
                      </a:ext>
                    </a:extLst>
                  </pic:spPr>
                </pic:pic>
              </a:graphicData>
            </a:graphic>
          </wp:inline>
        </w:drawing>
      </w:r>
    </w:p>
    <w:p w14:paraId="76012863" w14:textId="7F046333" w:rsidR="00F01C8F" w:rsidRDefault="00F01C8F" w:rsidP="00F01C8F">
      <w:pPr>
        <w:pStyle w:val="Descripcin"/>
        <w:jc w:val="center"/>
        <w:rPr>
          <w:lang w:val="en-US"/>
        </w:rPr>
      </w:pPr>
      <w:proofErr w:type="spellStart"/>
      <w:r w:rsidRPr="00F01C8F">
        <w:rPr>
          <w:lang w:val="en-US"/>
        </w:rPr>
        <w:t>Ilustración</w:t>
      </w:r>
      <w:proofErr w:type="spellEnd"/>
      <w:r w:rsidRPr="00F01C8F">
        <w:rPr>
          <w:lang w:val="en-US"/>
        </w:rPr>
        <w:t xml:space="preserve"> </w:t>
      </w:r>
      <w:r>
        <w:fldChar w:fldCharType="begin"/>
      </w:r>
      <w:r w:rsidRPr="00F01C8F">
        <w:rPr>
          <w:lang w:val="en-US"/>
        </w:rPr>
        <w:instrText xml:space="preserve"> SEQ Ilustración \* ARABIC </w:instrText>
      </w:r>
      <w:r>
        <w:fldChar w:fldCharType="separate"/>
      </w:r>
      <w:r w:rsidR="00AF6AE3">
        <w:rPr>
          <w:noProof/>
          <w:lang w:val="en-US"/>
        </w:rPr>
        <w:t>5</w:t>
      </w:r>
      <w:r>
        <w:fldChar w:fldCharType="end"/>
      </w:r>
      <w:r w:rsidRPr="00F01C8F">
        <w:rPr>
          <w:lang w:val="en-US"/>
        </w:rPr>
        <w:t>Commodity (</w:t>
      </w:r>
      <w:proofErr w:type="spellStart"/>
      <w:r w:rsidRPr="00F01C8F">
        <w:rPr>
          <w:lang w:val="en-US"/>
        </w:rPr>
        <w:t>Orgánico</w:t>
      </w:r>
      <w:proofErr w:type="spellEnd"/>
      <w:r w:rsidRPr="00F01C8F">
        <w:rPr>
          <w:lang w:val="en-US"/>
        </w:rPr>
        <w:t>) – Eastman Chemical Company</w:t>
      </w:r>
    </w:p>
    <w:p w14:paraId="25774DD6" w14:textId="77777777" w:rsidR="00F01C8F" w:rsidRDefault="00F01C8F" w:rsidP="00F01C8F">
      <w:pPr>
        <w:keepNext/>
        <w:ind w:firstLine="0"/>
      </w:pPr>
      <w:r w:rsidRPr="00C5274A">
        <w:rPr>
          <w:rFonts w:ascii="Times New Roman" w:hAnsi="Times New Roman" w:cs="Times New Roman"/>
          <w:noProof/>
          <w:sz w:val="24"/>
          <w:szCs w:val="24"/>
          <w:shd w:val="clear" w:color="auto" w:fill="FFFFFF"/>
        </w:rPr>
        <w:drawing>
          <wp:inline distT="0" distB="0" distL="0" distR="0" wp14:anchorId="3358B1F0" wp14:editId="6CAF1F00">
            <wp:extent cx="5612130" cy="3716977"/>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7072"/>
                    <a:stretch/>
                  </pic:blipFill>
                  <pic:spPr bwMode="auto">
                    <a:xfrm>
                      <a:off x="0" y="0"/>
                      <a:ext cx="5612130" cy="3716977"/>
                    </a:xfrm>
                    <a:prstGeom prst="rect">
                      <a:avLst/>
                    </a:prstGeom>
                    <a:ln>
                      <a:noFill/>
                    </a:ln>
                    <a:extLst>
                      <a:ext uri="{53640926-AAD7-44D8-BBD7-CCE9431645EC}">
                        <a14:shadowObscured xmlns:a14="http://schemas.microsoft.com/office/drawing/2010/main"/>
                      </a:ext>
                    </a:extLst>
                  </pic:spPr>
                </pic:pic>
              </a:graphicData>
            </a:graphic>
          </wp:inline>
        </w:drawing>
      </w:r>
    </w:p>
    <w:p w14:paraId="6CF1C58F" w14:textId="6E12EA2B" w:rsidR="00F01C8F" w:rsidRDefault="00F01C8F" w:rsidP="00F01C8F">
      <w:pPr>
        <w:pStyle w:val="Descripcin"/>
        <w:jc w:val="center"/>
      </w:pPr>
      <w:r>
        <w:t xml:space="preserve">Ilustración </w:t>
      </w:r>
      <w:fldSimple w:instr=" SEQ Ilustración \* ARABIC ">
        <w:r w:rsidR="00AF6AE3">
          <w:rPr>
            <w:noProof/>
          </w:rPr>
          <w:t>6</w:t>
        </w:r>
      </w:fldSimple>
      <w:proofErr w:type="spellStart"/>
      <w:r w:rsidRPr="00500C42">
        <w:t>Commodity</w:t>
      </w:r>
      <w:proofErr w:type="spellEnd"/>
      <w:r w:rsidRPr="00500C42">
        <w:t xml:space="preserve"> (Inorgánico) – </w:t>
      </w:r>
      <w:proofErr w:type="spellStart"/>
      <w:r w:rsidRPr="00500C42">
        <w:t>AngloGold</w:t>
      </w:r>
      <w:proofErr w:type="spellEnd"/>
      <w:r w:rsidRPr="00500C42">
        <w:t xml:space="preserve"> Ashanti</w:t>
      </w:r>
    </w:p>
    <w:p w14:paraId="1234EF58" w14:textId="77777777" w:rsidR="00F01C8F" w:rsidRDefault="00F01C8F" w:rsidP="00F01C8F">
      <w:pPr>
        <w:keepNext/>
      </w:pPr>
      <w:r w:rsidRPr="00596998">
        <w:rPr>
          <w:rFonts w:ascii="Times New Roman" w:hAnsi="Times New Roman" w:cs="Times New Roman"/>
          <w:noProof/>
          <w:sz w:val="24"/>
          <w:szCs w:val="24"/>
          <w:shd w:val="clear" w:color="auto" w:fill="FFFFFF"/>
          <w:lang w:val="es-ES"/>
        </w:rPr>
        <w:lastRenderedPageBreak/>
        <w:drawing>
          <wp:inline distT="0" distB="0" distL="0" distR="0" wp14:anchorId="15452289" wp14:editId="184AAC07">
            <wp:extent cx="5612130" cy="383159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831590"/>
                    </a:xfrm>
                    <a:prstGeom prst="rect">
                      <a:avLst/>
                    </a:prstGeom>
                  </pic:spPr>
                </pic:pic>
              </a:graphicData>
            </a:graphic>
          </wp:inline>
        </w:drawing>
      </w:r>
    </w:p>
    <w:p w14:paraId="13CEC821" w14:textId="087FFDEB" w:rsidR="00F01C8F" w:rsidRDefault="00F01C8F" w:rsidP="00F01C8F">
      <w:pPr>
        <w:pStyle w:val="Descripcin"/>
        <w:jc w:val="center"/>
      </w:pPr>
      <w:r>
        <w:t xml:space="preserve">Ilustración </w:t>
      </w:r>
      <w:fldSimple w:instr=" SEQ Ilustración \* ARABIC ">
        <w:r w:rsidR="00AF6AE3">
          <w:rPr>
            <w:noProof/>
          </w:rPr>
          <w:t>7</w:t>
        </w:r>
      </w:fldSimple>
      <w:r>
        <w:t xml:space="preserve"> Moneda – GBP/JPY</w:t>
      </w:r>
    </w:p>
    <w:p w14:paraId="7EE06690" w14:textId="77777777" w:rsidR="00F01C8F" w:rsidRDefault="00F01C8F" w:rsidP="00F01C8F">
      <w:pPr>
        <w:keepNext/>
      </w:pPr>
      <w:r w:rsidRPr="0035308D">
        <w:rPr>
          <w:rFonts w:ascii="Times New Roman" w:hAnsi="Times New Roman" w:cs="Times New Roman"/>
          <w:noProof/>
          <w:sz w:val="24"/>
          <w:szCs w:val="24"/>
          <w:shd w:val="clear" w:color="auto" w:fill="FFFFFF"/>
        </w:rPr>
        <w:drawing>
          <wp:inline distT="0" distB="0" distL="0" distR="0" wp14:anchorId="03B63C3F" wp14:editId="0131FD1B">
            <wp:extent cx="5612130" cy="3292475"/>
            <wp:effectExtent l="0" t="0" r="762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292475"/>
                    </a:xfrm>
                    <a:prstGeom prst="rect">
                      <a:avLst/>
                    </a:prstGeom>
                  </pic:spPr>
                </pic:pic>
              </a:graphicData>
            </a:graphic>
          </wp:inline>
        </w:drawing>
      </w:r>
    </w:p>
    <w:p w14:paraId="01CB9495" w14:textId="6F050CDE" w:rsidR="00F01C8F" w:rsidRPr="00F01C8F" w:rsidRDefault="00F01C8F" w:rsidP="00F01C8F">
      <w:pPr>
        <w:pStyle w:val="Descripcin"/>
        <w:jc w:val="center"/>
        <w:rPr>
          <w:lang w:val="en-US"/>
        </w:rPr>
      </w:pPr>
      <w:r>
        <w:t xml:space="preserve">Ilustración </w:t>
      </w:r>
      <w:fldSimple w:instr=" SEQ Ilustración \* ARABIC ">
        <w:r w:rsidR="00AF6AE3">
          <w:rPr>
            <w:noProof/>
          </w:rPr>
          <w:t>8</w:t>
        </w:r>
      </w:fldSimple>
      <w:r w:rsidRPr="00247DE3">
        <w:t>Moneda 2 – USD/SGD</w:t>
      </w:r>
    </w:p>
    <w:sectPr w:rsidR="00F01C8F" w:rsidRPr="00F01C8F" w:rsidSect="004160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B72A8"/>
    <w:multiLevelType w:val="hybridMultilevel"/>
    <w:tmpl w:val="9D1EF12E"/>
    <w:lvl w:ilvl="0" w:tplc="27A683E6">
      <w:start w:val="1"/>
      <w:numFmt w:val="decimal"/>
      <w:lvlText w:val="%1."/>
      <w:lvlJc w:val="left"/>
      <w:pPr>
        <w:ind w:left="720" w:hanging="360"/>
      </w:pPr>
      <w:rPr>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3D80123E"/>
    <w:multiLevelType w:val="hybridMultilevel"/>
    <w:tmpl w:val="57D26DC0"/>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2" w15:restartNumberingAfterBreak="0">
    <w:nsid w:val="404E2E35"/>
    <w:multiLevelType w:val="hybridMultilevel"/>
    <w:tmpl w:val="C3369C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BF70175"/>
    <w:multiLevelType w:val="hybridMultilevel"/>
    <w:tmpl w:val="5636B4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7D8356A5"/>
    <w:multiLevelType w:val="multilevel"/>
    <w:tmpl w:val="9354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4A1"/>
    <w:rsid w:val="00272DC2"/>
    <w:rsid w:val="0035308D"/>
    <w:rsid w:val="0040475C"/>
    <w:rsid w:val="004160BA"/>
    <w:rsid w:val="00481AB7"/>
    <w:rsid w:val="00596998"/>
    <w:rsid w:val="00627032"/>
    <w:rsid w:val="00731F6B"/>
    <w:rsid w:val="00830E27"/>
    <w:rsid w:val="00A45274"/>
    <w:rsid w:val="00AF6AE3"/>
    <w:rsid w:val="00B3095B"/>
    <w:rsid w:val="00B63507"/>
    <w:rsid w:val="00C5274A"/>
    <w:rsid w:val="00D612C0"/>
    <w:rsid w:val="00D9634B"/>
    <w:rsid w:val="00DA4FFC"/>
    <w:rsid w:val="00E70B13"/>
    <w:rsid w:val="00E75C2C"/>
    <w:rsid w:val="00ED28C8"/>
    <w:rsid w:val="00F01C8F"/>
    <w:rsid w:val="00FD44A1"/>
    <w:rsid w:val="00FD679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4050"/>
  <w15:chartTrackingRefBased/>
  <w15:docId w15:val="{E3201F5F-D340-45C1-ABE4-E4D6E757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9634B"/>
    <w:pPr>
      <w:spacing w:line="240" w:lineRule="auto"/>
      <w:ind w:firstLine="0"/>
    </w:pPr>
    <w:rPr>
      <w:lang w:val="es-ES"/>
    </w:rPr>
  </w:style>
  <w:style w:type="paragraph" w:styleId="NormalWeb">
    <w:name w:val="Normal (Web)"/>
    <w:basedOn w:val="Normal"/>
    <w:uiPriority w:val="99"/>
    <w:semiHidden/>
    <w:unhideWhenUsed/>
    <w:rsid w:val="00FD679C"/>
    <w:pPr>
      <w:spacing w:before="100" w:beforeAutospacing="1" w:after="100" w:afterAutospacing="1" w:line="240" w:lineRule="auto"/>
      <w:ind w:firstLine="0"/>
    </w:pPr>
    <w:rPr>
      <w:rFonts w:ascii="Times New Roman" w:eastAsia="Times New Roman" w:hAnsi="Times New Roman" w:cs="Times New Roman"/>
      <w:sz w:val="24"/>
      <w:szCs w:val="24"/>
      <w:lang w:eastAsia="es-GT"/>
    </w:rPr>
  </w:style>
  <w:style w:type="paragraph" w:styleId="Prrafodelista">
    <w:name w:val="List Paragraph"/>
    <w:basedOn w:val="Normal"/>
    <w:uiPriority w:val="34"/>
    <w:qFormat/>
    <w:rsid w:val="00FD679C"/>
    <w:pPr>
      <w:ind w:left="720"/>
      <w:contextualSpacing/>
    </w:pPr>
  </w:style>
  <w:style w:type="character" w:styleId="Textoennegrita">
    <w:name w:val="Strong"/>
    <w:basedOn w:val="Fuentedeprrafopredeter"/>
    <w:uiPriority w:val="22"/>
    <w:qFormat/>
    <w:rsid w:val="00627032"/>
    <w:rPr>
      <w:b/>
      <w:bCs/>
    </w:rPr>
  </w:style>
  <w:style w:type="paragraph" w:styleId="Descripcin">
    <w:name w:val="caption"/>
    <w:basedOn w:val="Normal"/>
    <w:next w:val="Normal"/>
    <w:uiPriority w:val="35"/>
    <w:unhideWhenUsed/>
    <w:qFormat/>
    <w:rsid w:val="00F01C8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60023">
      <w:bodyDiv w:val="1"/>
      <w:marLeft w:val="0"/>
      <w:marRight w:val="0"/>
      <w:marTop w:val="0"/>
      <w:marBottom w:val="0"/>
      <w:divBdr>
        <w:top w:val="none" w:sz="0" w:space="0" w:color="auto"/>
        <w:left w:val="none" w:sz="0" w:space="0" w:color="auto"/>
        <w:bottom w:val="none" w:sz="0" w:space="0" w:color="auto"/>
        <w:right w:val="none" w:sz="0" w:space="0" w:color="auto"/>
      </w:divBdr>
    </w:div>
    <w:div w:id="334117128">
      <w:bodyDiv w:val="1"/>
      <w:marLeft w:val="0"/>
      <w:marRight w:val="0"/>
      <w:marTop w:val="0"/>
      <w:marBottom w:val="0"/>
      <w:divBdr>
        <w:top w:val="none" w:sz="0" w:space="0" w:color="auto"/>
        <w:left w:val="none" w:sz="0" w:space="0" w:color="auto"/>
        <w:bottom w:val="none" w:sz="0" w:space="0" w:color="auto"/>
        <w:right w:val="none" w:sz="0" w:space="0" w:color="auto"/>
      </w:divBdr>
    </w:div>
    <w:div w:id="944264328">
      <w:bodyDiv w:val="1"/>
      <w:marLeft w:val="0"/>
      <w:marRight w:val="0"/>
      <w:marTop w:val="0"/>
      <w:marBottom w:val="0"/>
      <w:divBdr>
        <w:top w:val="none" w:sz="0" w:space="0" w:color="auto"/>
        <w:left w:val="none" w:sz="0" w:space="0" w:color="auto"/>
        <w:bottom w:val="none" w:sz="0" w:space="0" w:color="auto"/>
        <w:right w:val="none" w:sz="0" w:space="0" w:color="auto"/>
      </w:divBdr>
    </w:div>
    <w:div w:id="1178426470">
      <w:bodyDiv w:val="1"/>
      <w:marLeft w:val="0"/>
      <w:marRight w:val="0"/>
      <w:marTop w:val="0"/>
      <w:marBottom w:val="0"/>
      <w:divBdr>
        <w:top w:val="none" w:sz="0" w:space="0" w:color="auto"/>
        <w:left w:val="none" w:sz="0" w:space="0" w:color="auto"/>
        <w:bottom w:val="none" w:sz="0" w:space="0" w:color="auto"/>
        <w:right w:val="none" w:sz="0" w:space="0" w:color="auto"/>
      </w:divBdr>
    </w:div>
    <w:div w:id="1294485082">
      <w:bodyDiv w:val="1"/>
      <w:marLeft w:val="0"/>
      <w:marRight w:val="0"/>
      <w:marTop w:val="0"/>
      <w:marBottom w:val="0"/>
      <w:divBdr>
        <w:top w:val="none" w:sz="0" w:space="0" w:color="auto"/>
        <w:left w:val="none" w:sz="0" w:space="0" w:color="auto"/>
        <w:bottom w:val="none" w:sz="0" w:space="0" w:color="auto"/>
        <w:right w:val="none" w:sz="0" w:space="0" w:color="auto"/>
      </w:divBdr>
      <w:divsChild>
        <w:div w:id="1346636036">
          <w:marLeft w:val="0"/>
          <w:marRight w:val="0"/>
          <w:marTop w:val="0"/>
          <w:marBottom w:val="0"/>
          <w:divBdr>
            <w:top w:val="none" w:sz="0" w:space="0" w:color="auto"/>
            <w:left w:val="none" w:sz="0" w:space="0" w:color="auto"/>
            <w:bottom w:val="none" w:sz="0" w:space="0" w:color="auto"/>
            <w:right w:val="none" w:sz="0" w:space="0" w:color="auto"/>
          </w:divBdr>
          <w:divsChild>
            <w:div w:id="1265528842">
              <w:marLeft w:val="0"/>
              <w:marRight w:val="0"/>
              <w:marTop w:val="0"/>
              <w:marBottom w:val="0"/>
              <w:divBdr>
                <w:top w:val="none" w:sz="0" w:space="0" w:color="auto"/>
                <w:left w:val="none" w:sz="0" w:space="0" w:color="auto"/>
                <w:bottom w:val="none" w:sz="0" w:space="0" w:color="auto"/>
                <w:right w:val="none" w:sz="0" w:space="0" w:color="auto"/>
              </w:divBdr>
              <w:divsChild>
                <w:div w:id="2106340494">
                  <w:marLeft w:val="0"/>
                  <w:marRight w:val="0"/>
                  <w:marTop w:val="0"/>
                  <w:marBottom w:val="0"/>
                  <w:divBdr>
                    <w:top w:val="none" w:sz="0" w:space="0" w:color="auto"/>
                    <w:left w:val="none" w:sz="0" w:space="0" w:color="auto"/>
                    <w:bottom w:val="none" w:sz="0" w:space="0" w:color="auto"/>
                    <w:right w:val="none" w:sz="0" w:space="0" w:color="auto"/>
                  </w:divBdr>
                  <w:divsChild>
                    <w:div w:id="12569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567419">
      <w:bodyDiv w:val="1"/>
      <w:marLeft w:val="0"/>
      <w:marRight w:val="0"/>
      <w:marTop w:val="0"/>
      <w:marBottom w:val="0"/>
      <w:divBdr>
        <w:top w:val="none" w:sz="0" w:space="0" w:color="auto"/>
        <w:left w:val="none" w:sz="0" w:space="0" w:color="auto"/>
        <w:bottom w:val="none" w:sz="0" w:space="0" w:color="auto"/>
        <w:right w:val="none" w:sz="0" w:space="0" w:color="auto"/>
      </w:divBdr>
    </w:div>
    <w:div w:id="1483695138">
      <w:bodyDiv w:val="1"/>
      <w:marLeft w:val="0"/>
      <w:marRight w:val="0"/>
      <w:marTop w:val="0"/>
      <w:marBottom w:val="0"/>
      <w:divBdr>
        <w:top w:val="none" w:sz="0" w:space="0" w:color="auto"/>
        <w:left w:val="none" w:sz="0" w:space="0" w:color="auto"/>
        <w:bottom w:val="none" w:sz="0" w:space="0" w:color="auto"/>
        <w:right w:val="none" w:sz="0" w:space="0" w:color="auto"/>
      </w:divBdr>
    </w:div>
    <w:div w:id="1802796780">
      <w:bodyDiv w:val="1"/>
      <w:marLeft w:val="0"/>
      <w:marRight w:val="0"/>
      <w:marTop w:val="0"/>
      <w:marBottom w:val="0"/>
      <w:divBdr>
        <w:top w:val="none" w:sz="0" w:space="0" w:color="auto"/>
        <w:left w:val="none" w:sz="0" w:space="0" w:color="auto"/>
        <w:bottom w:val="none" w:sz="0" w:space="0" w:color="auto"/>
        <w:right w:val="none" w:sz="0" w:space="0" w:color="auto"/>
      </w:divBdr>
    </w:div>
    <w:div w:id="2050181063">
      <w:bodyDiv w:val="1"/>
      <w:marLeft w:val="0"/>
      <w:marRight w:val="0"/>
      <w:marTop w:val="0"/>
      <w:marBottom w:val="0"/>
      <w:divBdr>
        <w:top w:val="none" w:sz="0" w:space="0" w:color="auto"/>
        <w:left w:val="none" w:sz="0" w:space="0" w:color="auto"/>
        <w:bottom w:val="none" w:sz="0" w:space="0" w:color="auto"/>
        <w:right w:val="none" w:sz="0" w:space="0" w:color="auto"/>
      </w:divBdr>
    </w:div>
    <w:div w:id="2098208103">
      <w:bodyDiv w:val="1"/>
      <w:marLeft w:val="0"/>
      <w:marRight w:val="0"/>
      <w:marTop w:val="0"/>
      <w:marBottom w:val="0"/>
      <w:divBdr>
        <w:top w:val="none" w:sz="0" w:space="0" w:color="auto"/>
        <w:left w:val="none" w:sz="0" w:space="0" w:color="auto"/>
        <w:bottom w:val="none" w:sz="0" w:space="0" w:color="auto"/>
        <w:right w:val="none" w:sz="0" w:space="0" w:color="auto"/>
      </w:divBdr>
      <w:divsChild>
        <w:div w:id="1334645697">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1347</Words>
  <Characters>7409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Conocimiento Adictivo</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LEONOR ROSALES GUTIERREZ</dc:creator>
  <cp:keywords/>
  <dc:description/>
  <cp:lastModifiedBy>MARIA LEONOR ROSALES GUTIERREZ</cp:lastModifiedBy>
  <cp:revision>4</cp:revision>
  <cp:lastPrinted>2025-02-05T00:43:00Z</cp:lastPrinted>
  <dcterms:created xsi:type="dcterms:W3CDTF">2025-02-02T22:31:00Z</dcterms:created>
  <dcterms:modified xsi:type="dcterms:W3CDTF">2025-02-05T01:02:00Z</dcterms:modified>
</cp:coreProperties>
</file>