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48"/>
          <w:sz-cs w:val="48"/>
        </w:rPr>
        <w:t xml:space="preserve"/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>Задания</w:t>
      </w:r>
    </w:p>
    <w:p>
      <w:pPr>
        <w:ind w:left="720" w:first-line="-72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Для каждого абонента определить количество всех событий (звонки/интернет-сессии/пополнения/списания), продолжительность всех вызовов, продолжительность всех интернет-сессий, сумму пополнений, сумму списаний.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Определить продолжительность самого длительного вызова и самой длительной интернет-сессии. Необходимые поля: subs_Key, duration (длительность интернет-сессии / голосового вызова)</w:t>
      </w:r>
    </w:p>
    <w:p>
      <w:pPr/>
      <w:r>
        <w:rPr>
          <w:rFonts w:ascii="Times New Roman" w:hAnsi="Times New Roman" w:cs="Times New Roman"/>
          <w:sz w:val="48"/>
          <w:sz-cs w:val="48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Для каждого абонента выгрузить историю изменения его баланса (после каждого пополнения / списания). Необходимые поля: subs_key, event_dt, change (если пополнение, то значение PAYMENT, если списание, то значение (-1) * CHARGE), balance. Отсортировать строки по абонентам и по дате события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48"/>
          <w:sz-cs w:val="48"/>
        </w:rPr>
        <w:t xml:space="preserve"/>
        <w:tab/>
        <w:t xml:space="preserve">•</w:t>
        <w:tab/>
        <w:t xml:space="preserve">Для абонентов, у которых было больше одного списания, определить, каким типом сетевого события (голос / интернет) они пользуются чаще (сравнивать не по продолжительности, а по количеству). Необходимые поля: абонент, количество списаний, «максимальный» тип сетевого события, количество сетевых событий этого типа</w:t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Pak</dc:creator>
</cp:coreProperties>
</file>

<file path=docProps/meta.xml><?xml version="1.0" encoding="utf-8"?>
<meta xmlns="http://schemas.apple.com/cocoa/2006/metadata">
  <generator>CocoaOOXMLWriter/1894.2</generator>
</meta>
</file>