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35F67" w14:textId="08F3E439" w:rsidR="00615D80" w:rsidRDefault="007604D8" w:rsidP="009666D3">
      <w:pPr>
        <w:pStyle w:val="p1"/>
        <w:spacing w:line="360" w:lineRule="auto"/>
      </w:pPr>
      <w:r>
        <w:t xml:space="preserve">Single-cell transcriptomics has transformed our ability to characterize cellular heterogeneity, developmental trajectories, and lineage specification across tissues and organisms. Recent advances in RNA velocity and trajectory inference have enabled the reconstruction of dynamic cellular transitions from static transcriptomic snapshots, providing unprecedented opportunities to study differentiation, regeneration, and disease progression at the systems scale. However, despite rapid progress in foundation models, representation learning, and graph-based inference, a central challenge remains: how to infer mechanistically interpretable gene regulatory dynamics from observational single-cell data. Most existing methods either reconstruct low-dimensional latent trajectories or infer static gene regulatory networks (GRNs), but rarely unify regulatory structure and cellular dynamics within a common mathematical framework. Consequently, many approaches achieve strong predictive or embedding performance yet remain difficult to interpret mechanistically, particularly in perturbational or out-of-distribution settings where cells are driven into previously unobserved transcriptional states. Gene regulation is fundamentally a dynamical systems problem in which regulatory interactions, attractor stability, and temporal transitions jointly govern cellular identity and fate decisions. </w:t>
      </w:r>
      <w:r>
        <w:rPr>
          <w:rStyle w:val="apple-converted-space"/>
        </w:rPr>
        <w:t> </w:t>
      </w:r>
      <w:r w:rsidR="00571266">
        <w:tab/>
      </w:r>
      <w:r w:rsidR="00571266">
        <w:tab/>
      </w:r>
      <w:r w:rsidR="00571266">
        <w:tab/>
      </w:r>
      <w:r w:rsidR="00571266">
        <w:tab/>
      </w:r>
      <w:r w:rsidR="00571266">
        <w:tab/>
      </w:r>
      <w:r w:rsidR="00FF6AB9">
        <w:t xml:space="preserve">A longstanding conceptual framework for understanding cellular differentiation is Waddington’s epigenetic landscape, in which developmental trajectories emerge as flows across a dynamical landscape </w:t>
      </w:r>
      <w:r w:rsidR="007B3697">
        <w:t>with</w:t>
      </w:r>
      <w:r w:rsidR="00FF6AB9">
        <w:t xml:space="preserve"> stable attractor states corresponding to differentiated cell identities. Although this </w:t>
      </w:r>
      <w:r w:rsidR="000055AF">
        <w:t>visualization</w:t>
      </w:r>
      <w:r w:rsidR="00FF6AB9">
        <w:t xml:space="preserve"> has profoundly shaped developmental biology and systems biology, reconstructing such landscapes directly from high-dimensional transcriptomic data remains challenging. Existing RNA velocity approaches infer local transition vectors between cellular states but often lack explicit mechanistic models linking regulatory interactions to landscape geometry, stability, or perturbational dynamics. Conversely, many GRN inference methods reconstruct statistical dependencies or co-expression patterns without explicitly modeling the dynamical processes that generate observed trajectories. This separation between regulation and dynamics creates a central inverse problem in single-cell biology</w:t>
      </w:r>
      <w:r w:rsidR="00E71967">
        <w:t>:</w:t>
      </w:r>
      <w:r w:rsidR="00424C95">
        <w:t xml:space="preserve"> </w:t>
      </w:r>
      <w:r w:rsidR="00FF6AB9">
        <w:t xml:space="preserve">distinct regulatory architectures can often </w:t>
      </w:r>
      <w:r w:rsidR="00E71967">
        <w:t>yield</w:t>
      </w:r>
      <w:r w:rsidR="00FF6AB9">
        <w:t xml:space="preserve"> similar transcriptional trajectories, particularly in high-dimensional systems with sparse sampling and incomplete observations. As a result, minimizing reconstruction error alone does not necessarily recover biologically meaningful regulatory structure, and purely statistical models </w:t>
      </w:r>
      <w:r w:rsidR="00E71967">
        <w:t>often</w:t>
      </w:r>
      <w:r w:rsidR="00FF6AB9">
        <w:t xml:space="preserve"> struggle to generalize under perturbation</w:t>
      </w:r>
      <w:r w:rsidR="00E71967">
        <w:t>s</w:t>
      </w:r>
      <w:r w:rsidR="00FF6AB9">
        <w:t xml:space="preserve"> or </w:t>
      </w:r>
      <w:r w:rsidR="00E71967">
        <w:t xml:space="preserve">for </w:t>
      </w:r>
      <w:r w:rsidR="00FF6AB9">
        <w:t xml:space="preserve">extrapolation. Recent efforts combining RNA velocity with dynamical systems analyses have </w:t>
      </w:r>
      <w:r w:rsidR="00FF6AB9">
        <w:lastRenderedPageBreak/>
        <w:t>emphasized the importance of stability, rotational dynamics, and attractor geometry for modeling cellular state transitions, yet a unified end-to-end framework that jointly infers GRNs, transcriptional dynamics, and mechanistic landscape structure remains lacking.</w:t>
      </w:r>
      <w:r w:rsidR="00571266">
        <w:tab/>
      </w:r>
      <w:r w:rsidR="00571266">
        <w:tab/>
      </w:r>
      <w:r w:rsidR="00571266">
        <w:tab/>
      </w:r>
      <w:r w:rsidR="00571266">
        <w:tab/>
      </w:r>
      <w:r>
        <w:t>Continuous Hopfield networks provide a natural inductive bias for addressing this problem because they unify dynamical systems theory, energy-based modeling, and attractor dynamics within a mathematically interpretable framework. Originally introduced as recurrent neural-network models with explicit energy functions and convergent attractor dynamics, continuous Hopfield systems describe state evolution through coupled differential equations that drive network trajectories toward stable minima of an underlying energy landscape. These properties make Hopfield systems conceptually well aligned with developmental biology, where stable cellular identities correspond to attractor states and differentiation trajectories correspond to transitions across regulatory landscapes. Importantly, continuous Hopfield formulations naturally support both equilibrium and non-equilibrium behaviors, including multistability, bifurcations, oscillatory dynamics, and perturbation-induced attractor switching. Recent work has also highlighted conceptual links between generalized Hopfield dynamics and Waddington-like landscape organization, suggesting that attractor-based neural systems may provide a powerful mathematical language for describing biological differentiation and developmental canalization. Unlike black-box latent embedding models, Hopfield systems provide explicit energy functions, interpretable interaction matrices, and Jacobian-based stability analyses, enabling direct characterization of cellular stability, oscillatory propensity, and perturbational sensitivity.</w:t>
      </w:r>
      <w:r w:rsidR="00CF1DAF">
        <w:tab/>
      </w:r>
      <w:r w:rsidR="00CF1DAF">
        <w:tab/>
      </w:r>
      <w:r w:rsidR="00CF1DAF">
        <w:tab/>
      </w:r>
      <w:r w:rsidR="00CF1DAF">
        <w:tab/>
      </w:r>
      <w:r w:rsidR="00CF1DAF">
        <w:tab/>
      </w:r>
      <w:r w:rsidR="00CF1DAF">
        <w:tab/>
      </w:r>
      <w:r w:rsidR="00CF1DAF">
        <w:tab/>
      </w:r>
      <w:r w:rsidR="00CF1DAF">
        <w:tab/>
      </w:r>
      <w:r w:rsidR="00CF1DAF">
        <w:tab/>
      </w:r>
      <w:r w:rsidR="00CF1DAF">
        <w:tab/>
      </w:r>
      <w:r w:rsidR="00CF1DAF">
        <w:tab/>
      </w:r>
      <w:r w:rsidR="00CF1DAF">
        <w:tab/>
      </w:r>
      <w:r>
        <w:t xml:space="preserve">Here we introduce scHopfield, an interpretable dynamical systems </w:t>
      </w:r>
      <w:r w:rsidR="00947746">
        <w:t>formulation</w:t>
      </w:r>
      <w:r>
        <w:t xml:space="preserve"> that jointly infers GRNs, transcriptional dynamics, and cellular energy landscapes from single-cell transcriptomic and RNA velocity data within a unified end-to-end formulation. scHopfield uses the continuous Hopfield formalism as an inductive bias to solve the combined inverse problem of regulatory inference and dynamical reconstruction. Specifically, the model parameterizes transcriptional dynamics with cell-type-specific interaction matrices coupled to biologically interpretable Hill kinetics, thereby directly linking regulatory interactions to observed RNA velocity dynamics. To improve identifiability and mechanistic interpretability, scHopfield</w:t>
      </w:r>
      <w:r w:rsidR="0009463B">
        <w:t xml:space="preserve"> is a flexible</w:t>
      </w:r>
      <w:r w:rsidR="00443D98">
        <w:t>,</w:t>
      </w:r>
      <w:r w:rsidR="0009463B">
        <w:t xml:space="preserve"> </w:t>
      </w:r>
      <w:r w:rsidR="00085288">
        <w:t xml:space="preserve">user-driven </w:t>
      </w:r>
      <w:r w:rsidR="0009463B">
        <w:t>metho</w:t>
      </w:r>
      <w:r w:rsidR="001145E2">
        <w:t>dology</w:t>
      </w:r>
      <w:r w:rsidR="000705B1">
        <w:t xml:space="preserve"> that</w:t>
      </w:r>
      <w:r>
        <w:t xml:space="preserve"> integrates prior biological knowledge </w:t>
      </w:r>
      <w:r w:rsidR="00443D98">
        <w:t>via</w:t>
      </w:r>
      <w:r>
        <w:t xml:space="preserve"> scaffold-guided optimization</w:t>
      </w:r>
      <w:r w:rsidR="00443D98">
        <w:t>,</w:t>
      </w:r>
      <w:r>
        <w:t xml:space="preserve"> constrained by chromatin accessibility data or curated regulatory interactions. The </w:t>
      </w:r>
      <w:r>
        <w:lastRenderedPageBreak/>
        <w:t>resulting framework simultaneously reconstructs effective dynamical regulatory systems, cellular energy landscapes, and local stability structure while remaining compatible with observed transcriptional trajectories. Because the model is formulated as a continuous, differentiable dynamical system, it also supports perturbational simulations, Jacobian decomposition, and attractor-level analyses within the same mathematical framework.</w:t>
      </w:r>
      <w:r w:rsidR="009666D3">
        <w:tab/>
      </w:r>
      <w:r w:rsidR="009666D3">
        <w:tab/>
      </w:r>
      <w:r w:rsidR="009666D3">
        <w:tab/>
      </w:r>
      <w:r w:rsidR="009666D3">
        <w:tab/>
      </w:r>
      <w:r w:rsidR="009666D3">
        <w:tab/>
      </w:r>
      <w:r w:rsidR="00EE41BE">
        <w:t xml:space="preserve">We show that scHopfield reproduces canonical dynamical motifs underlying biological regulation, including bistability, attractor switching, and oscillatory dynamics, while outperforming existing velocity and GRN inference approaches in both synthetic and lineage-complex simulations. </w:t>
      </w:r>
      <w:r w:rsidR="00EC3907">
        <w:t xml:space="preserve">scHopfield </w:t>
      </w:r>
      <w:r w:rsidR="00EE41BE">
        <w:t>accurately recovers canonical hematopoietic lineage regulators and reconstructs lineage-specific stability states and energy landscapes during pancreatic endocrinogenesis. Importantly, we demonstrate that perturbational biology can be formulated as an out-of-distribution dynamical inference problem in which transcriptional perturbations drive cells beyond the observed manifolds. Using constrained Hopfield dynamics, scHopfield predicts higher-order perturbational interactions and lineage-balancing regulators that are inaccessible to static transcriptomic analyses alone. Together, these results position scHopfield as a unified framework for interpretable dynamical systems learning, mechanistic GRN inference, and out-of-distribution perturbational modeling in single-cell biology.</w:t>
      </w:r>
    </w:p>
    <w:p w14:paraId="7D1E2D37" w14:textId="77777777" w:rsidR="0081419B" w:rsidRDefault="0081419B" w:rsidP="00EE73C0">
      <w:pPr>
        <w:spacing w:line="360" w:lineRule="auto"/>
      </w:pPr>
    </w:p>
    <w:sectPr w:rsidR="008141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D80"/>
    <w:rsid w:val="000055AF"/>
    <w:rsid w:val="000705B1"/>
    <w:rsid w:val="00085288"/>
    <w:rsid w:val="0009463B"/>
    <w:rsid w:val="001145E2"/>
    <w:rsid w:val="001A3C05"/>
    <w:rsid w:val="001A6DB8"/>
    <w:rsid w:val="001E5E5D"/>
    <w:rsid w:val="0022289C"/>
    <w:rsid w:val="00245C61"/>
    <w:rsid w:val="00424C95"/>
    <w:rsid w:val="00443D98"/>
    <w:rsid w:val="0054701E"/>
    <w:rsid w:val="00571266"/>
    <w:rsid w:val="00615D80"/>
    <w:rsid w:val="007604D8"/>
    <w:rsid w:val="007B3697"/>
    <w:rsid w:val="0081419B"/>
    <w:rsid w:val="00947746"/>
    <w:rsid w:val="009666D3"/>
    <w:rsid w:val="00987535"/>
    <w:rsid w:val="009C2F9B"/>
    <w:rsid w:val="00A3687C"/>
    <w:rsid w:val="00C72283"/>
    <w:rsid w:val="00CF1DAF"/>
    <w:rsid w:val="00D07242"/>
    <w:rsid w:val="00E71967"/>
    <w:rsid w:val="00EC3907"/>
    <w:rsid w:val="00EE41BE"/>
    <w:rsid w:val="00EE73C0"/>
    <w:rsid w:val="00FF0C40"/>
    <w:rsid w:val="00FF6AB9"/>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5185CFFA"/>
  <w15:chartTrackingRefBased/>
  <w15:docId w15:val="{93E5D200-73C5-754B-B152-1BAE6B726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D80"/>
    <w:rPr>
      <w:rFonts w:eastAsiaTheme="majorEastAsia" w:cstheme="majorBidi"/>
      <w:color w:val="272727" w:themeColor="text1" w:themeTint="D8"/>
    </w:rPr>
  </w:style>
  <w:style w:type="paragraph" w:styleId="Title">
    <w:name w:val="Title"/>
    <w:basedOn w:val="Normal"/>
    <w:next w:val="Normal"/>
    <w:link w:val="TitleChar"/>
    <w:uiPriority w:val="10"/>
    <w:qFormat/>
    <w:rsid w:val="00615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D80"/>
    <w:pPr>
      <w:spacing w:before="160"/>
      <w:jc w:val="center"/>
    </w:pPr>
    <w:rPr>
      <w:i/>
      <w:iCs/>
      <w:color w:val="404040" w:themeColor="text1" w:themeTint="BF"/>
    </w:rPr>
  </w:style>
  <w:style w:type="character" w:customStyle="1" w:styleId="QuoteChar">
    <w:name w:val="Quote Char"/>
    <w:basedOn w:val="DefaultParagraphFont"/>
    <w:link w:val="Quote"/>
    <w:uiPriority w:val="29"/>
    <w:rsid w:val="00615D80"/>
    <w:rPr>
      <w:i/>
      <w:iCs/>
      <w:color w:val="404040" w:themeColor="text1" w:themeTint="BF"/>
    </w:rPr>
  </w:style>
  <w:style w:type="paragraph" w:styleId="ListParagraph">
    <w:name w:val="List Paragraph"/>
    <w:basedOn w:val="Normal"/>
    <w:uiPriority w:val="34"/>
    <w:qFormat/>
    <w:rsid w:val="00615D80"/>
    <w:pPr>
      <w:ind w:left="720"/>
      <w:contextualSpacing/>
    </w:pPr>
  </w:style>
  <w:style w:type="character" w:styleId="IntenseEmphasis">
    <w:name w:val="Intense Emphasis"/>
    <w:basedOn w:val="DefaultParagraphFont"/>
    <w:uiPriority w:val="21"/>
    <w:qFormat/>
    <w:rsid w:val="00615D80"/>
    <w:rPr>
      <w:i/>
      <w:iCs/>
      <w:color w:val="0F4761" w:themeColor="accent1" w:themeShade="BF"/>
    </w:rPr>
  </w:style>
  <w:style w:type="paragraph" w:styleId="IntenseQuote">
    <w:name w:val="Intense Quote"/>
    <w:basedOn w:val="Normal"/>
    <w:next w:val="Normal"/>
    <w:link w:val="IntenseQuoteChar"/>
    <w:uiPriority w:val="30"/>
    <w:qFormat/>
    <w:rsid w:val="00615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D80"/>
    <w:rPr>
      <w:i/>
      <w:iCs/>
      <w:color w:val="0F4761" w:themeColor="accent1" w:themeShade="BF"/>
    </w:rPr>
  </w:style>
  <w:style w:type="character" w:styleId="IntenseReference">
    <w:name w:val="Intense Reference"/>
    <w:basedOn w:val="DefaultParagraphFont"/>
    <w:uiPriority w:val="32"/>
    <w:qFormat/>
    <w:rsid w:val="00615D80"/>
    <w:rPr>
      <w:b/>
      <w:bCs/>
      <w:smallCaps/>
      <w:color w:val="0F4761" w:themeColor="accent1" w:themeShade="BF"/>
      <w:spacing w:val="5"/>
    </w:rPr>
  </w:style>
  <w:style w:type="paragraph" w:customStyle="1" w:styleId="p1">
    <w:name w:val="p1"/>
    <w:basedOn w:val="Normal"/>
    <w:rsid w:val="00615D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15D80"/>
  </w:style>
  <w:style w:type="paragraph" w:customStyle="1" w:styleId="p2">
    <w:name w:val="p2"/>
    <w:basedOn w:val="Normal"/>
    <w:rsid w:val="00615D8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1073</Words>
  <Characters>6117</Characters>
  <Application>Microsoft Office Word</Application>
  <DocSecurity>0</DocSecurity>
  <Lines>50</Lines>
  <Paragraphs>14</Paragraphs>
  <ScaleCrop>false</ScaleCrop>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Jesper Tegner</dc:creator>
  <cp:keywords/>
  <dc:description/>
  <cp:lastModifiedBy>Jesper Tegner</cp:lastModifiedBy>
  <cp:revision>47</cp:revision>
  <dcterms:created xsi:type="dcterms:W3CDTF">2026-05-16T17:16:00Z</dcterms:created>
  <dcterms:modified xsi:type="dcterms:W3CDTF">2026-05-16T17:20:00Z</dcterms:modified>
</cp:coreProperties>
</file>