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5FA7" w14:textId="338F97CF" w:rsidR="000F54B9" w:rsidRPr="00FD06F6" w:rsidRDefault="000F54B9" w:rsidP="004172B7">
      <w:pPr>
        <w:pStyle w:val="p1"/>
        <w:jc w:val="center"/>
        <w:rPr>
          <w:b/>
          <w:bCs/>
          <w:sz w:val="32"/>
          <w:szCs w:val="32"/>
        </w:rPr>
      </w:pPr>
      <w:bookmarkStart w:id="0" w:name="abstract"/>
      <w:r w:rsidRPr="00FD06F6">
        <w:rPr>
          <w:b/>
          <w:bCs/>
          <w:sz w:val="32"/>
          <w:szCs w:val="32"/>
        </w:rPr>
        <w:t xml:space="preserve">scHopfield: </w:t>
      </w:r>
      <w:r w:rsidR="00AB784D" w:rsidRPr="00FD06F6">
        <w:rPr>
          <w:b/>
          <w:bCs/>
          <w:sz w:val="32"/>
          <w:szCs w:val="32"/>
        </w:rPr>
        <w:t xml:space="preserve">Learning </w:t>
      </w:r>
      <w:r w:rsidRPr="00FD06F6">
        <w:rPr>
          <w:b/>
          <w:bCs/>
          <w:sz w:val="32"/>
          <w:szCs w:val="32"/>
        </w:rPr>
        <w:t xml:space="preserve">Energy-based inference of </w:t>
      </w:r>
      <w:r w:rsidR="00FD06F6" w:rsidRPr="00FD06F6">
        <w:rPr>
          <w:b/>
          <w:bCs/>
          <w:sz w:val="32"/>
          <w:szCs w:val="32"/>
        </w:rPr>
        <w:t>G</w:t>
      </w:r>
      <w:r w:rsidRPr="00FD06F6">
        <w:rPr>
          <w:b/>
          <w:bCs/>
          <w:sz w:val="32"/>
          <w:szCs w:val="32"/>
        </w:rPr>
        <w:t xml:space="preserve">ene </w:t>
      </w:r>
      <w:r w:rsidR="00FD06F6" w:rsidRPr="00FD06F6">
        <w:rPr>
          <w:b/>
          <w:bCs/>
          <w:sz w:val="32"/>
          <w:szCs w:val="32"/>
        </w:rPr>
        <w:t>R</w:t>
      </w:r>
      <w:r w:rsidRPr="00FD06F6">
        <w:rPr>
          <w:b/>
          <w:bCs/>
          <w:sz w:val="32"/>
          <w:szCs w:val="32"/>
        </w:rPr>
        <w:t xml:space="preserve">egulatory </w:t>
      </w:r>
      <w:r w:rsidR="00FD06F6" w:rsidRPr="00FD06F6">
        <w:rPr>
          <w:b/>
          <w:bCs/>
          <w:sz w:val="32"/>
          <w:szCs w:val="32"/>
        </w:rPr>
        <w:t>N</w:t>
      </w:r>
      <w:r w:rsidRPr="00FD06F6">
        <w:rPr>
          <w:b/>
          <w:bCs/>
          <w:sz w:val="32"/>
          <w:szCs w:val="32"/>
        </w:rPr>
        <w:t xml:space="preserve">etworks from </w:t>
      </w:r>
      <w:r w:rsidR="00FD06F6" w:rsidRPr="00FD06F6">
        <w:rPr>
          <w:b/>
          <w:bCs/>
          <w:sz w:val="32"/>
          <w:szCs w:val="32"/>
        </w:rPr>
        <w:t>S</w:t>
      </w:r>
      <w:r w:rsidRPr="00FD06F6">
        <w:rPr>
          <w:b/>
          <w:bCs/>
          <w:sz w:val="32"/>
          <w:szCs w:val="32"/>
        </w:rPr>
        <w:t>ingle-</w:t>
      </w:r>
      <w:r w:rsidR="00FD06F6" w:rsidRPr="00FD06F6">
        <w:rPr>
          <w:b/>
          <w:bCs/>
          <w:sz w:val="32"/>
          <w:szCs w:val="32"/>
        </w:rPr>
        <w:t>C</w:t>
      </w:r>
      <w:r w:rsidRPr="00FD06F6">
        <w:rPr>
          <w:b/>
          <w:bCs/>
          <w:sz w:val="32"/>
          <w:szCs w:val="32"/>
        </w:rPr>
        <w:t xml:space="preserve">ell </w:t>
      </w:r>
      <w:r w:rsidR="00FD06F6" w:rsidRPr="00FD06F6">
        <w:rPr>
          <w:b/>
          <w:bCs/>
          <w:sz w:val="32"/>
          <w:szCs w:val="32"/>
        </w:rPr>
        <w:t>T</w:t>
      </w:r>
      <w:r w:rsidRPr="00FD06F6">
        <w:rPr>
          <w:b/>
          <w:bCs/>
          <w:sz w:val="32"/>
          <w:szCs w:val="32"/>
        </w:rPr>
        <w:t xml:space="preserve">ranscriptomic </w:t>
      </w:r>
      <w:r w:rsidR="00FD06F6" w:rsidRPr="00FD06F6">
        <w:rPr>
          <w:b/>
          <w:bCs/>
          <w:sz w:val="32"/>
          <w:szCs w:val="32"/>
        </w:rPr>
        <w:t>D</w:t>
      </w:r>
      <w:r w:rsidRPr="00FD06F6">
        <w:rPr>
          <w:b/>
          <w:bCs/>
          <w:sz w:val="32"/>
          <w:szCs w:val="32"/>
        </w:rPr>
        <w:t>ynamics</w:t>
      </w:r>
    </w:p>
    <w:p w14:paraId="0F3D1188" w14:textId="171AB418" w:rsidR="00B35EE9" w:rsidRPr="00FD06F6" w:rsidRDefault="00B35EE9" w:rsidP="00540F32">
      <w:pPr>
        <w:pStyle w:val="p1"/>
        <w:jc w:val="center"/>
        <w:rPr>
          <w:b/>
          <w:bCs/>
          <w:sz w:val="32"/>
          <w:szCs w:val="32"/>
        </w:rPr>
      </w:pPr>
      <w:r w:rsidRPr="00FD06F6">
        <w:rPr>
          <w:b/>
          <w:bCs/>
          <w:sz w:val="32"/>
          <w:szCs w:val="32"/>
        </w:rPr>
        <w:t xml:space="preserve">Inferring </w:t>
      </w:r>
      <w:r w:rsidR="00FD06F6" w:rsidRPr="00FD06F6">
        <w:rPr>
          <w:b/>
          <w:bCs/>
          <w:sz w:val="32"/>
          <w:szCs w:val="32"/>
        </w:rPr>
        <w:t>G</w:t>
      </w:r>
      <w:r w:rsidRPr="00FD06F6">
        <w:rPr>
          <w:b/>
          <w:bCs/>
          <w:sz w:val="32"/>
          <w:szCs w:val="32"/>
        </w:rPr>
        <w:t xml:space="preserve">ene </w:t>
      </w:r>
      <w:r w:rsidR="00FD06F6" w:rsidRPr="00FD06F6">
        <w:rPr>
          <w:b/>
          <w:bCs/>
          <w:sz w:val="32"/>
          <w:szCs w:val="32"/>
        </w:rPr>
        <w:t>R</w:t>
      </w:r>
      <w:r w:rsidRPr="00FD06F6">
        <w:rPr>
          <w:b/>
          <w:bCs/>
          <w:sz w:val="32"/>
          <w:szCs w:val="32"/>
        </w:rPr>
        <w:t xml:space="preserve">egulatory </w:t>
      </w:r>
      <w:r w:rsidR="00A15237">
        <w:rPr>
          <w:b/>
          <w:bCs/>
          <w:sz w:val="32"/>
          <w:szCs w:val="32"/>
        </w:rPr>
        <w:t>D</w:t>
      </w:r>
      <w:r w:rsidRPr="00FD06F6">
        <w:rPr>
          <w:b/>
          <w:bCs/>
          <w:sz w:val="32"/>
          <w:szCs w:val="32"/>
        </w:rPr>
        <w:t xml:space="preserve">ynamics from single-cell RNA </w:t>
      </w:r>
      <w:r w:rsidR="00C73ED5">
        <w:rPr>
          <w:b/>
          <w:bCs/>
          <w:sz w:val="32"/>
          <w:szCs w:val="32"/>
        </w:rPr>
        <w:t>T</w:t>
      </w:r>
      <w:r w:rsidR="00A14303">
        <w:rPr>
          <w:b/>
          <w:bCs/>
          <w:sz w:val="32"/>
          <w:szCs w:val="32"/>
        </w:rPr>
        <w:t>ranscriptomics</w:t>
      </w:r>
      <w:r w:rsidRPr="00FD06F6">
        <w:rPr>
          <w:b/>
          <w:bCs/>
          <w:sz w:val="32"/>
          <w:szCs w:val="32"/>
        </w:rPr>
        <w:t xml:space="preserve"> using Hopfield </w:t>
      </w:r>
      <w:r w:rsidR="00FD06F6" w:rsidRPr="00FD06F6">
        <w:rPr>
          <w:b/>
          <w:bCs/>
          <w:sz w:val="32"/>
          <w:szCs w:val="32"/>
        </w:rPr>
        <w:t>E</w:t>
      </w:r>
      <w:r w:rsidRPr="00FD06F6">
        <w:rPr>
          <w:b/>
          <w:bCs/>
          <w:sz w:val="32"/>
          <w:szCs w:val="32"/>
        </w:rPr>
        <w:t xml:space="preserve">nergy </w:t>
      </w:r>
      <w:r w:rsidR="00FD06F6" w:rsidRPr="00FD06F6">
        <w:rPr>
          <w:b/>
          <w:bCs/>
          <w:sz w:val="32"/>
          <w:szCs w:val="32"/>
        </w:rPr>
        <w:t>L</w:t>
      </w:r>
      <w:r w:rsidRPr="00FD06F6">
        <w:rPr>
          <w:b/>
          <w:bCs/>
          <w:sz w:val="32"/>
          <w:szCs w:val="32"/>
        </w:rPr>
        <w:t>andscapes</w:t>
      </w:r>
    </w:p>
    <w:p w14:paraId="34D64182" w14:textId="1EB48ADB" w:rsidR="00B35EE9" w:rsidRPr="00FD06F6" w:rsidRDefault="00141356" w:rsidP="00A064BE">
      <w:pPr>
        <w:pStyle w:val="p1"/>
        <w:jc w:val="center"/>
        <w:rPr>
          <w:b/>
          <w:bCs/>
          <w:sz w:val="32"/>
          <w:szCs w:val="32"/>
        </w:rPr>
      </w:pPr>
      <w:r w:rsidRPr="00FD06F6">
        <w:rPr>
          <w:b/>
          <w:bCs/>
          <w:sz w:val="32"/>
          <w:szCs w:val="32"/>
        </w:rPr>
        <w:t xml:space="preserve">Learning </w:t>
      </w:r>
      <w:r w:rsidR="004950BE" w:rsidRPr="00FD06F6">
        <w:rPr>
          <w:b/>
          <w:bCs/>
          <w:sz w:val="32"/>
          <w:szCs w:val="32"/>
        </w:rPr>
        <w:t xml:space="preserve">Cellular </w:t>
      </w:r>
      <w:r w:rsidR="006C69B3" w:rsidRPr="00FD06F6">
        <w:rPr>
          <w:b/>
          <w:bCs/>
          <w:sz w:val="32"/>
          <w:szCs w:val="32"/>
        </w:rPr>
        <w:t xml:space="preserve">Hopfield </w:t>
      </w:r>
      <w:r w:rsidR="00B83B98">
        <w:rPr>
          <w:b/>
          <w:bCs/>
          <w:sz w:val="32"/>
          <w:szCs w:val="32"/>
        </w:rPr>
        <w:t>E</w:t>
      </w:r>
      <w:r w:rsidR="006C69B3" w:rsidRPr="00FD06F6">
        <w:rPr>
          <w:b/>
          <w:bCs/>
          <w:sz w:val="32"/>
          <w:szCs w:val="32"/>
        </w:rPr>
        <w:t xml:space="preserve">nergy </w:t>
      </w:r>
      <w:r w:rsidR="00B83B98">
        <w:rPr>
          <w:b/>
          <w:bCs/>
          <w:sz w:val="32"/>
          <w:szCs w:val="32"/>
        </w:rPr>
        <w:t>L</w:t>
      </w:r>
      <w:r w:rsidR="006C69B3" w:rsidRPr="00FD06F6">
        <w:rPr>
          <w:b/>
          <w:bCs/>
          <w:sz w:val="32"/>
          <w:szCs w:val="32"/>
        </w:rPr>
        <w:t>andscapes</w:t>
      </w:r>
      <w:r w:rsidR="008D4366" w:rsidRPr="00FD06F6">
        <w:rPr>
          <w:b/>
          <w:bCs/>
          <w:sz w:val="32"/>
          <w:szCs w:val="32"/>
        </w:rPr>
        <w:t xml:space="preserve"> from</w:t>
      </w:r>
      <w:r w:rsidR="00B35EE9" w:rsidRPr="00FD06F6">
        <w:rPr>
          <w:b/>
          <w:bCs/>
          <w:sz w:val="32"/>
          <w:szCs w:val="32"/>
        </w:rPr>
        <w:t xml:space="preserve"> RNA velocity </w:t>
      </w:r>
      <w:r w:rsidR="00615D2B" w:rsidRPr="00FD06F6">
        <w:rPr>
          <w:b/>
          <w:bCs/>
          <w:sz w:val="32"/>
          <w:szCs w:val="32"/>
        </w:rPr>
        <w:t>and</w:t>
      </w:r>
      <w:r w:rsidR="005042F1" w:rsidRPr="00FD06F6">
        <w:rPr>
          <w:b/>
          <w:bCs/>
          <w:sz w:val="32"/>
          <w:szCs w:val="32"/>
        </w:rPr>
        <w:t xml:space="preserve"> </w:t>
      </w:r>
      <w:r w:rsidR="005703B9">
        <w:rPr>
          <w:b/>
          <w:bCs/>
          <w:sz w:val="32"/>
          <w:szCs w:val="32"/>
        </w:rPr>
        <w:t>T</w:t>
      </w:r>
      <w:r w:rsidR="005042F1" w:rsidRPr="00FD06F6">
        <w:rPr>
          <w:b/>
          <w:bCs/>
          <w:sz w:val="32"/>
          <w:szCs w:val="32"/>
        </w:rPr>
        <w:t>ranscriptional</w:t>
      </w:r>
      <w:r w:rsidR="00B35EE9" w:rsidRPr="00FD06F6">
        <w:rPr>
          <w:b/>
          <w:bCs/>
          <w:sz w:val="32"/>
          <w:szCs w:val="32"/>
        </w:rPr>
        <w:t xml:space="preserve"> </w:t>
      </w:r>
      <w:r w:rsidR="00FD06F6" w:rsidRPr="00FD06F6">
        <w:rPr>
          <w:b/>
          <w:bCs/>
          <w:sz w:val="32"/>
          <w:szCs w:val="32"/>
        </w:rPr>
        <w:t>R</w:t>
      </w:r>
      <w:r w:rsidR="00B35EE9" w:rsidRPr="00FD06F6">
        <w:rPr>
          <w:b/>
          <w:bCs/>
          <w:sz w:val="32"/>
          <w:szCs w:val="32"/>
        </w:rPr>
        <w:t xml:space="preserve">egulatory </w:t>
      </w:r>
      <w:r w:rsidR="00FD06F6" w:rsidRPr="00FD06F6">
        <w:rPr>
          <w:b/>
          <w:bCs/>
          <w:sz w:val="32"/>
          <w:szCs w:val="32"/>
        </w:rPr>
        <w:t>A</w:t>
      </w:r>
      <w:r w:rsidR="00B35EE9" w:rsidRPr="00FD06F6">
        <w:rPr>
          <w:b/>
          <w:bCs/>
          <w:sz w:val="32"/>
          <w:szCs w:val="32"/>
        </w:rPr>
        <w:t>rchitecture</w:t>
      </w:r>
    </w:p>
    <w:p w14:paraId="7CD64287" w14:textId="77777777" w:rsidR="00B35EE9" w:rsidRDefault="00B35EE9" w:rsidP="00B35EE9">
      <w:pPr>
        <w:pStyle w:val="p3"/>
      </w:pPr>
    </w:p>
    <w:p w14:paraId="1327879B" w14:textId="77777777" w:rsidR="00485A7C" w:rsidRDefault="00485A7C" w:rsidP="00485A7C">
      <w:pPr>
        <w:pStyle w:val="p1"/>
        <w:rPr>
          <w:b/>
          <w:bCs/>
        </w:rPr>
      </w:pPr>
    </w:p>
    <w:p w14:paraId="41056711" w14:textId="04236E0E" w:rsidR="00485A7C" w:rsidRPr="00C97E9D" w:rsidRDefault="00485A7C" w:rsidP="00485A7C">
      <w:pPr>
        <w:pStyle w:val="p1"/>
        <w:rPr>
          <w:b/>
          <w:bCs/>
          <w:u w:val="single"/>
        </w:rPr>
      </w:pPr>
      <w:r w:rsidRPr="00C97E9D">
        <w:rPr>
          <w:b/>
          <w:bCs/>
          <w:u w:val="single"/>
        </w:rPr>
        <w:t>In a nutshell:</w:t>
      </w:r>
    </w:p>
    <w:p w14:paraId="1899050B" w14:textId="7DE7EE8E" w:rsidR="00485A7C" w:rsidRPr="00DB2AB9" w:rsidRDefault="00485A7C" w:rsidP="00663A0E">
      <w:pPr>
        <w:pStyle w:val="p1"/>
        <w:numPr>
          <w:ilvl w:val="0"/>
          <w:numId w:val="2"/>
        </w:numPr>
        <w:rPr>
          <w:b/>
          <w:bCs/>
          <w:i/>
          <w:iCs/>
        </w:rPr>
      </w:pPr>
      <w:r w:rsidRPr="00DB2AB9">
        <w:rPr>
          <w:b/>
          <w:bCs/>
          <w:i/>
          <w:iCs/>
        </w:rPr>
        <w:t>Current methods separate GRN inference and cell dynamics</w:t>
      </w:r>
    </w:p>
    <w:p w14:paraId="44D7F148" w14:textId="77777777" w:rsidR="00055B39" w:rsidRPr="00DB2AB9" w:rsidRDefault="00485A7C" w:rsidP="00F7246A">
      <w:pPr>
        <w:pStyle w:val="p1"/>
        <w:numPr>
          <w:ilvl w:val="0"/>
          <w:numId w:val="2"/>
        </w:numPr>
        <w:rPr>
          <w:b/>
          <w:bCs/>
          <w:i/>
          <w:iCs/>
        </w:rPr>
      </w:pPr>
      <w:r w:rsidRPr="00DB2AB9">
        <w:rPr>
          <w:b/>
          <w:bCs/>
          <w:i/>
          <w:iCs/>
        </w:rPr>
        <w:t>scHopfield unifies them via Hopfield energy dynamics</w:t>
      </w:r>
    </w:p>
    <w:p w14:paraId="1D400885" w14:textId="5BE0FD9D" w:rsidR="001A450C" w:rsidRPr="00DB2AB9" w:rsidRDefault="001A450C" w:rsidP="00F7246A">
      <w:pPr>
        <w:pStyle w:val="p1"/>
        <w:numPr>
          <w:ilvl w:val="0"/>
          <w:numId w:val="2"/>
        </w:numPr>
        <w:rPr>
          <w:b/>
          <w:bCs/>
          <w:i/>
          <w:iCs/>
        </w:rPr>
      </w:pPr>
      <w:r w:rsidRPr="00DB2AB9">
        <w:rPr>
          <w:b/>
          <w:bCs/>
          <w:i/>
          <w:iCs/>
        </w:rPr>
        <w:t>Pertu</w:t>
      </w:r>
      <w:r w:rsidR="00E46A00" w:rsidRPr="00DB2AB9">
        <w:rPr>
          <w:b/>
          <w:bCs/>
          <w:i/>
          <w:iCs/>
        </w:rPr>
        <w:t>r</w:t>
      </w:r>
      <w:r w:rsidRPr="00DB2AB9">
        <w:rPr>
          <w:b/>
          <w:bCs/>
          <w:i/>
          <w:iCs/>
        </w:rPr>
        <w:t xml:space="preserve">bation – sentence here </w:t>
      </w:r>
    </w:p>
    <w:p w14:paraId="04E8B8D3" w14:textId="6D5627C1" w:rsidR="00375627" w:rsidRPr="00DB2AB9" w:rsidRDefault="00485A7C" w:rsidP="00F7246A">
      <w:pPr>
        <w:pStyle w:val="p1"/>
        <w:numPr>
          <w:ilvl w:val="0"/>
          <w:numId w:val="2"/>
        </w:numPr>
        <w:rPr>
          <w:b/>
          <w:bCs/>
          <w:i/>
          <w:iCs/>
        </w:rPr>
      </w:pPr>
      <w:r w:rsidRPr="00DB2AB9">
        <w:rPr>
          <w:b/>
          <w:bCs/>
          <w:i/>
          <w:iCs/>
        </w:rPr>
        <w:t>The framework reconstructs regulatory energy landscapes</w:t>
      </w:r>
    </w:p>
    <w:p w14:paraId="41548597" w14:textId="77777777" w:rsidR="00EA743E" w:rsidRPr="00DB2AB9" w:rsidRDefault="00485A7C" w:rsidP="00EA743E">
      <w:pPr>
        <w:pStyle w:val="p1"/>
        <w:numPr>
          <w:ilvl w:val="0"/>
          <w:numId w:val="2"/>
        </w:numPr>
        <w:rPr>
          <w:b/>
          <w:bCs/>
          <w:i/>
          <w:iCs/>
        </w:rPr>
      </w:pPr>
      <w:r w:rsidRPr="00DB2AB9">
        <w:rPr>
          <w:b/>
          <w:bCs/>
          <w:i/>
          <w:iCs/>
        </w:rPr>
        <w:t>These landscapes reveal differentiation stability</w:t>
      </w:r>
    </w:p>
    <w:p w14:paraId="7C6A6348" w14:textId="4ADAA764" w:rsidR="00485A7C" w:rsidRPr="00DB2AB9" w:rsidRDefault="00485A7C" w:rsidP="00EA743E">
      <w:pPr>
        <w:pStyle w:val="p1"/>
        <w:numPr>
          <w:ilvl w:val="0"/>
          <w:numId w:val="2"/>
        </w:numPr>
        <w:rPr>
          <w:b/>
          <w:bCs/>
          <w:i/>
          <w:iCs/>
        </w:rPr>
      </w:pPr>
      <w:r w:rsidRPr="00DB2AB9">
        <w:rPr>
          <w:b/>
          <w:bCs/>
          <w:i/>
          <w:iCs/>
        </w:rPr>
        <w:t>The approach identifies regulatory drivers</w:t>
      </w:r>
    </w:p>
    <w:p w14:paraId="461117CF" w14:textId="77777777" w:rsidR="00B35EE9" w:rsidRDefault="00B35EE9" w:rsidP="00B35EE9">
      <w:pPr>
        <w:pStyle w:val="p3"/>
      </w:pPr>
    </w:p>
    <w:p w14:paraId="0CD7CAA6" w14:textId="77777777" w:rsidR="00C0188D" w:rsidRPr="00B35EE9" w:rsidRDefault="00C0188D" w:rsidP="00974B4F">
      <w:pPr>
        <w:pStyle w:val="BodyText"/>
        <w:spacing w:line="276" w:lineRule="auto"/>
        <w:rPr>
          <w:rFonts w:asciiTheme="majorBidi" w:hAnsiTheme="majorBidi" w:cstheme="majorBidi"/>
          <w:lang w:val="en-SA"/>
        </w:rPr>
      </w:pPr>
    </w:p>
    <w:p w14:paraId="6F32F30D" w14:textId="76E428FD" w:rsidR="00AF2751" w:rsidRPr="00974B4F" w:rsidRDefault="00AF2751" w:rsidP="00974B4F">
      <w:pPr>
        <w:pStyle w:val="p1"/>
        <w:spacing w:line="276" w:lineRule="auto"/>
        <w:rPr>
          <w:rFonts w:asciiTheme="majorBidi" w:hAnsiTheme="majorBidi" w:cstheme="majorBidi"/>
        </w:rPr>
      </w:pPr>
      <w:r w:rsidRPr="00582232">
        <w:rPr>
          <w:rFonts w:asciiTheme="majorBidi" w:hAnsiTheme="majorBidi" w:cstheme="majorBidi"/>
          <w:highlight w:val="yellow"/>
        </w:rPr>
        <w:t>(P1</w:t>
      </w:r>
      <w:r w:rsidR="006E57C7" w:rsidRPr="00582232">
        <w:rPr>
          <w:rFonts w:asciiTheme="majorBidi" w:hAnsiTheme="majorBidi" w:cstheme="majorBidi"/>
          <w:highlight w:val="yellow"/>
        </w:rPr>
        <w:t xml:space="preserve"> – context motivation</w:t>
      </w:r>
      <w:r w:rsidRPr="00582232">
        <w:rPr>
          <w:rFonts w:asciiTheme="majorBidi" w:hAnsiTheme="majorBidi" w:cstheme="majorBidi"/>
          <w:highlight w:val="yellow"/>
        </w:rPr>
        <w:t>)</w:t>
      </w:r>
    </w:p>
    <w:p w14:paraId="79F920B3" w14:textId="72909566" w:rsidR="00D56969" w:rsidRPr="00D15B45" w:rsidRDefault="00641B7C" w:rsidP="00385DF9">
      <w:pPr>
        <w:pStyle w:val="p1"/>
        <w:spacing w:line="276" w:lineRule="auto"/>
        <w:rPr>
          <w:rFonts w:asciiTheme="majorBidi" w:hAnsiTheme="majorBidi" w:cstheme="majorBidi"/>
          <w:color w:val="000000" w:themeColor="text1"/>
          <w:lang w:val="en-US"/>
        </w:rPr>
      </w:pPr>
      <w:r w:rsidRPr="0049262F">
        <w:rPr>
          <w:rFonts w:asciiTheme="majorBidi" w:hAnsiTheme="majorBidi" w:cstheme="majorBidi"/>
          <w:color w:val="000000" w:themeColor="text1"/>
        </w:rPr>
        <w:t xml:space="preserve">Understanding the gene regulatory networks (GRNs) that govern cellular differentiation is critical for elucidating developmental processes and disease states. </w:t>
      </w:r>
      <w:r w:rsidR="0042105F" w:rsidRPr="003E0639">
        <w:rPr>
          <w:rFonts w:asciiTheme="majorBidi" w:hAnsiTheme="majorBidi" w:cstheme="majorBidi"/>
          <w:color w:val="000000" w:themeColor="text1"/>
        </w:rPr>
        <w:t>Gene regulatory networks orchestrate cell fate decisions, yet existing methods often decouple network inference from dynamical transitions or lack biophysical interpretability.</w:t>
      </w:r>
      <w:r w:rsidR="00385DF9" w:rsidRPr="00D15B45">
        <w:rPr>
          <w:rFonts w:asciiTheme="majorBidi" w:hAnsiTheme="majorBidi" w:cstheme="majorBidi"/>
          <w:color w:val="000000" w:themeColor="text1"/>
        </w:rPr>
        <w:t xml:space="preserve"> </w:t>
      </w:r>
      <w:r w:rsidR="00C0188D" w:rsidRPr="00D15B45">
        <w:rPr>
          <w:rFonts w:asciiTheme="majorBidi" w:hAnsiTheme="majorBidi" w:cstheme="majorBidi"/>
          <w:color w:val="000000" w:themeColor="text1"/>
        </w:rPr>
        <w:t>Single-cell RNA sequencing (scRNA-seq) has transformed the study of cellular heterogeneity</w:t>
      </w:r>
      <w:r w:rsidR="00B86A1C" w:rsidRPr="00D15B45">
        <w:rPr>
          <w:rFonts w:asciiTheme="majorBidi" w:hAnsiTheme="majorBidi" w:cstheme="majorBidi"/>
          <w:color w:val="000000" w:themeColor="text1"/>
        </w:rPr>
        <w:t xml:space="preserve">. </w:t>
      </w:r>
      <w:r w:rsidR="00B86A1C" w:rsidRPr="0049262F">
        <w:rPr>
          <w:rFonts w:asciiTheme="majorBidi" w:hAnsiTheme="majorBidi" w:cstheme="majorBidi"/>
          <w:color w:val="000000" w:themeColor="text1"/>
        </w:rPr>
        <w:t>However, current single-cell genomic approaches often treat GRN inference and dynamical modeling, such as RNA velocity, as entirely distinct challenges.</w:t>
      </w:r>
      <w:r w:rsidR="00395816" w:rsidRPr="00D15B45">
        <w:rPr>
          <w:rFonts w:asciiTheme="majorBidi" w:hAnsiTheme="majorBidi" w:cstheme="majorBidi"/>
          <w:color w:val="000000" w:themeColor="text1"/>
        </w:rPr>
        <w:t xml:space="preserve"> </w:t>
      </w:r>
      <w:r w:rsidR="006E6A5A" w:rsidRPr="00D15B45">
        <w:rPr>
          <w:rFonts w:asciiTheme="majorBidi" w:hAnsiTheme="majorBidi" w:cstheme="majorBidi"/>
          <w:color w:val="000000" w:themeColor="text1"/>
        </w:rPr>
        <w:t>While e</w:t>
      </w:r>
      <w:r w:rsidR="00395816" w:rsidRPr="00D15B45">
        <w:rPr>
          <w:rFonts w:asciiTheme="majorBidi" w:hAnsiTheme="majorBidi" w:cstheme="majorBidi"/>
          <w:color w:val="000000" w:themeColor="text1"/>
        </w:rPr>
        <w:t>xisting GRN inference approaches typically reconstruct static regulatory relationships</w:t>
      </w:r>
      <w:r w:rsidR="0011781F" w:rsidRPr="00D15B45">
        <w:rPr>
          <w:rFonts w:asciiTheme="majorBidi" w:hAnsiTheme="majorBidi" w:cstheme="majorBidi"/>
          <w:color w:val="000000" w:themeColor="text1"/>
        </w:rPr>
        <w:t xml:space="preserve">, </w:t>
      </w:r>
      <w:r w:rsidR="00067C2B" w:rsidRPr="0049262F">
        <w:rPr>
          <w:rFonts w:asciiTheme="majorBidi" w:hAnsiTheme="majorBidi" w:cstheme="majorBidi"/>
          <w:color w:val="000000" w:themeColor="text1"/>
        </w:rPr>
        <w:t xml:space="preserve">velocity models successfully reconstruct </w:t>
      </w:r>
      <w:r w:rsidR="00E6105C" w:rsidRPr="00D15B45">
        <w:rPr>
          <w:rFonts w:asciiTheme="majorBidi" w:hAnsiTheme="majorBidi" w:cstheme="majorBidi"/>
          <w:color w:val="000000" w:themeColor="text1"/>
        </w:rPr>
        <w:t>RNA dynamics</w:t>
      </w:r>
      <w:r w:rsidR="00067C2B" w:rsidRPr="0049262F">
        <w:rPr>
          <w:rFonts w:asciiTheme="majorBidi" w:hAnsiTheme="majorBidi" w:cstheme="majorBidi"/>
          <w:color w:val="000000" w:themeColor="text1"/>
        </w:rPr>
        <w:t xml:space="preserve"> from splicing kinetics</w:t>
      </w:r>
      <w:r w:rsidR="00482A9C">
        <w:rPr>
          <w:rFonts w:asciiTheme="majorBidi" w:hAnsiTheme="majorBidi" w:cstheme="majorBidi"/>
          <w:color w:val="000000" w:themeColor="text1"/>
        </w:rPr>
        <w:t>;</w:t>
      </w:r>
      <w:r w:rsidR="00067C2B" w:rsidRPr="0049262F">
        <w:rPr>
          <w:rFonts w:asciiTheme="majorBidi" w:hAnsiTheme="majorBidi" w:cstheme="majorBidi"/>
          <w:color w:val="000000" w:themeColor="text1"/>
        </w:rPr>
        <w:t xml:space="preserve"> they lack explicit representations of the underlying regulatory interactions</w:t>
      </w:r>
      <w:r w:rsidR="00D56969" w:rsidRPr="00D15B45">
        <w:rPr>
          <w:rFonts w:asciiTheme="majorBidi" w:hAnsiTheme="majorBidi" w:cstheme="majorBidi"/>
          <w:color w:val="000000" w:themeColor="text1"/>
        </w:rPr>
        <w:t>.</w:t>
      </w:r>
    </w:p>
    <w:p w14:paraId="72E5B281" w14:textId="77777777" w:rsidR="00D56969" w:rsidRDefault="00D56969" w:rsidP="00067C2B">
      <w:pPr>
        <w:spacing w:after="0" w:line="276" w:lineRule="auto"/>
        <w:rPr>
          <w:rFonts w:asciiTheme="majorBidi" w:eastAsia="Times New Roman" w:hAnsiTheme="majorBidi" w:cstheme="majorBidi"/>
          <w:color w:val="00B0F0"/>
          <w:lang w:val="en-SA"/>
        </w:rPr>
      </w:pPr>
    </w:p>
    <w:p w14:paraId="7E10EED8" w14:textId="77777777" w:rsidR="00650222" w:rsidRPr="00F8190B" w:rsidRDefault="00650222" w:rsidP="00974B4F">
      <w:pPr>
        <w:pStyle w:val="p1"/>
        <w:spacing w:line="276" w:lineRule="auto"/>
        <w:rPr>
          <w:rFonts w:asciiTheme="majorBidi" w:hAnsiTheme="majorBidi" w:cstheme="majorBidi"/>
          <w:color w:val="EE0000"/>
          <w:lang w:val="en-US"/>
        </w:rPr>
      </w:pPr>
    </w:p>
    <w:p w14:paraId="38C1A664" w14:textId="7645EE8F" w:rsidR="00211D2A" w:rsidRPr="00974B4F" w:rsidRDefault="00AF2751" w:rsidP="00974B4F">
      <w:pPr>
        <w:pStyle w:val="p1"/>
        <w:spacing w:line="276" w:lineRule="auto"/>
        <w:rPr>
          <w:rFonts w:asciiTheme="majorBidi" w:hAnsiTheme="majorBidi" w:cstheme="majorBidi"/>
        </w:rPr>
      </w:pPr>
      <w:r w:rsidRPr="004761C1">
        <w:rPr>
          <w:rFonts w:asciiTheme="majorBidi" w:hAnsiTheme="majorBidi" w:cstheme="majorBidi"/>
          <w:highlight w:val="yellow"/>
        </w:rPr>
        <w:lastRenderedPageBreak/>
        <w:t>(P2</w:t>
      </w:r>
      <w:r w:rsidR="00E3436D" w:rsidRPr="004761C1">
        <w:rPr>
          <w:rFonts w:asciiTheme="majorBidi" w:hAnsiTheme="majorBidi" w:cstheme="majorBidi"/>
          <w:highlight w:val="yellow"/>
        </w:rPr>
        <w:t xml:space="preserve"> </w:t>
      </w:r>
      <w:r w:rsidR="001D67B8" w:rsidRPr="004761C1">
        <w:rPr>
          <w:rFonts w:asciiTheme="majorBidi" w:hAnsiTheme="majorBidi" w:cstheme="majorBidi"/>
          <w:highlight w:val="yellow"/>
        </w:rPr>
        <w:t>–</w:t>
      </w:r>
      <w:r w:rsidR="00E3436D" w:rsidRPr="004761C1">
        <w:rPr>
          <w:rFonts w:asciiTheme="majorBidi" w:hAnsiTheme="majorBidi" w:cstheme="majorBidi"/>
          <w:highlight w:val="yellow"/>
        </w:rPr>
        <w:t xml:space="preserve"> concept</w:t>
      </w:r>
      <w:r w:rsidR="001D67B8" w:rsidRPr="004761C1">
        <w:rPr>
          <w:rFonts w:asciiTheme="majorBidi" w:hAnsiTheme="majorBidi" w:cstheme="majorBidi"/>
          <w:highlight w:val="yellow"/>
        </w:rPr>
        <w:t>, what we introduce</w:t>
      </w:r>
      <w:r w:rsidRPr="004761C1">
        <w:rPr>
          <w:rFonts w:asciiTheme="majorBidi" w:hAnsiTheme="majorBidi" w:cstheme="majorBidi"/>
          <w:highlight w:val="yellow"/>
        </w:rPr>
        <w:t>)</w:t>
      </w:r>
    </w:p>
    <w:p w14:paraId="70258831" w14:textId="77777777" w:rsidR="00E87AF6" w:rsidRDefault="00E87AF6" w:rsidP="006A7705">
      <w:pPr>
        <w:pStyle w:val="p1"/>
        <w:spacing w:line="276" w:lineRule="auto"/>
        <w:rPr>
          <w:rFonts w:asciiTheme="majorBidi" w:hAnsiTheme="majorBidi" w:cstheme="majorBidi"/>
          <w:color w:val="7030A0"/>
        </w:rPr>
      </w:pPr>
    </w:p>
    <w:p w14:paraId="358247BA" w14:textId="5EE1A0A8" w:rsidR="00E87AF6" w:rsidRPr="00EF4900" w:rsidRDefault="00E87AF6" w:rsidP="00766324">
      <w:pPr>
        <w:pStyle w:val="FirstParagraph"/>
        <w:spacing w:line="276" w:lineRule="auto"/>
        <w:rPr>
          <w:rFonts w:asciiTheme="majorBidi" w:hAnsiTheme="majorBidi" w:cstheme="majorBidi"/>
          <w:color w:val="00B0F0"/>
        </w:rPr>
      </w:pPr>
      <w:r w:rsidRPr="0049262F">
        <w:rPr>
          <w:rFonts w:asciiTheme="majorBidi" w:eastAsia="Times New Roman" w:hAnsiTheme="majorBidi" w:cstheme="majorBidi"/>
          <w:color w:val="00B0F0"/>
          <w:lang w:val="en-SA"/>
        </w:rPr>
        <w:t xml:space="preserve">Here, we present scHopfield, a computational framework that integrates RNA velocity dynamics with cell-type-aware GRN inference using a continuous neural network architecture grounded in biophysical Hopfield dynamics and interpretable Hill kinetics. </w:t>
      </w:r>
      <w:r w:rsidR="00287C30" w:rsidRPr="00EF4900">
        <w:rPr>
          <w:rFonts w:asciiTheme="majorBidi" w:hAnsiTheme="majorBidi" w:cstheme="majorBidi"/>
          <w:color w:val="00B0F0"/>
        </w:rPr>
        <w:t>scHopfield models transcriptional dynamics as gene–gene interactions parameterized by Hill kinetics, enabling direct inference of regulatory networks that govern observed cellular transitions.</w:t>
      </w:r>
      <w:r w:rsidR="000D04C9" w:rsidRPr="00EF4900">
        <w:rPr>
          <w:rFonts w:asciiTheme="majorBidi" w:hAnsiTheme="majorBidi" w:cstheme="majorBidi"/>
          <w:color w:val="00B0F0"/>
        </w:rPr>
        <w:t xml:space="preserve"> </w:t>
      </w:r>
      <w:r w:rsidR="000D04C9" w:rsidRPr="00EF4900">
        <w:rPr>
          <w:rFonts w:asciiTheme="majorBidi" w:hAnsiTheme="majorBidi" w:cstheme="majorBidi"/>
          <w:color w:val="00B0F0"/>
        </w:rPr>
        <w:t>By using the Hill function as the activation function, we ensure that all regulatory relationships remain readily interpretable, while simultaneously generating an interaction network that can be directly understood as an effective gene-gene interaction network.</w:t>
      </w:r>
      <w:r w:rsidR="00766324" w:rsidRPr="00EF4900">
        <w:rPr>
          <w:rFonts w:asciiTheme="majorBidi" w:hAnsiTheme="majorBidi" w:cstheme="majorBidi"/>
          <w:color w:val="00B0F0"/>
        </w:rPr>
        <w:t xml:space="preserve"> </w:t>
      </w:r>
      <w:r w:rsidRPr="0049262F">
        <w:rPr>
          <w:rFonts w:asciiTheme="majorBidi" w:eastAsia="Times New Roman" w:hAnsiTheme="majorBidi" w:cstheme="majorBidi"/>
          <w:color w:val="00B0F0"/>
          <w:lang w:val="en-SA"/>
        </w:rPr>
        <w:t xml:space="preserve">By bridging this gap, scHopfield </w:t>
      </w:r>
      <w:r w:rsidR="00505DF2" w:rsidRPr="00EF4900">
        <w:rPr>
          <w:rFonts w:asciiTheme="majorBidi" w:eastAsia="Times New Roman" w:hAnsiTheme="majorBidi" w:cstheme="majorBidi"/>
          <w:color w:val="00B0F0"/>
          <w:lang w:val="en-SA"/>
        </w:rPr>
        <w:t>can</w:t>
      </w:r>
      <w:r w:rsidRPr="0049262F">
        <w:rPr>
          <w:rFonts w:asciiTheme="majorBidi" w:eastAsia="Times New Roman" w:hAnsiTheme="majorBidi" w:cstheme="majorBidi"/>
          <w:color w:val="00B0F0"/>
          <w:lang w:val="en-SA"/>
        </w:rPr>
        <w:t xml:space="preserve"> derive quantitative, Waddington-like energy landscapes directly from inferred regulatory architectures, providing a mechanistic link between gene-gene interactions and cellular stability.</w:t>
      </w:r>
    </w:p>
    <w:p w14:paraId="03835A6B" w14:textId="77777777" w:rsidR="0010128C" w:rsidRPr="0049262F" w:rsidRDefault="0010128C" w:rsidP="00E87AF6">
      <w:pPr>
        <w:spacing w:after="0" w:line="276" w:lineRule="auto"/>
        <w:rPr>
          <w:rFonts w:asciiTheme="majorBidi" w:eastAsia="Times New Roman" w:hAnsiTheme="majorBidi" w:cstheme="majorBidi"/>
          <w:color w:val="00B0F0"/>
          <w:lang w:val="en-SA"/>
        </w:rPr>
      </w:pPr>
    </w:p>
    <w:p w14:paraId="3007C7A1" w14:textId="77777777" w:rsidR="00E87AF6" w:rsidRDefault="00E87AF6" w:rsidP="006A7705">
      <w:pPr>
        <w:pStyle w:val="p1"/>
        <w:spacing w:line="276" w:lineRule="auto"/>
        <w:rPr>
          <w:rFonts w:asciiTheme="majorBidi" w:hAnsiTheme="majorBidi" w:cstheme="majorBidi"/>
          <w:color w:val="7030A0"/>
        </w:rPr>
      </w:pPr>
    </w:p>
    <w:p w14:paraId="375D0340" w14:textId="0409B41B" w:rsidR="00711BC0" w:rsidRPr="00974B4F" w:rsidRDefault="00711BC0" w:rsidP="00711BC0">
      <w:pPr>
        <w:pStyle w:val="p1"/>
        <w:spacing w:line="276" w:lineRule="auto"/>
        <w:rPr>
          <w:rFonts w:asciiTheme="majorBidi" w:hAnsiTheme="majorBidi" w:cstheme="majorBidi"/>
        </w:rPr>
      </w:pPr>
      <w:r w:rsidRPr="005707C7">
        <w:rPr>
          <w:rFonts w:asciiTheme="majorBidi" w:hAnsiTheme="majorBidi" w:cstheme="majorBidi"/>
          <w:highlight w:val="yellow"/>
        </w:rPr>
        <w:t xml:space="preserve">(P3 – </w:t>
      </w:r>
      <w:r>
        <w:rPr>
          <w:rFonts w:asciiTheme="majorBidi" w:hAnsiTheme="majorBidi" w:cstheme="majorBidi"/>
          <w:highlight w:val="yellow"/>
        </w:rPr>
        <w:t xml:space="preserve">Here we need to talk about the </w:t>
      </w:r>
      <w:r w:rsidRPr="00EF4900">
        <w:rPr>
          <w:rFonts w:asciiTheme="majorBidi" w:hAnsiTheme="majorBidi" w:cstheme="majorBidi"/>
          <w:color w:val="EE0000"/>
          <w:highlight w:val="yellow"/>
        </w:rPr>
        <w:t>perturbation results</w:t>
      </w:r>
      <w:r>
        <w:rPr>
          <w:rFonts w:asciiTheme="majorBidi" w:hAnsiTheme="majorBidi" w:cstheme="majorBidi"/>
          <w:highlight w:val="yellow"/>
        </w:rPr>
        <w:t xml:space="preserve">, </w:t>
      </w:r>
      <w:r w:rsidR="00BD4C2A">
        <w:rPr>
          <w:rFonts w:asciiTheme="majorBidi" w:hAnsiTheme="majorBidi" w:cstheme="majorBidi"/>
          <w:highlight w:val="yellow"/>
        </w:rPr>
        <w:t xml:space="preserve">we demonstrate that we </w:t>
      </w:r>
      <w:r w:rsidR="000B26BD">
        <w:rPr>
          <w:rFonts w:asciiTheme="majorBidi" w:hAnsiTheme="majorBidi" w:cstheme="majorBidi"/>
          <w:highlight w:val="yellow"/>
        </w:rPr>
        <w:t xml:space="preserve">can do oracle and beyond – </w:t>
      </w:r>
      <w:r w:rsidR="00482A9C">
        <w:rPr>
          <w:rFonts w:asciiTheme="majorBidi" w:hAnsiTheme="majorBidi" w:cstheme="majorBidi"/>
          <w:highlight w:val="yellow"/>
        </w:rPr>
        <w:t>it's</w:t>
      </w:r>
      <w:r w:rsidR="000B26BD">
        <w:rPr>
          <w:rFonts w:asciiTheme="majorBidi" w:hAnsiTheme="majorBidi" w:cstheme="majorBidi"/>
          <w:highlight w:val="yellow"/>
        </w:rPr>
        <w:t xml:space="preserve"> like a validation step</w:t>
      </w:r>
      <w:r w:rsidRPr="005707C7">
        <w:rPr>
          <w:rFonts w:asciiTheme="majorBidi" w:hAnsiTheme="majorBidi" w:cstheme="majorBidi"/>
          <w:highlight w:val="yellow"/>
        </w:rPr>
        <w:t>)</w:t>
      </w:r>
    </w:p>
    <w:p w14:paraId="4146B9A1" w14:textId="77777777" w:rsidR="00CC5307" w:rsidRDefault="00CC5307" w:rsidP="00974B4F">
      <w:pPr>
        <w:pStyle w:val="p1"/>
        <w:spacing w:line="276" w:lineRule="auto"/>
        <w:rPr>
          <w:rFonts w:asciiTheme="majorBidi" w:hAnsiTheme="majorBidi" w:cstheme="majorBidi"/>
          <w:color w:val="EE0000"/>
        </w:rPr>
      </w:pPr>
    </w:p>
    <w:p w14:paraId="3E98B26F" w14:textId="56E21C4B" w:rsidR="006F7579" w:rsidRDefault="006F7579" w:rsidP="006F7579">
      <w:pPr>
        <w:pStyle w:val="p1"/>
        <w:spacing w:line="276" w:lineRule="auto"/>
        <w:rPr>
          <w:rFonts w:asciiTheme="majorBidi" w:hAnsiTheme="majorBidi" w:cstheme="majorBidi"/>
          <w:color w:val="EE0000"/>
        </w:rPr>
      </w:pPr>
      <w:r w:rsidRPr="00953B2F">
        <w:rPr>
          <w:rFonts w:asciiTheme="majorBidi" w:hAnsiTheme="majorBidi" w:cstheme="majorBidi"/>
          <w:color w:val="EE0000"/>
        </w:rPr>
        <w:t>P</w:t>
      </w:r>
      <w:r w:rsidR="00993D17" w:rsidRPr="00953B2F">
        <w:rPr>
          <w:rFonts w:asciiTheme="majorBidi" w:hAnsiTheme="majorBidi" w:cstheme="majorBidi"/>
          <w:color w:val="EE0000"/>
        </w:rPr>
        <w:t>erturbation</w:t>
      </w:r>
      <w:r>
        <w:rPr>
          <w:rFonts w:asciiTheme="majorBidi" w:hAnsiTheme="majorBidi" w:cstheme="majorBidi"/>
          <w:color w:val="EE0000"/>
        </w:rPr>
        <w:t xml:space="preserve">, </w:t>
      </w:r>
      <w:r w:rsidRPr="00953B2F">
        <w:rPr>
          <w:rFonts w:asciiTheme="majorBidi" w:hAnsiTheme="majorBidi" w:cstheme="majorBidi"/>
          <w:color w:val="EE0000"/>
        </w:rPr>
        <w:t>perturbation</w:t>
      </w:r>
      <w:r>
        <w:rPr>
          <w:rFonts w:asciiTheme="majorBidi" w:hAnsiTheme="majorBidi" w:cstheme="majorBidi"/>
          <w:color w:val="EE0000"/>
        </w:rPr>
        <w:t xml:space="preserve">, and </w:t>
      </w:r>
      <w:r w:rsidRPr="00953B2F">
        <w:rPr>
          <w:rFonts w:asciiTheme="majorBidi" w:hAnsiTheme="majorBidi" w:cstheme="majorBidi"/>
          <w:color w:val="EE0000"/>
        </w:rPr>
        <w:t>perturbation</w:t>
      </w:r>
      <w:r w:rsidR="006D6B15">
        <w:rPr>
          <w:rFonts w:asciiTheme="majorBidi" w:hAnsiTheme="majorBidi" w:cstheme="majorBidi"/>
          <w:color w:val="EE0000"/>
        </w:rPr>
        <w:t>.</w:t>
      </w:r>
    </w:p>
    <w:p w14:paraId="5422707B" w14:textId="03021CE0" w:rsidR="00CC4D7C" w:rsidRDefault="00CC4D7C" w:rsidP="00974B4F">
      <w:pPr>
        <w:pStyle w:val="p1"/>
        <w:spacing w:line="276" w:lineRule="auto"/>
        <w:rPr>
          <w:rFonts w:asciiTheme="majorBidi" w:hAnsiTheme="majorBidi" w:cstheme="majorBidi"/>
          <w:color w:val="EE0000"/>
        </w:rPr>
      </w:pPr>
    </w:p>
    <w:p w14:paraId="26131C6A" w14:textId="77777777" w:rsidR="00CC4D7C" w:rsidRDefault="00CC4D7C" w:rsidP="00974B4F">
      <w:pPr>
        <w:pStyle w:val="p1"/>
        <w:spacing w:line="276" w:lineRule="auto"/>
        <w:rPr>
          <w:rFonts w:asciiTheme="majorBidi" w:hAnsiTheme="majorBidi" w:cstheme="majorBidi"/>
          <w:color w:val="EE0000"/>
        </w:rPr>
      </w:pPr>
    </w:p>
    <w:p w14:paraId="198A7943" w14:textId="77777777" w:rsidR="00CC4D7C" w:rsidRPr="00711BC0" w:rsidRDefault="00CC4D7C" w:rsidP="00974B4F">
      <w:pPr>
        <w:pStyle w:val="p1"/>
        <w:spacing w:line="276" w:lineRule="auto"/>
        <w:rPr>
          <w:rFonts w:asciiTheme="majorBidi" w:hAnsiTheme="majorBidi" w:cstheme="majorBidi"/>
          <w:color w:val="EE0000"/>
        </w:rPr>
      </w:pPr>
    </w:p>
    <w:p w14:paraId="03944B6E" w14:textId="0FE0F24E" w:rsidR="00AF2751" w:rsidRPr="00974B4F" w:rsidRDefault="00AF2751" w:rsidP="00974B4F">
      <w:pPr>
        <w:pStyle w:val="p1"/>
        <w:spacing w:line="276" w:lineRule="auto"/>
        <w:rPr>
          <w:rFonts w:asciiTheme="majorBidi" w:hAnsiTheme="majorBidi" w:cstheme="majorBidi"/>
        </w:rPr>
      </w:pPr>
      <w:r w:rsidRPr="005707C7">
        <w:rPr>
          <w:rFonts w:asciiTheme="majorBidi" w:hAnsiTheme="majorBidi" w:cstheme="majorBidi"/>
          <w:highlight w:val="yellow"/>
        </w:rPr>
        <w:t>(P</w:t>
      </w:r>
      <w:r w:rsidR="006A3650">
        <w:rPr>
          <w:rFonts w:asciiTheme="majorBidi" w:hAnsiTheme="majorBidi" w:cstheme="majorBidi"/>
          <w:highlight w:val="yellow"/>
        </w:rPr>
        <w:t>4</w:t>
      </w:r>
      <w:r w:rsidR="00A56DCE" w:rsidRPr="005707C7">
        <w:rPr>
          <w:rFonts w:asciiTheme="majorBidi" w:hAnsiTheme="majorBidi" w:cstheme="majorBidi"/>
          <w:highlight w:val="yellow"/>
        </w:rPr>
        <w:t xml:space="preserve"> – </w:t>
      </w:r>
      <w:r w:rsidR="003064D0">
        <w:rPr>
          <w:rFonts w:asciiTheme="majorBidi" w:hAnsiTheme="majorBidi" w:cstheme="majorBidi"/>
          <w:highlight w:val="yellow"/>
        </w:rPr>
        <w:t>now</w:t>
      </w:r>
      <w:r w:rsidR="00482A9C">
        <w:rPr>
          <w:rFonts w:asciiTheme="majorBidi" w:hAnsiTheme="majorBidi" w:cstheme="majorBidi"/>
          <w:highlight w:val="yellow"/>
        </w:rPr>
        <w:t>,</w:t>
      </w:r>
      <w:r w:rsidR="003064D0">
        <w:rPr>
          <w:rFonts w:asciiTheme="majorBidi" w:hAnsiTheme="majorBidi" w:cstheme="majorBidi"/>
          <w:highlight w:val="yellow"/>
        </w:rPr>
        <w:t xml:space="preserve"> when we “trust our method</w:t>
      </w:r>
      <w:r w:rsidR="00505DF2">
        <w:rPr>
          <w:rFonts w:asciiTheme="majorBidi" w:hAnsiTheme="majorBidi" w:cstheme="majorBidi"/>
          <w:highlight w:val="yellow"/>
        </w:rPr>
        <w:t>,</w:t>
      </w:r>
      <w:r w:rsidR="003064D0">
        <w:rPr>
          <w:rFonts w:asciiTheme="majorBidi" w:hAnsiTheme="majorBidi" w:cstheme="majorBidi"/>
          <w:highlight w:val="yellow"/>
        </w:rPr>
        <w:t xml:space="preserve">” we show what we can do beyond GRNs.. </w:t>
      </w:r>
      <w:r w:rsidR="00CD1194">
        <w:rPr>
          <w:rFonts w:asciiTheme="majorBidi" w:hAnsiTheme="majorBidi" w:cstheme="majorBidi"/>
          <w:highlight w:val="yellow"/>
        </w:rPr>
        <w:t xml:space="preserve">- </w:t>
      </w:r>
      <w:r w:rsidR="00A56DCE" w:rsidRPr="005707C7">
        <w:rPr>
          <w:rFonts w:asciiTheme="majorBidi" w:hAnsiTheme="majorBidi" w:cstheme="majorBidi"/>
          <w:highlight w:val="yellow"/>
        </w:rPr>
        <w:t>what we can do with our method</w:t>
      </w:r>
      <w:r w:rsidRPr="005707C7">
        <w:rPr>
          <w:rFonts w:asciiTheme="majorBidi" w:hAnsiTheme="majorBidi" w:cstheme="majorBidi"/>
          <w:highlight w:val="yellow"/>
        </w:rPr>
        <w:t>)</w:t>
      </w:r>
    </w:p>
    <w:p w14:paraId="7504EEE3" w14:textId="6F5B2576" w:rsidR="00681155" w:rsidRPr="00AD0D07" w:rsidRDefault="00C0188D" w:rsidP="00AD0D07">
      <w:pPr>
        <w:pStyle w:val="p1"/>
        <w:spacing w:line="276" w:lineRule="auto"/>
        <w:rPr>
          <w:rFonts w:asciiTheme="majorBidi" w:hAnsiTheme="majorBidi" w:cstheme="majorBidi"/>
          <w:color w:val="00B050"/>
        </w:rPr>
      </w:pPr>
      <w:r w:rsidRPr="00EF4900">
        <w:rPr>
          <w:rFonts w:asciiTheme="majorBidi" w:hAnsiTheme="majorBidi" w:cstheme="majorBidi"/>
          <w:color w:val="00B050"/>
        </w:rPr>
        <w:t>scHopfield jointly reconstructs cell-type-specific GRNs, derives associated energy landscapes, and quantifies dynamical stability through Jacobian analysis. The Hopfield formulation provides a natural energy function that enables the reconstruction of Waddington-like landscapes in which attractor states correspond to stable cell identities and saddle points mark lineage transitions.</w:t>
      </w:r>
      <w:r w:rsidR="008B6B55" w:rsidRPr="00EF4900">
        <w:rPr>
          <w:rFonts w:asciiTheme="majorBidi" w:hAnsiTheme="majorBidi" w:cstheme="majorBidi"/>
          <w:color w:val="00B050"/>
        </w:rPr>
        <w:t xml:space="preserve"> </w:t>
      </w:r>
      <w:r w:rsidR="00FD7606" w:rsidRPr="003E0639">
        <w:rPr>
          <w:rFonts w:asciiTheme="majorBidi" w:hAnsiTheme="majorBidi" w:cstheme="majorBidi"/>
          <w:color w:val="00B050"/>
        </w:rPr>
        <w:t xml:space="preserve">scHopfield addresses this by modelling transcriptional dynamics via Hill-function activation in a Hopfield-like system, enabling joint inference of effective GRNs that link splicing kinetics to upstream regulation. The approach supports scaffold-guided optimization using prior knowledge </w:t>
      </w:r>
      <w:r w:rsidR="00FD7606" w:rsidRPr="003E0639">
        <w:rPr>
          <w:rFonts w:asciiTheme="majorBidi" w:hAnsiTheme="majorBidi" w:cstheme="majorBidi"/>
          <w:color w:val="00B050"/>
        </w:rPr>
        <w:lastRenderedPageBreak/>
        <w:t>(e.g., from chromatin accessibility) while discovering novel interactions</w:t>
      </w:r>
      <w:r w:rsidR="00505DF2" w:rsidRPr="00EF4900">
        <w:rPr>
          <w:rFonts w:asciiTheme="majorBidi" w:hAnsiTheme="majorBidi" w:cstheme="majorBidi"/>
          <w:color w:val="00B050"/>
        </w:rPr>
        <w:t>. It computes</w:t>
      </w:r>
      <w:r w:rsidR="00FD7606" w:rsidRPr="003E0639">
        <w:rPr>
          <w:rFonts w:asciiTheme="majorBidi" w:hAnsiTheme="majorBidi" w:cstheme="majorBidi"/>
          <w:color w:val="00B050"/>
        </w:rPr>
        <w:t xml:space="preserve"> per-cell energy landscapes and Jacobians to quantify state stability and transition modes.</w:t>
      </w:r>
      <w:r w:rsidR="00164916" w:rsidRPr="00EF4900">
        <w:rPr>
          <w:rFonts w:asciiTheme="majorBidi" w:hAnsiTheme="majorBidi" w:cstheme="majorBidi"/>
          <w:color w:val="00B050"/>
        </w:rPr>
        <w:t xml:space="preserve"> </w:t>
      </w:r>
      <w:r w:rsidRPr="00EF4900">
        <w:rPr>
          <w:rFonts w:asciiTheme="majorBidi" w:hAnsiTheme="majorBidi" w:cstheme="majorBidi"/>
          <w:color w:val="00B050"/>
        </w:rPr>
        <w:t xml:space="preserve">Using simulated differentiation datasets with known ground-truth networks, scHopfield accurately recovers regulatory interactions and demonstrates improved network inference when prior scaffold information is incorporated. </w:t>
      </w:r>
      <w:r w:rsidR="00E32C90" w:rsidRPr="0049262F">
        <w:rPr>
          <w:rFonts w:asciiTheme="majorBidi" w:hAnsiTheme="majorBidi" w:cstheme="majorBidi"/>
          <w:color w:val="00B050"/>
        </w:rPr>
        <w:t>We demonstrate that incorporating prior biological knowledge through scaffold-guided optimization significantly enhances the recovery of true underlying network structures while retaining the ability to infer novel regulatory edges.</w:t>
      </w:r>
      <w:r w:rsidR="00DA67FE" w:rsidRPr="00EF4900">
        <w:rPr>
          <w:rFonts w:asciiTheme="majorBidi" w:hAnsiTheme="majorBidi" w:cstheme="majorBidi"/>
          <w:color w:val="00B050"/>
        </w:rPr>
        <w:t xml:space="preserve"> </w:t>
      </w:r>
      <w:r w:rsidRPr="00EF4900">
        <w:rPr>
          <w:rFonts w:asciiTheme="majorBidi" w:hAnsiTheme="majorBidi" w:cstheme="majorBidi"/>
          <w:color w:val="00B050"/>
        </w:rPr>
        <w:t xml:space="preserve">Importantly, </w:t>
      </w:r>
      <w:r w:rsidR="00AC1840" w:rsidRPr="00EF4900">
        <w:rPr>
          <w:rFonts w:asciiTheme="majorBidi" w:hAnsiTheme="majorBidi" w:cstheme="majorBidi"/>
          <w:color w:val="00B050"/>
        </w:rPr>
        <w:t>scHopfield</w:t>
      </w:r>
      <w:r w:rsidRPr="00EF4900">
        <w:rPr>
          <w:rFonts w:asciiTheme="majorBidi" w:hAnsiTheme="majorBidi" w:cstheme="majorBidi"/>
          <w:color w:val="00B050"/>
        </w:rPr>
        <w:t xml:space="preserve"> retains the ability to identify novel regulatory edges </w:t>
      </w:r>
      <w:r w:rsidR="00505DF2" w:rsidRPr="00EF4900">
        <w:rPr>
          <w:rFonts w:asciiTheme="majorBidi" w:hAnsiTheme="majorBidi" w:cstheme="majorBidi"/>
          <w:color w:val="00B050"/>
        </w:rPr>
        <w:t xml:space="preserve">that are </w:t>
      </w:r>
      <w:r w:rsidRPr="00EF4900">
        <w:rPr>
          <w:rFonts w:asciiTheme="majorBidi" w:hAnsiTheme="majorBidi" w:cstheme="majorBidi"/>
          <w:color w:val="00B050"/>
        </w:rPr>
        <w:t xml:space="preserve">absent from prior knowledge, </w:t>
      </w:r>
      <w:r w:rsidR="00505DF2" w:rsidRPr="00EF4900">
        <w:rPr>
          <w:rFonts w:asciiTheme="majorBidi" w:hAnsiTheme="majorBidi" w:cstheme="majorBidi"/>
          <w:color w:val="00B050"/>
        </w:rPr>
        <w:t>generating</w:t>
      </w:r>
      <w:r w:rsidRPr="00EF4900">
        <w:rPr>
          <w:rFonts w:asciiTheme="majorBidi" w:hAnsiTheme="majorBidi" w:cstheme="majorBidi"/>
          <w:color w:val="00B050"/>
        </w:rPr>
        <w:t xml:space="preserve"> hypotheses for previously uncharacterized regulatory relationships.</w:t>
      </w:r>
      <w:r w:rsidR="00670780" w:rsidRPr="00EF4900">
        <w:rPr>
          <w:rFonts w:asciiTheme="majorBidi" w:hAnsiTheme="majorBidi" w:cstheme="majorBidi"/>
          <w:color w:val="00B050"/>
        </w:rPr>
        <w:t xml:space="preserve"> </w:t>
      </w:r>
      <w:r w:rsidR="00670780" w:rsidRPr="00EF4900">
        <w:rPr>
          <w:rFonts w:asciiTheme="majorBidi" w:hAnsiTheme="majorBidi" w:cstheme="majorBidi"/>
          <w:color w:val="00B050"/>
        </w:rPr>
        <w:t>scHopfield analytical form provides new opportunities for system-level insights, particularly by leveraging intrinsic Hopfield features such as the energy landscape, as well as higher-order derivatives like the Jacobian.</w:t>
      </w:r>
    </w:p>
    <w:p w14:paraId="57086710" w14:textId="77777777" w:rsidR="00A47EA0" w:rsidRPr="00CB5735" w:rsidRDefault="00A47EA0" w:rsidP="00974B4F">
      <w:pPr>
        <w:pStyle w:val="p1"/>
        <w:spacing w:line="276" w:lineRule="auto"/>
        <w:rPr>
          <w:rFonts w:asciiTheme="majorBidi" w:hAnsiTheme="majorBidi" w:cstheme="majorBidi"/>
          <w:color w:val="EE0000"/>
        </w:rPr>
      </w:pPr>
    </w:p>
    <w:p w14:paraId="6686D4F6" w14:textId="2A9A4F62" w:rsidR="00AF2751" w:rsidRPr="00974B4F" w:rsidRDefault="00AF2751" w:rsidP="00974B4F">
      <w:pPr>
        <w:pStyle w:val="p1"/>
        <w:spacing w:line="276" w:lineRule="auto"/>
        <w:rPr>
          <w:rFonts w:asciiTheme="majorBidi" w:hAnsiTheme="majorBidi" w:cstheme="majorBidi"/>
        </w:rPr>
      </w:pPr>
      <w:r w:rsidRPr="00FA6AC8">
        <w:rPr>
          <w:rFonts w:asciiTheme="majorBidi" w:hAnsiTheme="majorBidi" w:cstheme="majorBidi"/>
          <w:highlight w:val="yellow"/>
        </w:rPr>
        <w:t>(P</w:t>
      </w:r>
      <w:r w:rsidR="006A3650">
        <w:rPr>
          <w:rFonts w:asciiTheme="majorBidi" w:hAnsiTheme="majorBidi" w:cstheme="majorBidi"/>
          <w:highlight w:val="yellow"/>
        </w:rPr>
        <w:t>5</w:t>
      </w:r>
      <w:r w:rsidR="005707C7" w:rsidRPr="00FA6AC8">
        <w:rPr>
          <w:rFonts w:asciiTheme="majorBidi" w:hAnsiTheme="majorBidi" w:cstheme="majorBidi"/>
          <w:highlight w:val="yellow"/>
        </w:rPr>
        <w:t xml:space="preserve"> – </w:t>
      </w:r>
      <w:r w:rsidR="00231655">
        <w:rPr>
          <w:rFonts w:asciiTheme="majorBidi" w:hAnsiTheme="majorBidi" w:cstheme="majorBidi"/>
          <w:highlight w:val="yellow"/>
        </w:rPr>
        <w:t xml:space="preserve">we can do perturbations, and the dynamical systems stuff, last we can </w:t>
      </w:r>
      <w:r w:rsidR="00505DF2">
        <w:rPr>
          <w:rFonts w:asciiTheme="majorBidi" w:hAnsiTheme="majorBidi" w:cstheme="majorBidi"/>
          <w:highlight w:val="yellow"/>
        </w:rPr>
        <w:t>rediscover</w:t>
      </w:r>
      <w:r w:rsidR="00D77D0F">
        <w:rPr>
          <w:rFonts w:asciiTheme="majorBidi" w:hAnsiTheme="majorBidi" w:cstheme="majorBidi"/>
          <w:highlight w:val="yellow"/>
        </w:rPr>
        <w:t xml:space="preserve"> key regulators … </w:t>
      </w:r>
      <w:r w:rsidR="000C454E">
        <w:rPr>
          <w:rFonts w:asciiTheme="majorBidi" w:hAnsiTheme="majorBidi" w:cstheme="majorBidi"/>
          <w:highlight w:val="yellow"/>
        </w:rPr>
        <w:t xml:space="preserve">- </w:t>
      </w:r>
      <w:r w:rsidR="005707C7" w:rsidRPr="00FA6AC8">
        <w:rPr>
          <w:rFonts w:asciiTheme="majorBidi" w:hAnsiTheme="majorBidi" w:cstheme="majorBidi"/>
          <w:highlight w:val="yellow"/>
        </w:rPr>
        <w:t xml:space="preserve">specific </w:t>
      </w:r>
      <w:r w:rsidR="009511A8" w:rsidRPr="00FA6AC8">
        <w:rPr>
          <w:rFonts w:asciiTheme="majorBidi" w:hAnsiTheme="majorBidi" w:cstheme="majorBidi"/>
          <w:highlight w:val="yellow"/>
        </w:rPr>
        <w:t>application</w:t>
      </w:r>
      <w:r w:rsidR="008A1E95" w:rsidRPr="00FA6AC8">
        <w:rPr>
          <w:rFonts w:asciiTheme="majorBidi" w:hAnsiTheme="majorBidi" w:cstheme="majorBidi"/>
          <w:highlight w:val="yellow"/>
        </w:rPr>
        <w:t>, biology</w:t>
      </w:r>
      <w:r w:rsidRPr="00FA6AC8">
        <w:rPr>
          <w:rFonts w:asciiTheme="majorBidi" w:hAnsiTheme="majorBidi" w:cstheme="majorBidi"/>
          <w:highlight w:val="yellow"/>
        </w:rPr>
        <w:t>)</w:t>
      </w:r>
    </w:p>
    <w:p w14:paraId="2D9E9B5F" w14:textId="052AC008" w:rsidR="0013707B" w:rsidRPr="0049262F" w:rsidRDefault="00C0188D" w:rsidP="002E5229">
      <w:pPr>
        <w:spacing w:line="276" w:lineRule="auto"/>
        <w:rPr>
          <w:rFonts w:asciiTheme="majorBidi" w:hAnsiTheme="majorBidi" w:cstheme="majorBidi"/>
          <w:color w:val="000000" w:themeColor="text1"/>
          <w:lang w:val="en-SA"/>
        </w:rPr>
      </w:pPr>
      <w:r w:rsidRPr="00153848">
        <w:rPr>
          <w:rFonts w:asciiTheme="majorBidi" w:hAnsiTheme="majorBidi" w:cstheme="majorBidi"/>
          <w:color w:val="000000" w:themeColor="text1"/>
        </w:rPr>
        <w:t xml:space="preserve">Application of scHopfield to single-cell datasets of pancreatic endocrinogenesis and hematopoiesis reveals lineage-specific regulatory programs that recapitulate known developmental hierarchies. Energy landscape analysis highlights distinct stability signatures across differentiation trajectories and reveals heterogeneous transitional states, such as Ngn3-high endocrine progenitors in pancreas development. </w:t>
      </w:r>
      <w:r w:rsidR="00505DF2" w:rsidRPr="00153848">
        <w:rPr>
          <w:rFonts w:asciiTheme="majorBidi" w:eastAsia="Times New Roman" w:hAnsiTheme="majorBidi" w:cstheme="majorBidi"/>
          <w:color w:val="000000" w:themeColor="text1"/>
          <w:lang w:val="en-SA"/>
        </w:rPr>
        <w:t>In</w:t>
      </w:r>
      <w:r w:rsidR="008738C2" w:rsidRPr="0049262F">
        <w:rPr>
          <w:rFonts w:asciiTheme="majorBidi" w:eastAsia="Times New Roman" w:hAnsiTheme="majorBidi" w:cstheme="majorBidi"/>
          <w:color w:val="000000" w:themeColor="text1"/>
          <w:lang w:val="en-SA"/>
        </w:rPr>
        <w:t xml:space="preserve"> pancreatic endocrinogenesis, scHopfield’s energy landscape analysis reveals that transitioning progenitor populations, such as </w:t>
      </w:r>
      <w:r w:rsidR="00505DF2" w:rsidRPr="00153848">
        <w:rPr>
          <w:rFonts w:asciiTheme="majorBidi" w:eastAsia="Times New Roman" w:hAnsiTheme="majorBidi" w:cstheme="majorBidi"/>
          <w:color w:val="000000" w:themeColor="text1"/>
          <w:lang w:val="en-SA"/>
        </w:rPr>
        <w:t>Ngn3-high</w:t>
      </w:r>
      <w:r w:rsidR="008738C2" w:rsidRPr="0049262F">
        <w:rPr>
          <w:rFonts w:asciiTheme="majorBidi" w:eastAsia="Times New Roman" w:hAnsiTheme="majorBidi" w:cstheme="majorBidi"/>
          <w:color w:val="000000" w:themeColor="text1"/>
          <w:lang w:val="en-SA"/>
        </w:rPr>
        <w:t xml:space="preserve"> EP cells, exhibit high energetic variance</w:t>
      </w:r>
      <w:r w:rsidR="00505DF2" w:rsidRPr="00153848">
        <w:rPr>
          <w:rFonts w:asciiTheme="majorBidi" w:eastAsia="Times New Roman" w:hAnsiTheme="majorBidi" w:cstheme="majorBidi"/>
          <w:color w:val="000000" w:themeColor="text1"/>
          <w:lang w:val="en-SA"/>
        </w:rPr>
        <w:t>,</w:t>
      </w:r>
      <w:r w:rsidR="008738C2" w:rsidRPr="0049262F">
        <w:rPr>
          <w:rFonts w:asciiTheme="majorBidi" w:eastAsia="Times New Roman" w:hAnsiTheme="majorBidi" w:cstheme="majorBidi"/>
          <w:color w:val="000000" w:themeColor="text1"/>
          <w:lang w:val="en-SA"/>
        </w:rPr>
        <w:t xml:space="preserve"> reflective of a dynamic transition state</w:t>
      </w:r>
      <w:r w:rsidR="00505DF2" w:rsidRPr="00153848">
        <w:rPr>
          <w:rFonts w:asciiTheme="majorBidi" w:eastAsia="Times New Roman" w:hAnsiTheme="majorBidi" w:cstheme="majorBidi"/>
          <w:color w:val="000000" w:themeColor="text1"/>
          <w:lang w:val="en-SA"/>
        </w:rPr>
        <w:t>. In contrast, mature</w:t>
      </w:r>
      <w:r w:rsidR="008738C2" w:rsidRPr="0049262F">
        <w:rPr>
          <w:rFonts w:asciiTheme="majorBidi" w:eastAsia="Times New Roman" w:hAnsiTheme="majorBidi" w:cstheme="majorBidi"/>
          <w:color w:val="000000" w:themeColor="text1"/>
          <w:lang w:val="en-SA"/>
        </w:rPr>
        <w:t xml:space="preserve"> Beta cells maintain distinct, stable regulatory states. Furthermore, evaluating the Jacobian matrices for local stability shows that specific endocrine lineages—namely</w:t>
      </w:r>
      <w:r w:rsidR="00505DF2" w:rsidRPr="00153848">
        <w:rPr>
          <w:rFonts w:asciiTheme="majorBidi" w:eastAsia="Times New Roman" w:hAnsiTheme="majorBidi" w:cstheme="majorBidi"/>
          <w:color w:val="000000" w:themeColor="text1"/>
          <w:lang w:val="en-SA"/>
        </w:rPr>
        <w:t>,</w:t>
      </w:r>
      <w:r w:rsidR="008738C2" w:rsidRPr="0049262F">
        <w:rPr>
          <w:rFonts w:asciiTheme="majorBidi" w:eastAsia="Times New Roman" w:hAnsiTheme="majorBidi" w:cstheme="majorBidi"/>
          <w:color w:val="000000" w:themeColor="text1"/>
          <w:lang w:val="en-SA"/>
        </w:rPr>
        <w:t xml:space="preserve"> Delta and Epsilon cells—are inherently more prone to instability and oscillatory dynamics </w:t>
      </w:r>
      <w:r w:rsidR="00505DF2" w:rsidRPr="00153848">
        <w:rPr>
          <w:rFonts w:asciiTheme="majorBidi" w:eastAsia="Times New Roman" w:hAnsiTheme="majorBidi" w:cstheme="majorBidi"/>
          <w:color w:val="000000" w:themeColor="text1"/>
          <w:lang w:val="en-SA"/>
        </w:rPr>
        <w:t>than</w:t>
      </w:r>
      <w:r w:rsidR="008738C2" w:rsidRPr="0049262F">
        <w:rPr>
          <w:rFonts w:asciiTheme="majorBidi" w:eastAsia="Times New Roman" w:hAnsiTheme="majorBidi" w:cstheme="majorBidi"/>
          <w:color w:val="000000" w:themeColor="text1"/>
          <w:lang w:val="en-SA"/>
        </w:rPr>
        <w:t xml:space="preserve"> the robustly stable Beta and Pre-endocrine cells.</w:t>
      </w:r>
      <w:r w:rsidR="006B03AA" w:rsidRPr="00153848">
        <w:rPr>
          <w:rFonts w:asciiTheme="majorBidi" w:eastAsia="Times New Roman" w:hAnsiTheme="majorBidi" w:cstheme="majorBidi"/>
          <w:color w:val="000000" w:themeColor="text1"/>
          <w:lang w:val="en-SA"/>
        </w:rPr>
        <w:t xml:space="preserve"> </w:t>
      </w:r>
      <w:r w:rsidR="009F1D15" w:rsidRPr="003E0639">
        <w:rPr>
          <w:rFonts w:asciiTheme="majorBidi" w:hAnsiTheme="majorBidi" w:cstheme="majorBidi"/>
          <w:color w:val="000000" w:themeColor="text1"/>
          <w:lang w:val="en-SA"/>
        </w:rPr>
        <w:t>Emergent energy profiles reveal distinct stability signatures: progenitor states exhibit low mean energy with high variance</w:t>
      </w:r>
      <w:r w:rsidR="00505DF2" w:rsidRPr="00153848">
        <w:rPr>
          <w:rFonts w:asciiTheme="majorBidi" w:hAnsiTheme="majorBidi" w:cstheme="majorBidi"/>
          <w:color w:val="000000" w:themeColor="text1"/>
          <w:lang w:val="en-SA"/>
        </w:rPr>
        <w:t>,</w:t>
      </w:r>
      <w:r w:rsidR="009F1D15" w:rsidRPr="003E0639">
        <w:rPr>
          <w:rFonts w:asciiTheme="majorBidi" w:hAnsiTheme="majorBidi" w:cstheme="majorBidi"/>
          <w:color w:val="000000" w:themeColor="text1"/>
          <w:lang w:val="en-SA"/>
        </w:rPr>
        <w:t xml:space="preserve"> indicative of transition heterogeneity, whereas differentiated cells</w:t>
      </w:r>
      <w:r w:rsidR="00505DF2" w:rsidRPr="00153848">
        <w:rPr>
          <w:rFonts w:asciiTheme="majorBidi" w:hAnsiTheme="majorBidi" w:cstheme="majorBidi"/>
          <w:color w:val="000000" w:themeColor="text1"/>
          <w:lang w:val="en-SA"/>
        </w:rPr>
        <w:t>,</w:t>
      </w:r>
      <w:r w:rsidR="009F1D15" w:rsidRPr="003E0639">
        <w:rPr>
          <w:rFonts w:asciiTheme="majorBidi" w:hAnsiTheme="majorBidi" w:cstheme="majorBidi"/>
          <w:color w:val="000000" w:themeColor="text1"/>
          <w:lang w:val="en-SA"/>
        </w:rPr>
        <w:t xml:space="preserve"> </w:t>
      </w:r>
      <w:r w:rsidR="00505DF2" w:rsidRPr="00153848">
        <w:rPr>
          <w:rFonts w:asciiTheme="majorBidi" w:hAnsiTheme="majorBidi" w:cstheme="majorBidi"/>
          <w:color w:val="000000" w:themeColor="text1"/>
          <w:lang w:val="en-SA"/>
        </w:rPr>
        <w:t>such as</w:t>
      </w:r>
      <w:r w:rsidR="009F1D15" w:rsidRPr="003E0639">
        <w:rPr>
          <w:rFonts w:asciiTheme="majorBidi" w:hAnsiTheme="majorBidi" w:cstheme="majorBidi"/>
          <w:color w:val="000000" w:themeColor="text1"/>
          <w:lang w:val="en-SA"/>
        </w:rPr>
        <w:t xml:space="preserve"> Beta cells</w:t>
      </w:r>
      <w:r w:rsidR="00505DF2" w:rsidRPr="00153848">
        <w:rPr>
          <w:rFonts w:asciiTheme="majorBidi" w:hAnsiTheme="majorBidi" w:cstheme="majorBidi"/>
          <w:color w:val="000000" w:themeColor="text1"/>
          <w:lang w:val="en-SA"/>
        </w:rPr>
        <w:t>,</w:t>
      </w:r>
      <w:r w:rsidR="009F1D15" w:rsidRPr="003E0639">
        <w:rPr>
          <w:rFonts w:asciiTheme="majorBidi" w:hAnsiTheme="majorBidi" w:cstheme="majorBidi"/>
          <w:color w:val="000000" w:themeColor="text1"/>
          <w:lang w:val="en-SA"/>
        </w:rPr>
        <w:t xml:space="preserve"> show elevated total energy</w:t>
      </w:r>
      <w:r w:rsidR="00505DF2" w:rsidRPr="00153848">
        <w:rPr>
          <w:rFonts w:asciiTheme="majorBidi" w:hAnsiTheme="majorBidi" w:cstheme="majorBidi"/>
          <w:color w:val="000000" w:themeColor="text1"/>
          <w:lang w:val="en-SA"/>
        </w:rPr>
        <w:t>,</w:t>
      </w:r>
      <w:r w:rsidR="009F1D15" w:rsidRPr="003E0639">
        <w:rPr>
          <w:rFonts w:asciiTheme="majorBidi" w:hAnsiTheme="majorBidi" w:cstheme="majorBidi"/>
          <w:color w:val="000000" w:themeColor="text1"/>
          <w:lang w:val="en-SA"/>
        </w:rPr>
        <w:t xml:space="preserve"> reflecting specialized regulation. Network centrality highlights conserved hubs (e.g., Pax6, Isl1, Malat1, Meg3) and stage-specific drivers (e.g., Pdx1 in Beta cells, Sox9 in Ductal cells), while Jacobian eigenvalues uncover unstable modes and oscillatory tendencies in certain endocrine lineages.</w:t>
      </w:r>
      <w:r w:rsidR="002E5229" w:rsidRPr="00697488">
        <w:rPr>
          <w:rFonts w:asciiTheme="majorBidi" w:hAnsiTheme="majorBidi" w:cstheme="majorBidi"/>
          <w:color w:val="000000" w:themeColor="text1"/>
          <w:lang w:val="en-SA"/>
        </w:rPr>
        <w:t xml:space="preserve"> </w:t>
      </w:r>
      <w:r w:rsidRPr="00697488">
        <w:rPr>
          <w:rFonts w:asciiTheme="majorBidi" w:hAnsiTheme="majorBidi" w:cstheme="majorBidi"/>
          <w:color w:val="000000" w:themeColor="text1"/>
        </w:rPr>
        <w:t xml:space="preserve">Network topology analysis identifies conserved regulatory hubs, including transcription factors such as </w:t>
      </w:r>
      <w:r w:rsidRPr="00697488">
        <w:rPr>
          <w:rStyle w:val="s1"/>
          <w:rFonts w:asciiTheme="majorBidi" w:hAnsiTheme="majorBidi" w:cstheme="majorBidi"/>
          <w:color w:val="000000" w:themeColor="text1"/>
        </w:rPr>
        <w:t>Pax6</w:t>
      </w:r>
      <w:r w:rsidRPr="00697488">
        <w:rPr>
          <w:rFonts w:asciiTheme="majorBidi" w:hAnsiTheme="majorBidi" w:cstheme="majorBidi"/>
          <w:color w:val="000000" w:themeColor="text1"/>
        </w:rPr>
        <w:t xml:space="preserve">, </w:t>
      </w:r>
      <w:r w:rsidRPr="00697488">
        <w:rPr>
          <w:rStyle w:val="s1"/>
          <w:rFonts w:asciiTheme="majorBidi" w:hAnsiTheme="majorBidi" w:cstheme="majorBidi"/>
          <w:color w:val="000000" w:themeColor="text1"/>
        </w:rPr>
        <w:t>Isl1</w:t>
      </w:r>
      <w:r w:rsidRPr="00697488">
        <w:rPr>
          <w:rFonts w:asciiTheme="majorBidi" w:hAnsiTheme="majorBidi" w:cstheme="majorBidi"/>
          <w:color w:val="000000" w:themeColor="text1"/>
        </w:rPr>
        <w:t xml:space="preserve">, and </w:t>
      </w:r>
      <w:r w:rsidRPr="00697488">
        <w:rPr>
          <w:rStyle w:val="s1"/>
          <w:rFonts w:asciiTheme="majorBidi" w:hAnsiTheme="majorBidi" w:cstheme="majorBidi"/>
          <w:color w:val="000000" w:themeColor="text1"/>
        </w:rPr>
        <w:t>Sox9</w:t>
      </w:r>
      <w:r w:rsidRPr="00697488">
        <w:rPr>
          <w:rFonts w:asciiTheme="majorBidi" w:hAnsiTheme="majorBidi" w:cstheme="majorBidi"/>
          <w:color w:val="000000" w:themeColor="text1"/>
        </w:rPr>
        <w:t xml:space="preserve">, as well as chromatin regulators and long non-coding RNAs such as </w:t>
      </w:r>
      <w:r w:rsidRPr="00697488">
        <w:rPr>
          <w:rStyle w:val="s1"/>
          <w:rFonts w:asciiTheme="majorBidi" w:hAnsiTheme="majorBidi" w:cstheme="majorBidi"/>
          <w:color w:val="000000" w:themeColor="text1"/>
        </w:rPr>
        <w:t>Malat1</w:t>
      </w:r>
      <w:r w:rsidRPr="00697488">
        <w:rPr>
          <w:rFonts w:asciiTheme="majorBidi" w:hAnsiTheme="majorBidi" w:cstheme="majorBidi"/>
          <w:color w:val="000000" w:themeColor="text1"/>
        </w:rPr>
        <w:t xml:space="preserve"> and </w:t>
      </w:r>
      <w:r w:rsidRPr="00697488">
        <w:rPr>
          <w:rStyle w:val="s1"/>
          <w:rFonts w:asciiTheme="majorBidi" w:hAnsiTheme="majorBidi" w:cstheme="majorBidi"/>
          <w:color w:val="000000" w:themeColor="text1"/>
        </w:rPr>
        <w:t>Meg3</w:t>
      </w:r>
      <w:r w:rsidRPr="00697488">
        <w:rPr>
          <w:rFonts w:asciiTheme="majorBidi" w:hAnsiTheme="majorBidi" w:cstheme="majorBidi"/>
          <w:color w:val="000000" w:themeColor="text1"/>
        </w:rPr>
        <w:t>, suggesting shared and lineage-specific control points in endocrine differentiation. Eigenvalue analysis of the inferred regulatory matrices further uncovers unstable regulatory modes that drive</w:t>
      </w:r>
      <w:r w:rsidRPr="00153848">
        <w:rPr>
          <w:rFonts w:asciiTheme="majorBidi" w:hAnsiTheme="majorBidi" w:cstheme="majorBidi"/>
          <w:color w:val="000000" w:themeColor="text1"/>
        </w:rPr>
        <w:t xml:space="preserve"> lineage commitment, while Jacobian analysis identifies cell types with enhanced dynamical flexibility and oscillatory behavior.</w:t>
      </w:r>
      <w:r w:rsidR="001B6A89" w:rsidRPr="00153848">
        <w:rPr>
          <w:rFonts w:asciiTheme="majorBidi" w:eastAsia="Times New Roman" w:hAnsiTheme="majorBidi" w:cstheme="majorBidi"/>
          <w:color w:val="000000" w:themeColor="text1"/>
          <w:lang w:val="en-SA"/>
        </w:rPr>
        <w:t xml:space="preserve"> </w:t>
      </w:r>
      <w:r w:rsidR="0013707B" w:rsidRPr="0049262F">
        <w:rPr>
          <w:rFonts w:asciiTheme="majorBidi" w:eastAsia="Times New Roman" w:hAnsiTheme="majorBidi" w:cstheme="majorBidi"/>
          <w:color w:val="000000" w:themeColor="text1"/>
          <w:lang w:val="en-SA"/>
        </w:rPr>
        <w:t xml:space="preserve">Beyond global stability, network centrality metrics and eigenvalue decomposition successfully pinpoint critical evolutionary hubs </w:t>
      </w:r>
      <w:r w:rsidR="0013707B" w:rsidRPr="0049262F">
        <w:rPr>
          <w:rFonts w:asciiTheme="majorBidi" w:eastAsia="Times New Roman" w:hAnsiTheme="majorBidi" w:cstheme="majorBidi"/>
          <w:color w:val="000000" w:themeColor="text1"/>
          <w:lang w:val="en-SA"/>
        </w:rPr>
        <w:lastRenderedPageBreak/>
        <w:t xml:space="preserve">and stage-specific bottleneck regulators, including </w:t>
      </w:r>
      <w:r w:rsidR="0013707B" w:rsidRPr="0049262F">
        <w:rPr>
          <w:rFonts w:asciiTheme="majorBidi" w:eastAsia="Times New Roman" w:hAnsiTheme="majorBidi" w:cstheme="majorBidi"/>
          <w:i/>
          <w:iCs/>
          <w:color w:val="000000" w:themeColor="text1"/>
          <w:lang w:val="en-SA"/>
        </w:rPr>
        <w:t>Pdx1</w:t>
      </w:r>
      <w:r w:rsidR="0013707B" w:rsidRPr="0049262F">
        <w:rPr>
          <w:rFonts w:asciiTheme="majorBidi" w:eastAsia="Times New Roman" w:hAnsiTheme="majorBidi" w:cstheme="majorBidi"/>
          <w:color w:val="000000" w:themeColor="text1"/>
          <w:lang w:val="en-SA"/>
        </w:rPr>
        <w:t xml:space="preserve"> in Beta cells, </w:t>
      </w:r>
      <w:r w:rsidR="0013707B" w:rsidRPr="0049262F">
        <w:rPr>
          <w:rFonts w:asciiTheme="majorBidi" w:eastAsia="Times New Roman" w:hAnsiTheme="majorBidi" w:cstheme="majorBidi"/>
          <w:i/>
          <w:iCs/>
          <w:color w:val="000000" w:themeColor="text1"/>
          <w:lang w:val="en-SA"/>
        </w:rPr>
        <w:t>Sox9</w:t>
      </w:r>
      <w:r w:rsidR="0013707B" w:rsidRPr="0049262F">
        <w:rPr>
          <w:rFonts w:asciiTheme="majorBidi" w:eastAsia="Times New Roman" w:hAnsiTheme="majorBidi" w:cstheme="majorBidi"/>
          <w:color w:val="000000" w:themeColor="text1"/>
          <w:lang w:val="en-SA"/>
        </w:rPr>
        <w:t xml:space="preserve"> in Ductal cells, and dominant long non-coding RNAs like </w:t>
      </w:r>
      <w:r w:rsidR="0013707B" w:rsidRPr="0049262F">
        <w:rPr>
          <w:rFonts w:asciiTheme="majorBidi" w:eastAsia="Times New Roman" w:hAnsiTheme="majorBidi" w:cstheme="majorBidi"/>
          <w:i/>
          <w:iCs/>
          <w:color w:val="000000" w:themeColor="text1"/>
          <w:lang w:val="en-SA"/>
        </w:rPr>
        <w:t>Malat1</w:t>
      </w:r>
      <w:r w:rsidR="0013707B" w:rsidRPr="0049262F">
        <w:rPr>
          <w:rFonts w:asciiTheme="majorBidi" w:eastAsia="Times New Roman" w:hAnsiTheme="majorBidi" w:cstheme="majorBidi"/>
          <w:color w:val="000000" w:themeColor="text1"/>
          <w:lang w:val="en-SA"/>
        </w:rPr>
        <w:t xml:space="preserve"> and </w:t>
      </w:r>
      <w:r w:rsidR="0013707B" w:rsidRPr="0049262F">
        <w:rPr>
          <w:rFonts w:asciiTheme="majorBidi" w:eastAsia="Times New Roman" w:hAnsiTheme="majorBidi" w:cstheme="majorBidi"/>
          <w:i/>
          <w:iCs/>
          <w:color w:val="000000" w:themeColor="text1"/>
          <w:lang w:val="en-SA"/>
        </w:rPr>
        <w:t>Meg3</w:t>
      </w:r>
      <w:r w:rsidR="0013707B" w:rsidRPr="0049262F">
        <w:rPr>
          <w:rFonts w:asciiTheme="majorBidi" w:eastAsia="Times New Roman" w:hAnsiTheme="majorBidi" w:cstheme="majorBidi"/>
          <w:color w:val="000000" w:themeColor="text1"/>
          <w:lang w:val="en-SA"/>
        </w:rPr>
        <w:t xml:space="preserve">. </w:t>
      </w:r>
      <w:r w:rsidR="00BB3339" w:rsidRPr="00153848">
        <w:rPr>
          <w:rFonts w:asciiTheme="majorBidi" w:hAnsiTheme="majorBidi" w:cstheme="majorBidi"/>
          <w:color w:val="000000" w:themeColor="text1"/>
        </w:rPr>
        <w:t xml:space="preserve">Moreover, the corresponding Hopfield energies can be used to investigate global stability signatures across developmental trajectories, revealing that </w:t>
      </w:r>
      <w:r w:rsidR="00505DF2" w:rsidRPr="00153848">
        <w:rPr>
          <w:rFonts w:asciiTheme="majorBidi" w:hAnsiTheme="majorBidi" w:cstheme="majorBidi"/>
          <w:color w:val="000000" w:themeColor="text1"/>
        </w:rPr>
        <w:t xml:space="preserve">the </w:t>
      </w:r>
      <w:r w:rsidR="00BB3339" w:rsidRPr="00153848">
        <w:rPr>
          <w:rFonts w:asciiTheme="majorBidi" w:hAnsiTheme="majorBidi" w:cstheme="majorBidi"/>
          <w:color w:val="000000" w:themeColor="text1"/>
        </w:rPr>
        <w:t xml:space="preserve">mean energy correlates with </w:t>
      </w:r>
      <w:r w:rsidR="00505DF2" w:rsidRPr="00153848">
        <w:rPr>
          <w:rFonts w:asciiTheme="majorBidi" w:hAnsiTheme="majorBidi" w:cstheme="majorBidi"/>
          <w:color w:val="000000" w:themeColor="text1"/>
        </w:rPr>
        <w:t>cell-fate</w:t>
      </w:r>
      <w:r w:rsidR="00BB3339" w:rsidRPr="00153848">
        <w:rPr>
          <w:rFonts w:asciiTheme="majorBidi" w:hAnsiTheme="majorBidi" w:cstheme="majorBidi"/>
          <w:color w:val="000000" w:themeColor="text1"/>
        </w:rPr>
        <w:t xml:space="preserve"> progression in hematopoiesis.</w:t>
      </w:r>
    </w:p>
    <w:p w14:paraId="68DFF375" w14:textId="77777777" w:rsidR="00BD7F95" w:rsidRPr="009177A2" w:rsidRDefault="00BD7F95" w:rsidP="00974B4F">
      <w:pPr>
        <w:pStyle w:val="p1"/>
        <w:spacing w:line="276" w:lineRule="auto"/>
        <w:rPr>
          <w:rFonts w:asciiTheme="majorBidi" w:hAnsiTheme="majorBidi" w:cstheme="majorBidi"/>
          <w:color w:val="EE0000"/>
          <w:lang w:val="en-US"/>
        </w:rPr>
      </w:pPr>
    </w:p>
    <w:p w14:paraId="7D52A5EA" w14:textId="77777777" w:rsidR="00BD7F95" w:rsidRPr="00CF52E6" w:rsidRDefault="00BD7F95" w:rsidP="00974B4F">
      <w:pPr>
        <w:pStyle w:val="p1"/>
        <w:spacing w:line="276" w:lineRule="auto"/>
        <w:rPr>
          <w:rFonts w:asciiTheme="majorBidi" w:hAnsiTheme="majorBidi" w:cstheme="majorBidi"/>
          <w:color w:val="EE0000"/>
        </w:rPr>
      </w:pPr>
    </w:p>
    <w:p w14:paraId="4D49D223" w14:textId="56E1DB68" w:rsidR="00FC0B16" w:rsidRPr="00974B4F" w:rsidRDefault="00FC0B16" w:rsidP="00974B4F">
      <w:pPr>
        <w:pStyle w:val="p1"/>
        <w:spacing w:line="276" w:lineRule="auto"/>
        <w:rPr>
          <w:rFonts w:asciiTheme="majorBidi" w:hAnsiTheme="majorBidi" w:cstheme="majorBidi"/>
        </w:rPr>
      </w:pPr>
      <w:r w:rsidRPr="009F0E91">
        <w:rPr>
          <w:rFonts w:asciiTheme="majorBidi" w:hAnsiTheme="majorBidi" w:cstheme="majorBidi"/>
          <w:highlight w:val="yellow"/>
        </w:rPr>
        <w:t>(P</w:t>
      </w:r>
      <w:r w:rsidR="006A3650">
        <w:rPr>
          <w:rFonts w:asciiTheme="majorBidi" w:hAnsiTheme="majorBidi" w:cstheme="majorBidi"/>
          <w:highlight w:val="yellow"/>
        </w:rPr>
        <w:t>6</w:t>
      </w:r>
      <w:r w:rsidR="00FA6AC8" w:rsidRPr="009F0E91">
        <w:rPr>
          <w:rFonts w:asciiTheme="majorBidi" w:hAnsiTheme="majorBidi" w:cstheme="majorBidi"/>
          <w:highlight w:val="yellow"/>
        </w:rPr>
        <w:t>, conclusion, what this is in the broader picture</w:t>
      </w:r>
      <w:r w:rsidRPr="009F0E91">
        <w:rPr>
          <w:rFonts w:asciiTheme="majorBidi" w:hAnsiTheme="majorBidi" w:cstheme="majorBidi"/>
          <w:highlight w:val="yellow"/>
        </w:rPr>
        <w:t>)</w:t>
      </w:r>
    </w:p>
    <w:p w14:paraId="4B6F4C24" w14:textId="77777777" w:rsidR="00EF5C61" w:rsidRPr="007265C2" w:rsidRDefault="00EF5C61" w:rsidP="007265C2">
      <w:pPr>
        <w:pStyle w:val="p1"/>
        <w:spacing w:line="276" w:lineRule="auto"/>
        <w:rPr>
          <w:color w:val="EE0000"/>
        </w:rPr>
      </w:pPr>
      <w:r w:rsidRPr="007265C2">
        <w:rPr>
          <w:color w:val="EE0000"/>
        </w:rPr>
        <w:t xml:space="preserve">These findings </w:t>
      </w:r>
      <w:r w:rsidRPr="00E157EC">
        <w:rPr>
          <w:color w:val="EE0000"/>
        </w:rPr>
        <w:t xml:space="preserve">establish </w:t>
      </w:r>
      <w:r w:rsidRPr="00E157EC">
        <w:rPr>
          <w:rStyle w:val="s1"/>
          <w:color w:val="EE0000"/>
        </w:rPr>
        <w:t>scHopfield</w:t>
      </w:r>
      <w:r w:rsidRPr="00E157EC">
        <w:rPr>
          <w:color w:val="EE0000"/>
        </w:rPr>
        <w:t xml:space="preserve"> as a flexible framework for dissecting gene regulatory architectures underlying cell differentiation. By integrating RNA velocity with energy-based modeling of gene regulatory networks</w:t>
      </w:r>
      <w:r w:rsidRPr="007265C2">
        <w:rPr>
          <w:color w:val="EE0000"/>
        </w:rPr>
        <w:t>, scHopfield links transcriptional kinetics to regulatory network dynamics and reconstructs interpretable energy landscapes of cell fate transitions. The framework identifies stage-specific regulatory drivers and reveals how gene interactions stabilize cellular identities or promote lineage bifurcations. Together, these results provide a mechanistic strategy for prioritizing candidate regulators of cell fate in development, regenerative medicine, and disease.</w:t>
      </w:r>
    </w:p>
    <w:p w14:paraId="149DD358" w14:textId="77777777" w:rsidR="00235B0F" w:rsidRPr="00974B4F" w:rsidRDefault="00235B0F" w:rsidP="00974B4F">
      <w:pPr>
        <w:spacing w:after="0" w:line="276" w:lineRule="auto"/>
        <w:rPr>
          <w:rFonts w:asciiTheme="majorBidi" w:eastAsia="Times New Roman" w:hAnsiTheme="majorBidi" w:cstheme="majorBidi"/>
          <w:color w:val="00B0F0"/>
          <w:lang w:val="en-SA"/>
        </w:rPr>
      </w:pPr>
    </w:p>
    <w:p w14:paraId="70F0FAA8" w14:textId="77777777" w:rsidR="00235B0F" w:rsidRPr="00974B4F" w:rsidRDefault="00235B0F" w:rsidP="00974B4F">
      <w:pPr>
        <w:spacing w:after="0" w:line="276" w:lineRule="auto"/>
        <w:rPr>
          <w:rFonts w:asciiTheme="majorBidi" w:eastAsia="Times New Roman" w:hAnsiTheme="majorBidi" w:cstheme="majorBidi"/>
          <w:color w:val="00B0F0"/>
          <w:lang w:val="en-SA"/>
        </w:rPr>
      </w:pPr>
    </w:p>
    <w:bookmarkEnd w:id="0"/>
    <w:p w14:paraId="263636BC" w14:textId="77777777" w:rsidR="0049262F" w:rsidRPr="00974B4F" w:rsidRDefault="0049262F" w:rsidP="00974B4F">
      <w:pPr>
        <w:pStyle w:val="BodyText"/>
        <w:spacing w:line="276" w:lineRule="auto"/>
        <w:rPr>
          <w:rFonts w:asciiTheme="majorBidi" w:hAnsiTheme="majorBidi" w:cstheme="majorBidi"/>
          <w:lang w:val="en-SA"/>
        </w:rPr>
      </w:pPr>
    </w:p>
    <w:sectPr w:rsidR="0049262F" w:rsidRPr="00974B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6A5D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AF4072"/>
    <w:multiLevelType w:val="hybridMultilevel"/>
    <w:tmpl w:val="3CFC1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772269">
    <w:abstractNumId w:val="0"/>
  </w:num>
  <w:num w:numId="2" w16cid:durableId="82909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7B"/>
    <w:rsid w:val="00001CDE"/>
    <w:rsid w:val="00021076"/>
    <w:rsid w:val="00023EB4"/>
    <w:rsid w:val="000552AC"/>
    <w:rsid w:val="00055B39"/>
    <w:rsid w:val="00067C2B"/>
    <w:rsid w:val="00072B52"/>
    <w:rsid w:val="00094CFF"/>
    <w:rsid w:val="000A5050"/>
    <w:rsid w:val="000B26BD"/>
    <w:rsid w:val="000B6838"/>
    <w:rsid w:val="000C454E"/>
    <w:rsid w:val="000D04C9"/>
    <w:rsid w:val="000E2B7C"/>
    <w:rsid w:val="000F1951"/>
    <w:rsid w:val="000F2747"/>
    <w:rsid w:val="000F3C74"/>
    <w:rsid w:val="000F54B9"/>
    <w:rsid w:val="0010128C"/>
    <w:rsid w:val="0011781F"/>
    <w:rsid w:val="00122D52"/>
    <w:rsid w:val="001256ED"/>
    <w:rsid w:val="0013707B"/>
    <w:rsid w:val="00141356"/>
    <w:rsid w:val="00153848"/>
    <w:rsid w:val="00164916"/>
    <w:rsid w:val="00167752"/>
    <w:rsid w:val="0017526F"/>
    <w:rsid w:val="001A450C"/>
    <w:rsid w:val="001B6A89"/>
    <w:rsid w:val="001D67B8"/>
    <w:rsid w:val="00200310"/>
    <w:rsid w:val="0020039C"/>
    <w:rsid w:val="00211D2A"/>
    <w:rsid w:val="00231655"/>
    <w:rsid w:val="00235B0F"/>
    <w:rsid w:val="00246446"/>
    <w:rsid w:val="00260F7B"/>
    <w:rsid w:val="002611FA"/>
    <w:rsid w:val="002669A0"/>
    <w:rsid w:val="00287228"/>
    <w:rsid w:val="00287C30"/>
    <w:rsid w:val="002B31EF"/>
    <w:rsid w:val="002D4865"/>
    <w:rsid w:val="002E5229"/>
    <w:rsid w:val="003064D0"/>
    <w:rsid w:val="003272C3"/>
    <w:rsid w:val="00347EC3"/>
    <w:rsid w:val="00367E62"/>
    <w:rsid w:val="00375627"/>
    <w:rsid w:val="00385DF9"/>
    <w:rsid w:val="00395816"/>
    <w:rsid w:val="003A5212"/>
    <w:rsid w:val="003C46CB"/>
    <w:rsid w:val="003C533A"/>
    <w:rsid w:val="003D1D29"/>
    <w:rsid w:val="003E0639"/>
    <w:rsid w:val="004172B7"/>
    <w:rsid w:val="0042105F"/>
    <w:rsid w:val="00440313"/>
    <w:rsid w:val="00463F0A"/>
    <w:rsid w:val="004717DC"/>
    <w:rsid w:val="004761C1"/>
    <w:rsid w:val="00482A9C"/>
    <w:rsid w:val="00485A7C"/>
    <w:rsid w:val="0049262F"/>
    <w:rsid w:val="004950BE"/>
    <w:rsid w:val="004C1C47"/>
    <w:rsid w:val="004E5F5C"/>
    <w:rsid w:val="00500C3F"/>
    <w:rsid w:val="005042F1"/>
    <w:rsid w:val="00505DF2"/>
    <w:rsid w:val="00540F32"/>
    <w:rsid w:val="005703B9"/>
    <w:rsid w:val="005707C7"/>
    <w:rsid w:val="00582232"/>
    <w:rsid w:val="005A3AB6"/>
    <w:rsid w:val="005A7673"/>
    <w:rsid w:val="005D2129"/>
    <w:rsid w:val="005D3253"/>
    <w:rsid w:val="005E30A9"/>
    <w:rsid w:val="005F1404"/>
    <w:rsid w:val="00615D2B"/>
    <w:rsid w:val="00641B7C"/>
    <w:rsid w:val="006455BD"/>
    <w:rsid w:val="00650222"/>
    <w:rsid w:val="00663A0E"/>
    <w:rsid w:val="00670604"/>
    <w:rsid w:val="00670780"/>
    <w:rsid w:val="00681155"/>
    <w:rsid w:val="00697488"/>
    <w:rsid w:val="006A3650"/>
    <w:rsid w:val="006A7705"/>
    <w:rsid w:val="006B03AA"/>
    <w:rsid w:val="006C5BFC"/>
    <w:rsid w:val="006C69B3"/>
    <w:rsid w:val="006D6B15"/>
    <w:rsid w:val="006E09A3"/>
    <w:rsid w:val="006E57C7"/>
    <w:rsid w:val="006E6A5A"/>
    <w:rsid w:val="006F7579"/>
    <w:rsid w:val="00711BC0"/>
    <w:rsid w:val="007265C2"/>
    <w:rsid w:val="007327AF"/>
    <w:rsid w:val="00751A73"/>
    <w:rsid w:val="00766324"/>
    <w:rsid w:val="00767A5D"/>
    <w:rsid w:val="007827D1"/>
    <w:rsid w:val="00786424"/>
    <w:rsid w:val="00786FDA"/>
    <w:rsid w:val="007E40EF"/>
    <w:rsid w:val="007F797C"/>
    <w:rsid w:val="008303FC"/>
    <w:rsid w:val="00856499"/>
    <w:rsid w:val="00857003"/>
    <w:rsid w:val="008738C2"/>
    <w:rsid w:val="00881966"/>
    <w:rsid w:val="008A1E95"/>
    <w:rsid w:val="008B6B55"/>
    <w:rsid w:val="008D4366"/>
    <w:rsid w:val="009151A7"/>
    <w:rsid w:val="009177A2"/>
    <w:rsid w:val="00923FAF"/>
    <w:rsid w:val="0092660E"/>
    <w:rsid w:val="009320D4"/>
    <w:rsid w:val="009511A8"/>
    <w:rsid w:val="00953B2F"/>
    <w:rsid w:val="0096734C"/>
    <w:rsid w:val="00974B4F"/>
    <w:rsid w:val="00992EB5"/>
    <w:rsid w:val="009931A2"/>
    <w:rsid w:val="00993D17"/>
    <w:rsid w:val="009A0A3B"/>
    <w:rsid w:val="009C7F94"/>
    <w:rsid w:val="009E48D5"/>
    <w:rsid w:val="009F0E91"/>
    <w:rsid w:val="009F1D15"/>
    <w:rsid w:val="00A064BE"/>
    <w:rsid w:val="00A14303"/>
    <w:rsid w:val="00A15237"/>
    <w:rsid w:val="00A34133"/>
    <w:rsid w:val="00A425E9"/>
    <w:rsid w:val="00A47EA0"/>
    <w:rsid w:val="00A56DCE"/>
    <w:rsid w:val="00A874F9"/>
    <w:rsid w:val="00AB2823"/>
    <w:rsid w:val="00AB611D"/>
    <w:rsid w:val="00AB784D"/>
    <w:rsid w:val="00AC1840"/>
    <w:rsid w:val="00AC2AC5"/>
    <w:rsid w:val="00AD0D07"/>
    <w:rsid w:val="00AD73BF"/>
    <w:rsid w:val="00AE631B"/>
    <w:rsid w:val="00AF2751"/>
    <w:rsid w:val="00AF4D26"/>
    <w:rsid w:val="00B02787"/>
    <w:rsid w:val="00B033A2"/>
    <w:rsid w:val="00B30DBC"/>
    <w:rsid w:val="00B35EE9"/>
    <w:rsid w:val="00B37015"/>
    <w:rsid w:val="00B45401"/>
    <w:rsid w:val="00B522E5"/>
    <w:rsid w:val="00B5469D"/>
    <w:rsid w:val="00B70054"/>
    <w:rsid w:val="00B83B98"/>
    <w:rsid w:val="00B86A1C"/>
    <w:rsid w:val="00BB0B8D"/>
    <w:rsid w:val="00BB3339"/>
    <w:rsid w:val="00BD4C2A"/>
    <w:rsid w:val="00BD7F95"/>
    <w:rsid w:val="00BE5120"/>
    <w:rsid w:val="00C0188D"/>
    <w:rsid w:val="00C04113"/>
    <w:rsid w:val="00C2034A"/>
    <w:rsid w:val="00C263F6"/>
    <w:rsid w:val="00C43712"/>
    <w:rsid w:val="00C45644"/>
    <w:rsid w:val="00C675EF"/>
    <w:rsid w:val="00C73ED5"/>
    <w:rsid w:val="00C86C4C"/>
    <w:rsid w:val="00C87671"/>
    <w:rsid w:val="00C95A54"/>
    <w:rsid w:val="00C97E9D"/>
    <w:rsid w:val="00CA4075"/>
    <w:rsid w:val="00CB5735"/>
    <w:rsid w:val="00CC4D7C"/>
    <w:rsid w:val="00CC5307"/>
    <w:rsid w:val="00CD1194"/>
    <w:rsid w:val="00CE2551"/>
    <w:rsid w:val="00CE5964"/>
    <w:rsid w:val="00CF52E6"/>
    <w:rsid w:val="00D15B45"/>
    <w:rsid w:val="00D30B61"/>
    <w:rsid w:val="00D56969"/>
    <w:rsid w:val="00D77D0F"/>
    <w:rsid w:val="00DA67FE"/>
    <w:rsid w:val="00DB2AB9"/>
    <w:rsid w:val="00DE033C"/>
    <w:rsid w:val="00DE7CC2"/>
    <w:rsid w:val="00E157EC"/>
    <w:rsid w:val="00E32C90"/>
    <w:rsid w:val="00E3436D"/>
    <w:rsid w:val="00E37B1B"/>
    <w:rsid w:val="00E46A00"/>
    <w:rsid w:val="00E6105C"/>
    <w:rsid w:val="00E6660A"/>
    <w:rsid w:val="00E76672"/>
    <w:rsid w:val="00E83825"/>
    <w:rsid w:val="00E87AF6"/>
    <w:rsid w:val="00E91801"/>
    <w:rsid w:val="00EA14F6"/>
    <w:rsid w:val="00EA743E"/>
    <w:rsid w:val="00ED27D3"/>
    <w:rsid w:val="00EF4900"/>
    <w:rsid w:val="00EF5C61"/>
    <w:rsid w:val="00F2302B"/>
    <w:rsid w:val="00F7246A"/>
    <w:rsid w:val="00F8190B"/>
    <w:rsid w:val="00F90953"/>
    <w:rsid w:val="00FA0AEA"/>
    <w:rsid w:val="00FA17A6"/>
    <w:rsid w:val="00FA6AC8"/>
    <w:rsid w:val="00FB12F6"/>
    <w:rsid w:val="00FB14C7"/>
    <w:rsid w:val="00FC0B16"/>
    <w:rsid w:val="00FD06F6"/>
    <w:rsid w:val="00FD7606"/>
    <w:rsid w:val="00FF10FC"/>
    <w:rsid w:val="00FF3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D5AC"/>
  <w15:docId w15:val="{83C9050A-9087-A644-A76E-F4AA6CF1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151A7"/>
    <w:rPr>
      <w:color w:val="605E5C"/>
      <w:shd w:val="clear" w:color="auto" w:fill="E1DFDD"/>
    </w:rPr>
  </w:style>
  <w:style w:type="paragraph" w:customStyle="1" w:styleId="p1">
    <w:name w:val="p1"/>
    <w:basedOn w:val="Normal"/>
    <w:rsid w:val="00C0188D"/>
    <w:pPr>
      <w:spacing w:before="100" w:beforeAutospacing="1" w:after="100" w:afterAutospacing="1"/>
    </w:pPr>
    <w:rPr>
      <w:rFonts w:ascii="Times New Roman" w:eastAsia="Times New Roman" w:hAnsi="Times New Roman" w:cs="Times New Roman"/>
      <w:lang w:val="en-SA"/>
    </w:rPr>
  </w:style>
  <w:style w:type="character" w:customStyle="1" w:styleId="s1">
    <w:name w:val="s1"/>
    <w:basedOn w:val="DefaultParagraphFont"/>
    <w:rsid w:val="00C0188D"/>
  </w:style>
  <w:style w:type="paragraph" w:customStyle="1" w:styleId="p2">
    <w:name w:val="p2"/>
    <w:basedOn w:val="Normal"/>
    <w:rsid w:val="00C0188D"/>
    <w:pPr>
      <w:spacing w:before="100" w:beforeAutospacing="1" w:after="100" w:afterAutospacing="1"/>
    </w:pPr>
    <w:rPr>
      <w:rFonts w:ascii="Times New Roman" w:eastAsia="Times New Roman" w:hAnsi="Times New Roman" w:cs="Times New Roman"/>
      <w:lang w:val="en-SA"/>
    </w:rPr>
  </w:style>
  <w:style w:type="character" w:customStyle="1" w:styleId="ng-star-inserted">
    <w:name w:val="ng-star-inserted"/>
    <w:basedOn w:val="DefaultParagraphFont"/>
    <w:rsid w:val="0049262F"/>
  </w:style>
  <w:style w:type="character" w:customStyle="1" w:styleId="css-1jxf6841">
    <w:name w:val="css-1jxf6841"/>
    <w:basedOn w:val="DefaultParagraphFont"/>
    <w:rsid w:val="003E0639"/>
    <w:rPr>
      <w:strike w:val="0"/>
      <w:dstrike w:val="0"/>
      <w:vanish w:val="0"/>
      <w:webHidden w:val="0"/>
      <w:u w:val="none"/>
      <w:effect w:val="none"/>
      <w:bdr w:val="single" w:sz="2" w:space="0" w:color="000000" w:frame="1"/>
      <w:specVanish w:val="0"/>
    </w:rPr>
  </w:style>
  <w:style w:type="paragraph" w:customStyle="1" w:styleId="p3">
    <w:name w:val="p3"/>
    <w:basedOn w:val="Normal"/>
    <w:rsid w:val="00B35EE9"/>
    <w:pPr>
      <w:spacing w:before="100" w:beforeAutospacing="1" w:after="100" w:afterAutospacing="1"/>
    </w:pPr>
    <w:rPr>
      <w:rFonts w:ascii="Times New Roman" w:eastAsia="Times New Roman" w:hAnsi="Times New Roman" w:cs="Times New Roman"/>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05E7CF-DFBD-A940-A9B9-9FC74AA33B4C}">
  <we:reference id="WA200001011" version="1.4.0.0" store="Omex" storeType="OMEX"/>
  <we:alternateReferences>
    <we:reference id="WA200001011" version="1.4.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4</Pages>
  <Words>999</Words>
  <Characters>6909</Characters>
  <Application>Microsoft Office Word</Application>
  <DocSecurity>0</DocSecurity>
  <Lines>101</Lines>
  <Paragraphs>13</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Jesper Tegner</dc:creator>
  <cp:keywords/>
  <cp:lastModifiedBy>Jesper Tegner</cp:lastModifiedBy>
  <cp:revision>16</cp:revision>
  <dcterms:created xsi:type="dcterms:W3CDTF">2026-03-08T17:04:00Z</dcterms:created>
  <dcterms:modified xsi:type="dcterms:W3CDTF">2026-03-08T17:06:00Z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documentId_342</vt:lpwstr>
  </property>
  <property fmtid="{D5CDD505-2E9C-101B-9397-08002B2CF9AE}" pid="3" name="grammarly_documentContext">
    <vt:lpwstr>{"goals":[],"domain":"general","emotions":[],"dialect":"american"}</vt:lpwstr>
  </property>
</Properties>
</file>