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EE520" w14:textId="77777777" w:rsidR="007B67E1" w:rsidRPr="005D62E7" w:rsidRDefault="007B67E1" w:rsidP="005D62E7">
      <w:pPr>
        <w:pStyle w:val="Heading1"/>
        <w:spacing w:line="360" w:lineRule="auto"/>
        <w:rPr>
          <w:rFonts w:asciiTheme="majorBidi" w:hAnsiTheme="majorBidi"/>
          <w:b/>
          <w:bCs/>
          <w:sz w:val="24"/>
          <w:szCs w:val="24"/>
        </w:rPr>
      </w:pPr>
      <w:bookmarkStart w:id="0" w:name="_Toc198995650"/>
      <w:bookmarkStart w:id="1" w:name="abstract"/>
      <w:r w:rsidRPr="005D62E7">
        <w:rPr>
          <w:rFonts w:asciiTheme="majorBidi" w:hAnsiTheme="majorBidi"/>
          <w:b/>
          <w:bCs/>
          <w:sz w:val="24"/>
          <w:szCs w:val="24"/>
        </w:rPr>
        <w:t>Results</w:t>
      </w:r>
      <w:bookmarkEnd w:id="0"/>
      <w:r w:rsidRPr="005D62E7">
        <w:rPr>
          <w:rFonts w:asciiTheme="majorBidi" w:hAnsiTheme="majorBidi"/>
          <w:b/>
          <w:bCs/>
          <w:sz w:val="24"/>
          <w:szCs w:val="24"/>
        </w:rPr>
        <w:t xml:space="preserve"> </w:t>
      </w:r>
    </w:p>
    <w:p w14:paraId="1E38BA76" w14:textId="77777777" w:rsidR="00402B04" w:rsidRPr="005D62E7" w:rsidRDefault="00402B04" w:rsidP="005D62E7">
      <w:pPr>
        <w:keepNext/>
        <w:spacing w:line="360" w:lineRule="auto"/>
        <w:rPr>
          <w:rFonts w:asciiTheme="majorBidi" w:hAnsiTheme="majorBidi" w:cstheme="majorBidi"/>
        </w:rPr>
      </w:pPr>
    </w:p>
    <w:p w14:paraId="0E7ABEA6" w14:textId="6694C5D3" w:rsidR="00402B04" w:rsidRPr="005D62E7" w:rsidRDefault="00402B04" w:rsidP="005D62E7">
      <w:pPr>
        <w:pStyle w:val="Heading2"/>
        <w:spacing w:line="360" w:lineRule="auto"/>
        <w:rPr>
          <w:rFonts w:asciiTheme="majorBidi" w:hAnsiTheme="majorBidi"/>
          <w:b/>
          <w:bCs/>
          <w:sz w:val="24"/>
          <w:szCs w:val="24"/>
        </w:rPr>
      </w:pPr>
      <w:proofErr w:type="spellStart"/>
      <w:r w:rsidRPr="005D62E7">
        <w:rPr>
          <w:rFonts w:asciiTheme="majorBidi" w:hAnsiTheme="majorBidi"/>
          <w:b/>
          <w:bCs/>
          <w:sz w:val="24"/>
          <w:szCs w:val="24"/>
        </w:rPr>
        <w:t>scHopfield</w:t>
      </w:r>
      <w:proofErr w:type="spellEnd"/>
      <w:r w:rsidRPr="005D62E7">
        <w:rPr>
          <w:rFonts w:asciiTheme="majorBidi" w:hAnsiTheme="majorBidi"/>
          <w:b/>
          <w:bCs/>
          <w:sz w:val="24"/>
          <w:szCs w:val="24"/>
        </w:rPr>
        <w:t xml:space="preserve"> unifies dynamical systems learning and gene regulatory network inference</w:t>
      </w:r>
    </w:p>
    <w:p w14:paraId="322A0C67" w14:textId="71653E06" w:rsidR="00CD1EFD" w:rsidRPr="005D62E7" w:rsidRDefault="00CD1EFD" w:rsidP="005D62E7">
      <w:pPr>
        <w:pStyle w:val="FirstParagraph"/>
        <w:spacing w:line="360" w:lineRule="auto"/>
        <w:rPr>
          <w:rFonts w:asciiTheme="majorBidi" w:hAnsiTheme="majorBidi" w:cstheme="majorBidi"/>
        </w:rPr>
      </w:pPr>
      <w:proofErr w:type="spellStart"/>
      <w:r w:rsidRPr="005D62E7">
        <w:rPr>
          <w:rFonts w:asciiTheme="majorBidi" w:hAnsiTheme="majorBidi" w:cstheme="majorBidi"/>
        </w:rPr>
        <w:t>scHopfield</w:t>
      </w:r>
      <w:proofErr w:type="spellEnd"/>
      <w:r w:rsidRPr="005D62E7">
        <w:rPr>
          <w:rFonts w:asciiTheme="majorBidi" w:hAnsiTheme="majorBidi" w:cstheme="majorBidi"/>
        </w:rPr>
        <w:t xml:space="preserve"> is an interpretable dynamical systems framework for single-cell transcriptomics that jointly infers gene regulatory networks (GRNs), transcriptional dynamics, and cellular energy landscapes from RNA velocity data. The model</w:t>
      </w:r>
      <w:r w:rsidR="00A51658" w:rsidRPr="005D62E7">
        <w:rPr>
          <w:rFonts w:asciiTheme="majorBidi" w:hAnsiTheme="majorBidi" w:cstheme="majorBidi"/>
        </w:rPr>
        <w:t xml:space="preserve"> is </w:t>
      </w:r>
      <w:r w:rsidR="00A51658" w:rsidRPr="005D62E7">
        <w:rPr>
          <w:rFonts w:asciiTheme="majorBidi" w:eastAsia="Times New Roman" w:hAnsiTheme="majorBidi" w:cstheme="majorBidi"/>
          <w:color w:val="000000" w:themeColor="text1"/>
          <w:lang w:val="en-SA"/>
        </w:rPr>
        <w:t>constrained by an inductive bias that balances contributions from RNA velocity dynamics with cell-type-aware GRN inference</w:t>
      </w:r>
      <w:r w:rsidR="001F3C8E">
        <w:rPr>
          <w:rFonts w:asciiTheme="majorBidi" w:eastAsia="Times New Roman" w:hAnsiTheme="majorBidi" w:cstheme="majorBidi"/>
          <w:color w:val="000000" w:themeColor="text1"/>
          <w:lang w:val="en-SA"/>
        </w:rPr>
        <w:t>. It</w:t>
      </w:r>
      <w:r w:rsidRPr="005D62E7">
        <w:rPr>
          <w:rFonts w:asciiTheme="majorBidi" w:hAnsiTheme="majorBidi" w:cstheme="majorBidi"/>
        </w:rPr>
        <w:t xml:space="preserve"> extends the continuous Hopfield formalism using cell-type-specific interaction matrices parameterized by interpretable Hill kinetics:</w:t>
      </w:r>
    </w:p>
    <w:p w14:paraId="1D9B8940" w14:textId="77777777" w:rsidR="00393A33" w:rsidRPr="005D62E7" w:rsidRDefault="00000000" w:rsidP="005D62E7">
      <w:pPr>
        <w:pStyle w:val="BodyText"/>
        <w:spacing w:line="360" w:lineRule="auto"/>
        <w:rPr>
          <w:rFonts w:asciiTheme="majorBidi" w:hAnsiTheme="majorBidi" w:cstheme="majorBidi"/>
        </w:rPr>
      </w:pPr>
      <m:oMathPara>
        <m:oMathParaPr>
          <m:jc m:val="center"/>
        </m:oMathParaPr>
        <m:oMath>
          <m:f>
            <m:fPr>
              <m:ctrlPr>
                <w:rPr>
                  <w:rFonts w:ascii="Cambria Math" w:hAnsi="Cambria Math" w:cstheme="majorBidi"/>
                </w:rPr>
              </m:ctrlPr>
            </m:fPr>
            <m:num>
              <m:r>
                <w:rPr>
                  <w:rFonts w:ascii="Cambria Math" w:hAnsi="Cambria Math" w:cstheme="majorBidi"/>
                </w:rPr>
                <m:t>d</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m:t>
                  </m:r>
                </m:sub>
              </m:sSub>
            </m:num>
            <m:den>
              <m:r>
                <w:rPr>
                  <w:rFonts w:ascii="Cambria Math" w:hAnsi="Cambria Math" w:cstheme="majorBidi"/>
                </w:rPr>
                <m:t>dt</m:t>
              </m:r>
            </m:den>
          </m:f>
          <m:r>
            <m:rPr>
              <m:sty m:val="p"/>
            </m:rPr>
            <w:rPr>
              <w:rFonts w:ascii="Cambria Math" w:hAnsi="Cambria Math" w:cstheme="majorBidi"/>
            </w:rPr>
            <m:t>=</m:t>
          </m:r>
          <m:nary>
            <m:naryPr>
              <m:chr m:val="∑"/>
              <m:limLoc m:val="undOvr"/>
              <m:ctrlPr>
                <w:rPr>
                  <w:rFonts w:ascii="Cambria Math" w:hAnsi="Cambria Math" w:cstheme="majorBidi"/>
                </w:rPr>
              </m:ctrlPr>
            </m:naryPr>
            <m:sub>
              <m:r>
                <w:rPr>
                  <w:rFonts w:ascii="Cambria Math" w:hAnsi="Cambria Math" w:cstheme="majorBidi"/>
                </w:rPr>
                <m:t>j</m:t>
              </m:r>
              <m:r>
                <m:rPr>
                  <m:sty m:val="p"/>
                </m:rPr>
                <w:rPr>
                  <w:rFonts w:ascii="Cambria Math" w:hAnsi="Cambria Math" w:cstheme="majorBidi"/>
                </w:rPr>
                <m:t>=</m:t>
              </m:r>
              <m:r>
                <w:rPr>
                  <w:rFonts w:ascii="Cambria Math" w:hAnsi="Cambria Math" w:cstheme="majorBidi"/>
                </w:rPr>
                <m:t>1</m:t>
              </m:r>
            </m:sub>
            <m:sup>
              <m:r>
                <w:rPr>
                  <w:rFonts w:ascii="Cambria Math" w:hAnsi="Cambria Math" w:cstheme="majorBidi"/>
                </w:rPr>
                <m:t>N</m:t>
              </m:r>
            </m:sup>
            <m:e>
              <m:sSubSup>
                <m:sSubSupPr>
                  <m:ctrlPr>
                    <w:rPr>
                      <w:rFonts w:ascii="Cambria Math" w:hAnsi="Cambria Math" w:cstheme="majorBidi"/>
                    </w:rPr>
                  </m:ctrlPr>
                </m:sSubSupPr>
                <m:e>
                  <m:r>
                    <w:rPr>
                      <w:rFonts w:ascii="Cambria Math" w:hAnsi="Cambria Math" w:cstheme="majorBidi"/>
                    </w:rPr>
                    <m:t>W</m:t>
                  </m:r>
                </m:e>
                <m:sub>
                  <m:r>
                    <w:rPr>
                      <w:rFonts w:ascii="Cambria Math" w:hAnsi="Cambria Math" w:cstheme="majorBidi"/>
                    </w:rPr>
                    <m:t>ij</m:t>
                  </m:r>
                </m:sub>
                <m:sup>
                  <m:r>
                    <w:rPr>
                      <w:rFonts w:ascii="Cambria Math" w:hAnsi="Cambria Math" w:cstheme="majorBidi"/>
                    </w:rPr>
                    <m:t>C</m:t>
                  </m:r>
                </m:sup>
              </m:sSubSup>
            </m:e>
          </m:nary>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j</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j</m:t>
                  </m:r>
                </m:sub>
              </m:sSub>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γ</m:t>
              </m:r>
            </m:e>
            <m:sub>
              <m:r>
                <w:rPr>
                  <w:rFonts w:ascii="Cambria Math" w:hAnsi="Cambria Math" w:cstheme="majorBidi"/>
                </w:rPr>
                <m:t>i</m:t>
              </m:r>
            </m:sub>
          </m:sSub>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i</m:t>
              </m:r>
            </m:sub>
          </m:sSub>
          <m:r>
            <m:rPr>
              <m:sty m:val="p"/>
            </m:rPr>
            <w:rPr>
              <w:rFonts w:ascii="Cambria Math" w:hAnsi="Cambria Math" w:cstheme="majorBidi"/>
            </w:rPr>
            <m:t>,</m:t>
          </m:r>
        </m:oMath>
      </m:oMathPara>
    </w:p>
    <w:p w14:paraId="4F1BAF80" w14:textId="1417670D" w:rsidR="00163507" w:rsidRPr="005D62E7" w:rsidRDefault="00393A33" w:rsidP="003672D1">
      <w:pPr>
        <w:pStyle w:val="BodyText"/>
        <w:spacing w:line="360" w:lineRule="auto"/>
        <w:rPr>
          <w:rFonts w:asciiTheme="majorBidi" w:hAnsiTheme="majorBidi" w:cstheme="majorBidi"/>
        </w:rPr>
      </w:pPr>
      <w:r w:rsidRPr="005D62E7">
        <w:rPr>
          <w:rFonts w:asciiTheme="majorBidi" w:hAnsiTheme="majorBidi" w:cstheme="majorBidi"/>
        </w:rPr>
        <w:t xml:space="preserve">where </w:t>
      </w:r>
      <m:oMath>
        <m:sSup>
          <m:sSupPr>
            <m:ctrlPr>
              <w:rPr>
                <w:rFonts w:ascii="Cambria Math" w:hAnsi="Cambria Math" w:cstheme="majorBidi"/>
              </w:rPr>
            </m:ctrlPr>
          </m:sSupPr>
          <m:e>
            <m:r>
              <w:rPr>
                <w:rFonts w:ascii="Cambria Math" w:hAnsi="Cambria Math" w:cstheme="majorBidi"/>
              </w:rPr>
              <m:t>W</m:t>
            </m:r>
          </m:e>
          <m:sup>
            <m:r>
              <w:rPr>
                <w:rFonts w:ascii="Cambria Math" w:hAnsi="Cambria Math" w:cstheme="majorBidi"/>
              </w:rPr>
              <m:t>C</m:t>
            </m:r>
          </m:sup>
        </m:sSup>
      </m:oMath>
      <w:r w:rsidRPr="005D62E7">
        <w:rPr>
          <w:rFonts w:asciiTheme="majorBidi" w:hAnsiTheme="majorBidi" w:cstheme="majorBidi"/>
        </w:rPr>
        <w:t xml:space="preserve"> is the cell-type-specific interaction matrix, </w:t>
      </w:r>
      <m:oMath>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j</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j</m:t>
                </m:r>
              </m:sub>
            </m:sSub>
          </m:e>
        </m:d>
      </m:oMath>
      <w:r w:rsidRPr="005D62E7">
        <w:rPr>
          <w:rFonts w:asciiTheme="majorBidi" w:hAnsiTheme="majorBidi" w:cstheme="majorBidi"/>
        </w:rPr>
        <w:t xml:space="preserve"> is a Hill function parameterizing gene j’s sigmoidal activation (with gene-specific Hill coefficient </w:t>
      </w:r>
      <m:oMath>
        <m:sSub>
          <m:sSubPr>
            <m:ctrlPr>
              <w:rPr>
                <w:rFonts w:ascii="Cambria Math" w:hAnsi="Cambria Math" w:cstheme="majorBidi"/>
              </w:rPr>
            </m:ctrlPr>
          </m:sSubPr>
          <m:e>
            <m:r>
              <w:rPr>
                <w:rFonts w:ascii="Cambria Math" w:hAnsi="Cambria Math" w:cstheme="majorBidi"/>
              </w:rPr>
              <m:t>n</m:t>
            </m:r>
          </m:e>
          <m:sub>
            <m:r>
              <w:rPr>
                <w:rFonts w:ascii="Cambria Math" w:hAnsi="Cambria Math" w:cstheme="majorBidi"/>
              </w:rPr>
              <m:t>j</m:t>
            </m:r>
          </m:sub>
        </m:sSub>
      </m:oMath>
      <w:r w:rsidRPr="005D62E7">
        <w:rPr>
          <w:rFonts w:asciiTheme="majorBidi" w:hAnsiTheme="majorBidi" w:cstheme="majorBidi"/>
        </w:rPr>
        <w:t xml:space="preserve"> and activation threshold </w:t>
      </w:r>
      <m:oMath>
        <m:sSub>
          <m:sSubPr>
            <m:ctrlPr>
              <w:rPr>
                <w:rFonts w:ascii="Cambria Math" w:hAnsi="Cambria Math" w:cstheme="majorBidi"/>
              </w:rPr>
            </m:ctrlPr>
          </m:sSubPr>
          <m:e>
            <m:r>
              <w:rPr>
                <w:rFonts w:ascii="Cambria Math" w:hAnsi="Cambria Math" w:cstheme="majorBidi"/>
              </w:rPr>
              <m:t>k</m:t>
            </m:r>
          </m:e>
          <m:sub>
            <m:r>
              <w:rPr>
                <w:rFonts w:ascii="Cambria Math" w:hAnsi="Cambria Math" w:cstheme="majorBidi"/>
              </w:rPr>
              <m:t>j</m:t>
            </m:r>
          </m:sub>
        </m:sSub>
      </m:oMath>
      <w:r w:rsidRPr="005D62E7">
        <w:rPr>
          <w:rFonts w:asciiTheme="majorBidi" w:hAnsiTheme="majorBidi" w:cstheme="majorBidi"/>
        </w:rPr>
        <w:t xml:space="preserve">), </w:t>
      </w:r>
      <m:oMath>
        <m:sSub>
          <m:sSubPr>
            <m:ctrlPr>
              <w:rPr>
                <w:rFonts w:ascii="Cambria Math" w:hAnsi="Cambria Math" w:cstheme="majorBidi"/>
              </w:rPr>
            </m:ctrlPr>
          </m:sSubPr>
          <m:e>
            <m:r>
              <w:rPr>
                <w:rFonts w:ascii="Cambria Math" w:hAnsi="Cambria Math" w:cstheme="majorBidi"/>
              </w:rPr>
              <m:t>γ</m:t>
            </m:r>
          </m:e>
          <m:sub>
            <m:r>
              <w:rPr>
                <w:rFonts w:ascii="Cambria Math" w:hAnsi="Cambria Math" w:cstheme="majorBidi"/>
              </w:rPr>
              <m:t>i</m:t>
            </m:r>
          </m:sub>
        </m:sSub>
      </m:oMath>
      <w:r w:rsidRPr="005D62E7">
        <w:rPr>
          <w:rFonts w:asciiTheme="majorBidi" w:hAnsiTheme="majorBidi" w:cstheme="majorBidi"/>
        </w:rPr>
        <w:t xml:space="preserve"> is the degradation rate, and </w:t>
      </w:r>
      <m:oMath>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i</m:t>
            </m:r>
          </m:sub>
        </m:sSub>
      </m:oMath>
      <w:r w:rsidRPr="005D62E7">
        <w:rPr>
          <w:rFonts w:asciiTheme="majorBidi" w:hAnsiTheme="majorBidi" w:cstheme="majorBidi"/>
        </w:rPr>
        <w:t xml:space="preserve"> is a bias term</w:t>
      </w:r>
      <w:r w:rsidR="00D10ED0" w:rsidRPr="005D62E7">
        <w:rPr>
          <w:rFonts w:asciiTheme="majorBidi" w:hAnsiTheme="majorBidi" w:cstheme="majorBidi"/>
        </w:rPr>
        <w:t xml:space="preserve"> capturing basal expression </w:t>
      </w:r>
      <w:r w:rsidR="00A82B2C" w:rsidRPr="005D62E7">
        <w:rPr>
          <w:rFonts w:asciiTheme="majorBidi" w:hAnsiTheme="majorBidi" w:cstheme="majorBidi"/>
        </w:rPr>
        <w:t>level</w:t>
      </w:r>
      <w:r w:rsidRPr="005D62E7">
        <w:rPr>
          <w:rFonts w:asciiTheme="majorBidi" w:hAnsiTheme="majorBidi" w:cstheme="majorBidi"/>
        </w:rPr>
        <w:t xml:space="preserve">. </w:t>
      </w:r>
      <w:r w:rsidR="00107C09" w:rsidRPr="005D62E7">
        <w:rPr>
          <w:rFonts w:asciiTheme="majorBidi" w:hAnsiTheme="majorBidi" w:cstheme="majorBidi"/>
        </w:rPr>
        <w:t xml:space="preserve">The parameter </w:t>
      </w:r>
      <m:oMath>
        <m:sSub>
          <m:sSubPr>
            <m:ctrlPr>
              <w:rPr>
                <w:rFonts w:ascii="Cambria Math" w:hAnsi="Cambria Math" w:cstheme="majorBidi"/>
              </w:rPr>
            </m:ctrlPr>
          </m:sSubPr>
          <m:e>
            <m:r>
              <w:rPr>
                <w:rFonts w:ascii="Cambria Math" w:hAnsi="Cambria Math" w:cstheme="majorBidi"/>
              </w:rPr>
              <m:t>k</m:t>
            </m:r>
          </m:e>
          <m:sub>
            <m:r>
              <w:rPr>
                <w:rFonts w:ascii="Cambria Math" w:hAnsi="Cambria Math" w:cstheme="majorBidi"/>
              </w:rPr>
              <m:t>j</m:t>
            </m:r>
          </m:sub>
        </m:sSub>
      </m:oMath>
      <w:r w:rsidR="00107C09" w:rsidRPr="005D62E7">
        <w:rPr>
          <w:rFonts w:asciiTheme="majorBidi" w:hAnsiTheme="majorBidi" w:cstheme="majorBidi"/>
        </w:rPr>
        <w:t xml:space="preserve"> represents the half-maximal threshold</w:t>
      </w:r>
      <w:r w:rsidR="002A01A1" w:rsidRPr="005D62E7">
        <w:rPr>
          <w:rFonts w:asciiTheme="majorBidi" w:hAnsiTheme="majorBidi" w:cstheme="majorBidi"/>
        </w:rPr>
        <w:t xml:space="preserve">, </w:t>
      </w:r>
      <w:r w:rsidR="00107C09" w:rsidRPr="005D62E7">
        <w:rPr>
          <w:rFonts w:asciiTheme="majorBidi" w:hAnsiTheme="majorBidi" w:cstheme="majorBidi"/>
        </w:rPr>
        <w:t xml:space="preserve">the expression level at which </w:t>
      </w:r>
      <w:r w:rsidR="002163FB" w:rsidRPr="005D62E7">
        <w:rPr>
          <w:rFonts w:asciiTheme="majorBidi" w:hAnsiTheme="majorBidi" w:cstheme="majorBidi"/>
        </w:rPr>
        <w:t xml:space="preserve">the </w:t>
      </w:r>
      <w:r w:rsidR="00107C09" w:rsidRPr="005D62E7">
        <w:rPr>
          <w:rFonts w:asciiTheme="majorBidi" w:hAnsiTheme="majorBidi" w:cstheme="majorBidi"/>
        </w:rPr>
        <w:t xml:space="preserve">transcription factor </w:t>
      </w:r>
      <m:oMath>
        <m:r>
          <w:rPr>
            <w:rFonts w:ascii="Cambria Math" w:hAnsi="Cambria Math" w:cstheme="majorBidi"/>
          </w:rPr>
          <m:t>j</m:t>
        </m:r>
      </m:oMath>
      <w:r w:rsidR="00107C09" w:rsidRPr="005D62E7">
        <w:rPr>
          <w:rFonts w:asciiTheme="majorBidi" w:hAnsiTheme="majorBidi" w:cstheme="majorBidi"/>
        </w:rPr>
        <w:t xml:space="preserve"> exerts half its maximal regulatory </w:t>
      </w:r>
      <w:r w:rsidR="001F3C8E" w:rsidRPr="005D62E7">
        <w:rPr>
          <w:rFonts w:asciiTheme="majorBidi" w:hAnsiTheme="majorBidi" w:cstheme="majorBidi"/>
        </w:rPr>
        <w:t>effect and</w:t>
      </w:r>
      <w:r w:rsidR="00107C09" w:rsidRPr="005D62E7">
        <w:rPr>
          <w:rFonts w:asciiTheme="majorBidi" w:hAnsiTheme="majorBidi" w:cstheme="majorBidi"/>
        </w:rPr>
        <w:t xml:space="preserve"> is related to the binding affinity of the transcription factor to its target promoters. The parameter </w:t>
      </w:r>
      <m:oMath>
        <m:sSub>
          <m:sSubPr>
            <m:ctrlPr>
              <w:rPr>
                <w:rFonts w:ascii="Cambria Math" w:hAnsi="Cambria Math" w:cstheme="majorBidi"/>
              </w:rPr>
            </m:ctrlPr>
          </m:sSubPr>
          <m:e>
            <m:r>
              <w:rPr>
                <w:rFonts w:ascii="Cambria Math" w:hAnsi="Cambria Math" w:cstheme="majorBidi"/>
              </w:rPr>
              <m:t>n</m:t>
            </m:r>
          </m:e>
          <m:sub>
            <m:r>
              <w:rPr>
                <w:rFonts w:ascii="Cambria Math" w:hAnsi="Cambria Math" w:cstheme="majorBidi"/>
              </w:rPr>
              <m:t>j</m:t>
            </m:r>
          </m:sub>
        </m:sSub>
      </m:oMath>
      <w:r w:rsidR="00107C09" w:rsidRPr="005D62E7">
        <w:rPr>
          <w:rFonts w:asciiTheme="majorBidi" w:hAnsiTheme="majorBidi" w:cstheme="majorBidi"/>
        </w:rPr>
        <w:t xml:space="preserve"> is the Hill coefficient, quantifying cooperativity in transcriptional regulation</w:t>
      </w:r>
      <w:r w:rsidR="00054009" w:rsidRPr="005D62E7">
        <w:rPr>
          <w:rFonts w:asciiTheme="majorBidi" w:hAnsiTheme="majorBidi" w:cstheme="majorBidi"/>
        </w:rPr>
        <w:t>.</w:t>
      </w:r>
      <w:r w:rsidR="002434DF" w:rsidRPr="005D62E7">
        <w:rPr>
          <w:rFonts w:asciiTheme="majorBidi" w:hAnsiTheme="majorBidi" w:cstheme="majorBidi"/>
        </w:rPr>
        <w:t xml:space="preserve"> </w:t>
      </w:r>
      <w:r w:rsidR="001B606E" w:rsidRPr="005D62E7">
        <w:rPr>
          <w:rFonts w:asciiTheme="majorBidi" w:hAnsiTheme="majorBidi" w:cstheme="majorBidi"/>
        </w:rPr>
        <w:t xml:space="preserve">For each gene </w:t>
      </w:r>
      <m:oMath>
        <m:sSup>
          <m:sSupPr>
            <m:ctrlPr>
              <w:rPr>
                <w:rFonts w:ascii="Cambria Math" w:hAnsi="Cambria Math" w:cstheme="majorBidi"/>
              </w:rPr>
            </m:ctrlPr>
          </m:sSupPr>
          <m:e>
            <m:r>
              <w:rPr>
                <w:rFonts w:ascii="Cambria Math" w:hAnsi="Cambria Math" w:cstheme="majorBidi"/>
              </w:rPr>
              <m:t>g</m:t>
            </m:r>
          </m:e>
          <m:sup>
            <m:d>
              <m:dPr>
                <m:ctrlPr>
                  <w:rPr>
                    <w:rFonts w:ascii="Cambria Math" w:hAnsi="Cambria Math" w:cstheme="majorBidi"/>
                  </w:rPr>
                </m:ctrlPr>
              </m:dPr>
              <m:e>
                <m:r>
                  <w:rPr>
                    <w:rFonts w:ascii="Cambria Math" w:hAnsi="Cambria Math" w:cstheme="majorBidi"/>
                  </w:rPr>
                  <m:t>i</m:t>
                </m:r>
              </m:e>
            </m:d>
          </m:sup>
        </m:sSup>
      </m:oMath>
      <w:r w:rsidR="001B606E" w:rsidRPr="005D62E7">
        <w:rPr>
          <w:rFonts w:asciiTheme="majorBidi" w:hAnsiTheme="majorBidi" w:cstheme="majorBidi"/>
        </w:rPr>
        <w:t xml:space="preserve"> in a dataset of </w:t>
      </w:r>
      <m:oMath>
        <m:sSub>
          <m:sSubPr>
            <m:ctrlPr>
              <w:rPr>
                <w:rFonts w:ascii="Cambria Math" w:hAnsi="Cambria Math" w:cstheme="majorBidi"/>
              </w:rPr>
            </m:ctrlPr>
          </m:sSubPr>
          <m:e>
            <m:r>
              <w:rPr>
                <w:rFonts w:ascii="Cambria Math" w:hAnsi="Cambria Math" w:cstheme="majorBidi"/>
              </w:rPr>
              <m:t>n</m:t>
            </m:r>
          </m:e>
          <m:sub>
            <m:r>
              <w:rPr>
                <w:rFonts w:ascii="Cambria Math" w:hAnsi="Cambria Math" w:cstheme="majorBidi"/>
              </w:rPr>
              <m:t>c</m:t>
            </m:r>
          </m:sub>
        </m:sSub>
      </m:oMath>
      <w:r w:rsidR="001B606E" w:rsidRPr="005D62E7">
        <w:rPr>
          <w:rFonts w:asciiTheme="majorBidi" w:hAnsiTheme="majorBidi" w:cstheme="majorBidi"/>
        </w:rPr>
        <w:t xml:space="preserve"> cells, the Hill parameters </w:t>
      </w:r>
      <m:oMath>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k</m:t>
                </m:r>
              </m:e>
              <m:sub>
                <m:r>
                  <w:rPr>
                    <w:rFonts w:ascii="Cambria Math" w:hAnsi="Cambria Math" w:cstheme="majorBidi"/>
                  </w:rPr>
                  <m:t>i</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n</m:t>
                </m:r>
              </m:e>
              <m:sub>
                <m:r>
                  <w:rPr>
                    <w:rFonts w:ascii="Cambria Math" w:hAnsi="Cambria Math" w:cstheme="majorBidi"/>
                  </w:rPr>
                  <m:t>i</m:t>
                </m:r>
              </m:sub>
            </m:sSub>
          </m:e>
        </m:d>
      </m:oMath>
      <w:r w:rsidR="001B606E" w:rsidRPr="005D62E7">
        <w:rPr>
          <w:rFonts w:asciiTheme="majorBidi" w:hAnsiTheme="majorBidi" w:cstheme="majorBidi"/>
        </w:rPr>
        <w:t xml:space="preserve"> are estimated directly from the </w:t>
      </w:r>
      <w:r w:rsidR="008D4BEC" w:rsidRPr="005D62E7">
        <w:rPr>
          <w:rFonts w:asciiTheme="majorBidi" w:hAnsiTheme="majorBidi" w:cstheme="majorBidi"/>
        </w:rPr>
        <w:t>e</w:t>
      </w:r>
      <w:r w:rsidR="001B606E" w:rsidRPr="005D62E7">
        <w:rPr>
          <w:rFonts w:asciiTheme="majorBidi" w:hAnsiTheme="majorBidi" w:cstheme="majorBidi"/>
        </w:rPr>
        <w:t xml:space="preserve">mpirical cumulative distribution function of single-cell expression values </w:t>
      </w:r>
      <w:r w:rsidR="00DA2B02" w:rsidRPr="005D62E7">
        <w:rPr>
          <w:rFonts w:asciiTheme="majorBidi" w:hAnsiTheme="majorBidi" w:cstheme="majorBidi"/>
        </w:rPr>
        <w:t>using a</w:t>
      </w:r>
      <w:r w:rsidR="001B606E" w:rsidRPr="005D62E7">
        <w:rPr>
          <w:rFonts w:asciiTheme="majorBidi" w:hAnsiTheme="majorBidi" w:cstheme="majorBidi"/>
        </w:rPr>
        <w:t xml:space="preserve"> five-step procedure</w:t>
      </w:r>
      <w:r w:rsidR="00C3066D" w:rsidRPr="005D62E7">
        <w:rPr>
          <w:rFonts w:asciiTheme="majorBidi" w:hAnsiTheme="majorBidi" w:cstheme="majorBidi"/>
        </w:rPr>
        <w:t xml:space="preserve"> (see Methods)</w:t>
      </w:r>
      <w:r w:rsidR="00A34BF2" w:rsidRPr="005D62E7">
        <w:rPr>
          <w:rFonts w:asciiTheme="majorBidi" w:hAnsiTheme="majorBidi" w:cstheme="majorBidi"/>
        </w:rPr>
        <w:t xml:space="preserve">. </w:t>
      </w:r>
      <w:r w:rsidRPr="005D62E7">
        <w:rPr>
          <w:rFonts w:asciiTheme="majorBidi" w:hAnsiTheme="majorBidi" w:cstheme="majorBidi"/>
        </w:rPr>
        <w:t>Transcription rates (</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i</m:t>
            </m:r>
          </m:sub>
        </m:sSub>
        <m:r>
          <m:rPr>
            <m:sty m:val="p"/>
          </m:rPr>
          <w:rPr>
            <w:rFonts w:ascii="Cambria Math" w:hAnsi="Cambria Math" w:cstheme="majorBidi"/>
          </w:rPr>
          <m:t>=</m:t>
        </m:r>
        <m:nary>
          <m:naryPr>
            <m:chr m:val="∑"/>
            <m:limLoc m:val="undOvr"/>
            <m:supHide m:val="1"/>
            <m:ctrlPr>
              <w:rPr>
                <w:rFonts w:ascii="Cambria Math" w:hAnsi="Cambria Math" w:cstheme="majorBidi"/>
              </w:rPr>
            </m:ctrlPr>
          </m:naryPr>
          <m:sub>
            <m:r>
              <w:rPr>
                <w:rFonts w:ascii="Cambria Math" w:hAnsi="Cambria Math" w:cstheme="majorBidi"/>
              </w:rPr>
              <m:t>j</m:t>
            </m:r>
          </m:sub>
          <m:sup>
            <m:r>
              <w:rPr>
                <w:rFonts w:ascii="Cambria Math" w:hAnsi="Cambria Math" w:cstheme="majorBidi"/>
              </w:rPr>
              <m:t>​</m:t>
            </m:r>
          </m:sup>
          <m:e>
            <m:sSubSup>
              <m:sSubSupPr>
                <m:ctrlPr>
                  <w:rPr>
                    <w:rFonts w:ascii="Cambria Math" w:hAnsi="Cambria Math" w:cstheme="majorBidi"/>
                  </w:rPr>
                </m:ctrlPr>
              </m:sSubSupPr>
              <m:e>
                <m:r>
                  <w:rPr>
                    <w:rFonts w:ascii="Cambria Math" w:hAnsi="Cambria Math" w:cstheme="majorBidi"/>
                  </w:rPr>
                  <m:t>W</m:t>
                </m:r>
              </m:e>
              <m:sub>
                <m:r>
                  <w:rPr>
                    <w:rFonts w:ascii="Cambria Math" w:hAnsi="Cambria Math" w:cstheme="majorBidi"/>
                  </w:rPr>
                  <m:t>ij</m:t>
                </m:r>
              </m:sub>
              <m:sup>
                <m:r>
                  <w:rPr>
                    <w:rFonts w:ascii="Cambria Math" w:hAnsi="Cambria Math" w:cstheme="majorBidi"/>
                  </w:rPr>
                  <m:t>C</m:t>
                </m:r>
              </m:sup>
            </m:sSubSup>
          </m:e>
        </m:nary>
        <m:sSub>
          <m:sSubPr>
            <m:ctrlPr>
              <w:rPr>
                <w:rFonts w:ascii="Cambria Math" w:hAnsi="Cambria Math" w:cstheme="majorBidi"/>
              </w:rPr>
            </m:ctrlPr>
          </m:sSubPr>
          <m:e>
            <m:r>
              <w:rPr>
                <w:rFonts w:ascii="Cambria Math" w:hAnsi="Cambria Math" w:cstheme="majorBidi"/>
              </w:rPr>
              <m:t>σ</m:t>
            </m:r>
          </m:e>
          <m:sub>
            <m:r>
              <w:rPr>
                <w:rFonts w:ascii="Cambria Math" w:hAnsi="Cambria Math" w:cstheme="majorBidi"/>
              </w:rPr>
              <m:t>j</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j</m:t>
                </m:r>
              </m:sub>
            </m:sSub>
          </m:e>
        </m:d>
      </m:oMath>
      <w:r w:rsidRPr="005D62E7">
        <w:rPr>
          <w:rFonts w:asciiTheme="majorBidi" w:hAnsiTheme="majorBidi" w:cstheme="majorBidi"/>
        </w:rPr>
        <w:t>) are explicitly tied to GRN activity, ensuring that regulatory interactions directly govern transcriptional dynamics</w:t>
      </w:r>
      <w:r w:rsidR="005C3995" w:rsidRPr="005D62E7">
        <w:rPr>
          <w:rFonts w:asciiTheme="majorBidi" w:hAnsiTheme="majorBidi" w:cstheme="majorBidi"/>
        </w:rPr>
        <w:t>.</w:t>
      </w:r>
      <w:r w:rsidR="002A631C" w:rsidRPr="005D62E7">
        <w:rPr>
          <w:rFonts w:asciiTheme="majorBidi" w:hAnsiTheme="majorBidi" w:cstheme="majorBidi"/>
        </w:rPr>
        <w:t xml:space="preserve"> The RNA velocity</w:t>
      </w:r>
      <w:r w:rsidR="00F51F4A" w:rsidRPr="005D62E7">
        <w:rPr>
          <w:rFonts w:asciiTheme="majorBidi" w:hAnsiTheme="majorBidi" w:cstheme="majorBidi"/>
        </w:rPr>
        <w:t xml:space="preserve"> enters on </w:t>
      </w:r>
      <w:r w:rsidR="009C46D5" w:rsidRPr="005D62E7">
        <w:rPr>
          <w:rFonts w:asciiTheme="majorBidi" w:hAnsiTheme="majorBidi" w:cstheme="majorBidi"/>
        </w:rPr>
        <w:t xml:space="preserve">the </w:t>
      </w:r>
      <w:r w:rsidR="00F51F4A" w:rsidRPr="005D62E7">
        <w:rPr>
          <w:rFonts w:asciiTheme="majorBidi" w:hAnsiTheme="majorBidi" w:cstheme="majorBidi"/>
        </w:rPr>
        <w:t>left-hand side of the equation</w:t>
      </w:r>
      <w:r w:rsidR="00231148">
        <w:rPr>
          <w:rFonts w:asciiTheme="majorBidi" w:hAnsiTheme="majorBidi" w:cstheme="majorBidi"/>
        </w:rPr>
        <w:t>,</w:t>
      </w:r>
      <w:r w:rsidR="00F51F4A" w:rsidRPr="005D62E7">
        <w:rPr>
          <w:rFonts w:asciiTheme="majorBidi" w:hAnsiTheme="majorBidi" w:cstheme="majorBidi"/>
        </w:rPr>
        <w:t xml:space="preserve"> whereas </w:t>
      </w:r>
      <m:oMath>
        <m:sSup>
          <m:sSupPr>
            <m:ctrlPr>
              <w:rPr>
                <w:rFonts w:ascii="Cambria Math" w:hAnsi="Cambria Math" w:cstheme="majorBidi"/>
              </w:rPr>
            </m:ctrlPr>
          </m:sSupPr>
          <m:e>
            <m:r>
              <w:rPr>
                <w:rFonts w:ascii="Cambria Math" w:hAnsi="Cambria Math" w:cstheme="majorBidi"/>
              </w:rPr>
              <m:t>W</m:t>
            </m:r>
          </m:e>
          <m:sup>
            <m:r>
              <w:rPr>
                <w:rFonts w:ascii="Cambria Math" w:hAnsi="Cambria Math" w:cstheme="majorBidi"/>
              </w:rPr>
              <m:t>C</m:t>
            </m:r>
          </m:sup>
        </m:sSup>
      </m:oMath>
      <w:r w:rsidR="00282D9B" w:rsidRPr="005D62E7">
        <w:rPr>
          <w:rFonts w:asciiTheme="majorBidi" w:hAnsiTheme="majorBidi" w:cstheme="majorBidi"/>
        </w:rPr>
        <w:t xml:space="preserve"> </w:t>
      </w:r>
      <w:r w:rsidR="00231148">
        <w:rPr>
          <w:rFonts w:asciiTheme="majorBidi" w:hAnsiTheme="majorBidi" w:cstheme="majorBidi"/>
        </w:rPr>
        <w:t xml:space="preserve">it </w:t>
      </w:r>
      <w:r w:rsidR="00A24D5A" w:rsidRPr="005D62E7">
        <w:rPr>
          <w:rFonts w:asciiTheme="majorBidi" w:hAnsiTheme="majorBidi" w:cstheme="majorBidi"/>
        </w:rPr>
        <w:t xml:space="preserve">encodes </w:t>
      </w:r>
      <w:r w:rsidR="001037CF" w:rsidRPr="005D62E7">
        <w:rPr>
          <w:rFonts w:asciiTheme="majorBidi" w:hAnsiTheme="majorBidi" w:cstheme="majorBidi"/>
        </w:rPr>
        <w:t xml:space="preserve">GRN connectivity. </w:t>
      </w:r>
      <w:proofErr w:type="spellStart"/>
      <w:r w:rsidRPr="005D62E7">
        <w:rPr>
          <w:rFonts w:asciiTheme="majorBidi" w:hAnsiTheme="majorBidi" w:cstheme="majorBidi"/>
        </w:rPr>
        <w:t>scHopfield</w:t>
      </w:r>
      <w:proofErr w:type="spellEnd"/>
      <w:r w:rsidRPr="005D62E7">
        <w:rPr>
          <w:rFonts w:asciiTheme="majorBidi" w:hAnsiTheme="majorBidi" w:cstheme="majorBidi"/>
        </w:rPr>
        <w:t xml:space="preserve"> infers </w:t>
      </w:r>
      <m:oMath>
        <m:sSup>
          <m:sSupPr>
            <m:ctrlPr>
              <w:rPr>
                <w:rFonts w:ascii="Cambria Math" w:hAnsi="Cambria Math" w:cstheme="majorBidi"/>
              </w:rPr>
            </m:ctrlPr>
          </m:sSupPr>
          <m:e>
            <m:r>
              <w:rPr>
                <w:rFonts w:ascii="Cambria Math" w:hAnsi="Cambria Math" w:cstheme="majorBidi"/>
              </w:rPr>
              <m:t>W</m:t>
            </m:r>
          </m:e>
          <m:sup>
            <m:r>
              <w:rPr>
                <w:rFonts w:ascii="Cambria Math" w:hAnsi="Cambria Math" w:cstheme="majorBidi"/>
              </w:rPr>
              <m:t>C</m:t>
            </m:r>
          </m:sup>
        </m:sSup>
      </m:oMath>
      <w:r w:rsidRPr="005D62E7">
        <w:rPr>
          <w:rFonts w:asciiTheme="majorBidi" w:hAnsiTheme="majorBidi" w:cstheme="majorBidi"/>
        </w:rPr>
        <w:t xml:space="preserve"> through two modes</w:t>
      </w:r>
      <w:r w:rsidR="00D47B37" w:rsidRPr="005D62E7">
        <w:rPr>
          <w:rFonts w:asciiTheme="majorBidi" w:hAnsiTheme="majorBidi" w:cstheme="majorBidi"/>
        </w:rPr>
        <w:t>, either via</w:t>
      </w:r>
      <w:r w:rsidR="002D367B" w:rsidRPr="005D62E7">
        <w:rPr>
          <w:rFonts w:asciiTheme="majorBidi" w:hAnsiTheme="majorBidi" w:cstheme="majorBidi"/>
        </w:rPr>
        <w:t xml:space="preserve"> </w:t>
      </w:r>
      <w:r w:rsidRPr="005D62E7">
        <w:rPr>
          <w:rFonts w:asciiTheme="majorBidi" w:hAnsiTheme="majorBidi" w:cstheme="majorBidi"/>
        </w:rPr>
        <w:t xml:space="preserve">unconstrained optimization using the Moore-Penrose pseudoinverse, yielding effective interaction networks, or </w:t>
      </w:r>
      <w:r w:rsidR="00D232B8" w:rsidRPr="005D62E7">
        <w:rPr>
          <w:rFonts w:asciiTheme="majorBidi" w:hAnsiTheme="majorBidi" w:cstheme="majorBidi"/>
        </w:rPr>
        <w:t xml:space="preserve">through a </w:t>
      </w:r>
      <w:r w:rsidRPr="005D62E7">
        <w:rPr>
          <w:rFonts w:asciiTheme="majorBidi" w:hAnsiTheme="majorBidi" w:cstheme="majorBidi"/>
        </w:rPr>
        <w:t>scaffold-guided optimization, where prior regulatory relationships (e.g., from ATAC-seq or public databases) constrain the GRN via masked neural layers with elastic net regularization (</w:t>
      </w:r>
      <m:oMath>
        <m:r>
          <w:rPr>
            <w:rFonts w:ascii="Cambria Math" w:hAnsi="Cambria Math" w:cstheme="majorBidi"/>
          </w:rPr>
          <m:t>L1</m:t>
        </m:r>
        <m:r>
          <m:rPr>
            <m:sty m:val="p"/>
          </m:rPr>
          <w:rPr>
            <w:rFonts w:ascii="Cambria Math" w:hAnsi="Cambria Math" w:cstheme="majorBidi"/>
          </w:rPr>
          <m:t>/</m:t>
        </m:r>
        <m:r>
          <w:rPr>
            <w:rFonts w:ascii="Cambria Math" w:hAnsi="Cambria Math" w:cstheme="majorBidi"/>
          </w:rPr>
          <m:t>L2</m:t>
        </m:r>
      </m:oMath>
      <w:r w:rsidRPr="005D62E7">
        <w:rPr>
          <w:rFonts w:asciiTheme="majorBidi" w:hAnsiTheme="majorBidi" w:cstheme="majorBidi"/>
        </w:rPr>
        <w:t xml:space="preserve">) applied to non-scaffold weights to balance sparsity </w:t>
      </w:r>
      <w:r w:rsidRPr="005D62E7">
        <w:rPr>
          <w:rFonts w:asciiTheme="majorBidi" w:hAnsiTheme="majorBidi" w:cstheme="majorBidi"/>
        </w:rPr>
        <w:lastRenderedPageBreak/>
        <w:t>and connectivity. The model jointly estimates degradation rates (</w:t>
      </w:r>
      <m:oMath>
        <m:sSub>
          <m:sSubPr>
            <m:ctrlPr>
              <w:rPr>
                <w:rFonts w:ascii="Cambria Math" w:hAnsi="Cambria Math" w:cstheme="majorBidi"/>
              </w:rPr>
            </m:ctrlPr>
          </m:sSubPr>
          <m:e>
            <m:r>
              <w:rPr>
                <w:rFonts w:ascii="Cambria Math" w:hAnsi="Cambria Math" w:cstheme="majorBidi"/>
              </w:rPr>
              <m:t>γ</m:t>
            </m:r>
          </m:e>
          <m:sub>
            <m:r>
              <w:rPr>
                <w:rFonts w:ascii="Cambria Math" w:hAnsi="Cambria Math" w:cstheme="majorBidi"/>
              </w:rPr>
              <m:t>i</m:t>
            </m:r>
          </m:sub>
        </m:sSub>
      </m:oMath>
      <w:r w:rsidRPr="005D62E7">
        <w:rPr>
          <w:rFonts w:asciiTheme="majorBidi" w:hAnsiTheme="majorBidi" w:cstheme="majorBidi"/>
        </w:rPr>
        <w:t>) and bias terms (</w:t>
      </w:r>
      <m:oMath>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i</m:t>
            </m:r>
          </m:sub>
        </m:sSub>
      </m:oMath>
      <w:r w:rsidRPr="005D62E7">
        <w:rPr>
          <w:rFonts w:asciiTheme="majorBidi" w:hAnsiTheme="majorBidi" w:cstheme="majorBidi"/>
        </w:rPr>
        <w:t>) if not provided, enabling end-to-end training via gradient-based optimization</w:t>
      </w:r>
      <w:r w:rsidR="003566B8" w:rsidRPr="005D62E7">
        <w:rPr>
          <w:rFonts w:asciiTheme="majorBidi" w:hAnsiTheme="majorBidi" w:cstheme="majorBidi"/>
        </w:rPr>
        <w:t xml:space="preserve">. </w:t>
      </w:r>
      <w:r w:rsidR="00FC050A" w:rsidRPr="005D62E7">
        <w:rPr>
          <w:rFonts w:asciiTheme="majorBidi" w:hAnsiTheme="majorBidi" w:cstheme="majorBidi"/>
        </w:rPr>
        <w:t xml:space="preserve">The loss function </w:t>
      </w:r>
      <w:r w:rsidR="00543040" w:rsidRPr="005D62E7">
        <w:rPr>
          <w:rFonts w:asciiTheme="majorBidi" w:hAnsiTheme="majorBidi" w:cstheme="majorBidi"/>
        </w:rPr>
        <w:t>includes</w:t>
      </w:r>
      <w:r w:rsidR="00271F9D" w:rsidRPr="005D62E7">
        <w:rPr>
          <w:rFonts w:asciiTheme="majorBidi" w:hAnsiTheme="majorBidi" w:cstheme="majorBidi"/>
        </w:rPr>
        <w:t xml:space="preserve"> a reconstruction </w:t>
      </w:r>
      <w:r w:rsidR="00524942" w:rsidRPr="005D62E7">
        <w:rPr>
          <w:rFonts w:asciiTheme="majorBidi" w:hAnsiTheme="majorBidi" w:cstheme="majorBidi"/>
        </w:rPr>
        <w:t xml:space="preserve">term </w:t>
      </w:r>
      <w:r w:rsidR="00533E2C" w:rsidRPr="005D62E7">
        <w:rPr>
          <w:rFonts w:asciiTheme="majorBidi" w:hAnsiTheme="majorBidi" w:cstheme="majorBidi"/>
        </w:rPr>
        <w:t>for RNA velocity</w:t>
      </w:r>
      <w:r w:rsidR="00F65D69" w:rsidRPr="005D62E7">
        <w:rPr>
          <w:rFonts w:asciiTheme="majorBidi" w:hAnsiTheme="majorBidi" w:cstheme="majorBidi"/>
        </w:rPr>
        <w:t xml:space="preserve"> </w:t>
      </w:r>
      <w:r w:rsidR="00543040" w:rsidRPr="005D62E7">
        <w:rPr>
          <w:rFonts w:asciiTheme="majorBidi" w:hAnsiTheme="majorBidi" w:cstheme="majorBidi"/>
        </w:rPr>
        <w:t xml:space="preserve">and </w:t>
      </w:r>
      <w:r w:rsidR="00F65D69" w:rsidRPr="005D62E7">
        <w:rPr>
          <w:rFonts w:asciiTheme="majorBidi" w:hAnsiTheme="majorBidi" w:cstheme="majorBidi"/>
        </w:rPr>
        <w:t xml:space="preserve">a </w:t>
      </w:r>
      <w:r w:rsidR="00EF2D13" w:rsidRPr="005D62E7">
        <w:rPr>
          <w:rFonts w:asciiTheme="majorBidi" w:hAnsiTheme="majorBidi" w:cstheme="majorBidi"/>
        </w:rPr>
        <w:t xml:space="preserve">scaffold </w:t>
      </w:r>
      <w:r w:rsidR="00044424" w:rsidRPr="005D62E7">
        <w:rPr>
          <w:rFonts w:asciiTheme="majorBidi" w:hAnsiTheme="majorBidi" w:cstheme="majorBidi"/>
        </w:rPr>
        <w:t>loss</w:t>
      </w:r>
      <w:r w:rsidR="007D728E" w:rsidRPr="005D62E7">
        <w:rPr>
          <w:rFonts w:asciiTheme="majorBidi" w:hAnsiTheme="majorBidi" w:cstheme="majorBidi"/>
        </w:rPr>
        <w:t xml:space="preserve"> </w:t>
      </w:r>
      <w:r w:rsidR="00543040" w:rsidRPr="005D62E7">
        <w:rPr>
          <w:rFonts w:asciiTheme="majorBidi" w:hAnsiTheme="majorBidi" w:cstheme="majorBidi"/>
        </w:rPr>
        <w:t>term that controls</w:t>
      </w:r>
      <w:r w:rsidR="007D728E" w:rsidRPr="005D62E7">
        <w:rPr>
          <w:rFonts w:asciiTheme="majorBidi" w:hAnsiTheme="majorBidi" w:cstheme="majorBidi"/>
        </w:rPr>
        <w:t xml:space="preserve"> the </w:t>
      </w:r>
      <w:r w:rsidR="00AD2A8F" w:rsidRPr="005D62E7">
        <w:rPr>
          <w:rFonts w:asciiTheme="majorBidi" w:hAnsiTheme="majorBidi" w:cstheme="majorBidi"/>
        </w:rPr>
        <w:t xml:space="preserve">amount of additional </w:t>
      </w:r>
      <w:r w:rsidR="005C3C9D" w:rsidRPr="005D62E7">
        <w:rPr>
          <w:rFonts w:asciiTheme="majorBidi" w:hAnsiTheme="majorBidi" w:cstheme="majorBidi"/>
        </w:rPr>
        <w:t xml:space="preserve">modification </w:t>
      </w:r>
      <w:r w:rsidR="00CB386D" w:rsidRPr="005D62E7">
        <w:rPr>
          <w:rFonts w:asciiTheme="majorBidi" w:hAnsiTheme="majorBidi" w:cstheme="majorBidi"/>
        </w:rPr>
        <w:t xml:space="preserve">beyond the prior knowledge </w:t>
      </w:r>
      <w:r w:rsidR="00543040" w:rsidRPr="005D62E7">
        <w:rPr>
          <w:rFonts w:asciiTheme="majorBidi" w:hAnsiTheme="majorBidi" w:cstheme="majorBidi"/>
        </w:rPr>
        <w:t>required</w:t>
      </w:r>
      <w:r w:rsidR="005C3C9D" w:rsidRPr="005D62E7">
        <w:rPr>
          <w:rFonts w:asciiTheme="majorBidi" w:hAnsiTheme="majorBidi" w:cstheme="majorBidi"/>
        </w:rPr>
        <w:t xml:space="preserve"> for a given </w:t>
      </w:r>
      <w:r w:rsidR="00543040" w:rsidRPr="005D62E7">
        <w:rPr>
          <w:rFonts w:asciiTheme="majorBidi" w:hAnsiTheme="majorBidi" w:cstheme="majorBidi"/>
        </w:rPr>
        <w:t>dataset</w:t>
      </w:r>
      <w:r w:rsidR="005C3C9D" w:rsidRPr="005D62E7">
        <w:rPr>
          <w:rFonts w:asciiTheme="majorBidi" w:hAnsiTheme="majorBidi" w:cstheme="majorBidi"/>
        </w:rPr>
        <w:t xml:space="preserve">. </w:t>
      </w:r>
      <w:r w:rsidR="00CE1D3F" w:rsidRPr="005D62E7">
        <w:rPr>
          <w:rFonts w:asciiTheme="majorBidi" w:hAnsiTheme="majorBidi" w:cstheme="majorBidi"/>
        </w:rPr>
        <w:t>Lastly,</w:t>
      </w:r>
      <w:r w:rsidR="00BF791C" w:rsidRPr="005D62E7">
        <w:rPr>
          <w:rFonts w:asciiTheme="majorBidi" w:hAnsiTheme="majorBidi" w:cstheme="majorBidi"/>
        </w:rPr>
        <w:t xml:space="preserve"> </w:t>
      </w:r>
      <w:r w:rsidR="00CE7564">
        <w:rPr>
          <w:rFonts w:asciiTheme="majorBidi" w:hAnsiTheme="majorBidi" w:cstheme="majorBidi"/>
        </w:rPr>
        <w:t>the</w:t>
      </w:r>
      <w:r w:rsidR="00BF791C" w:rsidRPr="005D62E7">
        <w:rPr>
          <w:rFonts w:asciiTheme="majorBidi" w:hAnsiTheme="majorBidi" w:cstheme="majorBidi"/>
        </w:rPr>
        <w:t xml:space="preserve"> bias term </w:t>
      </w:r>
      <w:r w:rsidR="001A0269" w:rsidRPr="005D62E7">
        <w:rPr>
          <w:rFonts w:asciiTheme="majorBidi" w:hAnsiTheme="majorBidi" w:cstheme="majorBidi"/>
        </w:rPr>
        <w:t>governs</w:t>
      </w:r>
      <w:r w:rsidR="00C058D5" w:rsidRPr="005D62E7">
        <w:rPr>
          <w:rFonts w:asciiTheme="majorBidi" w:hAnsiTheme="majorBidi" w:cstheme="majorBidi"/>
        </w:rPr>
        <w:t xml:space="preserve"> </w:t>
      </w:r>
      <w:r w:rsidR="00CE7564">
        <w:rPr>
          <w:rFonts w:asciiTheme="majorBidi" w:hAnsiTheme="majorBidi" w:cstheme="majorBidi"/>
        </w:rPr>
        <w:t>its</w:t>
      </w:r>
      <w:r w:rsidR="00537BA2" w:rsidRPr="005D62E7">
        <w:rPr>
          <w:rFonts w:asciiTheme="majorBidi" w:hAnsiTheme="majorBidi" w:cstheme="majorBidi"/>
        </w:rPr>
        <w:t xml:space="preserve"> </w:t>
      </w:r>
      <w:r w:rsidR="00CE7564">
        <w:rPr>
          <w:rFonts w:asciiTheme="majorBidi" w:hAnsiTheme="majorBidi" w:cstheme="majorBidi"/>
        </w:rPr>
        <w:t>own</w:t>
      </w:r>
      <w:r w:rsidR="00537BA2" w:rsidRPr="005D62E7">
        <w:rPr>
          <w:rFonts w:asciiTheme="majorBidi" w:hAnsiTheme="majorBidi" w:cstheme="majorBidi"/>
        </w:rPr>
        <w:t xml:space="preserve"> </w:t>
      </w:r>
      <w:r w:rsidR="00CE7564">
        <w:rPr>
          <w:rFonts w:asciiTheme="majorBidi" w:hAnsiTheme="majorBidi" w:cstheme="majorBidi"/>
        </w:rPr>
        <w:t>size</w:t>
      </w:r>
      <w:r w:rsidR="00E2626D" w:rsidRPr="005D62E7">
        <w:rPr>
          <w:rFonts w:asciiTheme="majorBidi" w:hAnsiTheme="majorBidi" w:cstheme="majorBidi"/>
        </w:rPr>
        <w:t xml:space="preserve">. </w:t>
      </w:r>
      <w:r w:rsidR="00012A93" w:rsidRPr="005D62E7">
        <w:rPr>
          <w:rFonts w:asciiTheme="majorBidi" w:hAnsiTheme="majorBidi" w:cstheme="majorBidi"/>
        </w:rPr>
        <w:t xml:space="preserve">When learning the parameters </w:t>
      </w:r>
      <w:r w:rsidR="00B71C4A" w:rsidRPr="005D62E7">
        <w:rPr>
          <w:rFonts w:asciiTheme="majorBidi" w:hAnsiTheme="majorBidi" w:cstheme="majorBidi"/>
        </w:rPr>
        <w:t>of the</w:t>
      </w:r>
      <w:r w:rsidR="0033398C" w:rsidRPr="005D62E7">
        <w:rPr>
          <w:rFonts w:asciiTheme="majorBidi" w:hAnsiTheme="majorBidi" w:cstheme="majorBidi"/>
        </w:rPr>
        <w:t xml:space="preserve"> </w:t>
      </w:r>
      <w:proofErr w:type="spellStart"/>
      <w:r w:rsidR="00C84364" w:rsidRPr="005D62E7">
        <w:rPr>
          <w:rFonts w:asciiTheme="majorBidi" w:hAnsiTheme="majorBidi" w:cstheme="majorBidi"/>
        </w:rPr>
        <w:t>scHopfield</w:t>
      </w:r>
      <w:proofErr w:type="spellEnd"/>
      <w:r w:rsidR="00C84364" w:rsidRPr="005D62E7">
        <w:rPr>
          <w:rFonts w:asciiTheme="majorBidi" w:hAnsiTheme="majorBidi" w:cstheme="majorBidi"/>
        </w:rPr>
        <w:t xml:space="preserve"> model </w:t>
      </w:r>
      <w:r w:rsidR="00D97CCD" w:rsidRPr="005D62E7">
        <w:rPr>
          <w:rFonts w:asciiTheme="majorBidi" w:hAnsiTheme="majorBidi" w:cstheme="majorBidi"/>
        </w:rPr>
        <w:t>from data</w:t>
      </w:r>
      <w:r w:rsidR="00B71C4A" w:rsidRPr="005D62E7">
        <w:rPr>
          <w:rFonts w:asciiTheme="majorBidi" w:hAnsiTheme="majorBidi" w:cstheme="majorBidi"/>
        </w:rPr>
        <w:t>,</w:t>
      </w:r>
      <w:r w:rsidR="00D97CCD" w:rsidRPr="005D62E7">
        <w:rPr>
          <w:rFonts w:asciiTheme="majorBidi" w:hAnsiTheme="majorBidi" w:cstheme="majorBidi"/>
        </w:rPr>
        <w:t xml:space="preserve"> </w:t>
      </w:r>
      <w:r w:rsidR="00B71C4A" w:rsidRPr="005D62E7">
        <w:rPr>
          <w:rFonts w:asciiTheme="majorBidi" w:hAnsiTheme="majorBidi" w:cstheme="majorBidi"/>
        </w:rPr>
        <w:t>this</w:t>
      </w:r>
      <w:r w:rsidR="00F41E2B" w:rsidRPr="005D62E7">
        <w:rPr>
          <w:rFonts w:asciiTheme="majorBidi" w:hAnsiTheme="majorBidi" w:cstheme="majorBidi"/>
        </w:rPr>
        <w:t xml:space="preserve"> yields </w:t>
      </w:r>
      <w:r w:rsidR="00A77DCD" w:rsidRPr="005D62E7">
        <w:rPr>
          <w:rFonts w:asciiTheme="majorBidi" w:eastAsia="Times New Roman" w:hAnsiTheme="majorBidi" w:cstheme="majorBidi"/>
          <w:color w:val="000000" w:themeColor="text1"/>
          <w:lang w:val="en-SA"/>
        </w:rPr>
        <w:t>a continuous</w:t>
      </w:r>
      <w:r w:rsidR="00B71C4A" w:rsidRPr="005D62E7">
        <w:rPr>
          <w:rFonts w:asciiTheme="majorBidi" w:eastAsia="Times New Roman" w:hAnsiTheme="majorBidi" w:cstheme="majorBidi"/>
          <w:color w:val="000000" w:themeColor="text1"/>
          <w:lang w:val="en-SA"/>
        </w:rPr>
        <w:t>,</w:t>
      </w:r>
      <w:r w:rsidR="00A77DCD" w:rsidRPr="005D62E7">
        <w:rPr>
          <w:rFonts w:asciiTheme="majorBidi" w:eastAsia="Times New Roman" w:hAnsiTheme="majorBidi" w:cstheme="majorBidi"/>
          <w:color w:val="000000" w:themeColor="text1"/>
          <w:lang w:val="en-SA"/>
        </w:rPr>
        <w:t xml:space="preserve"> </w:t>
      </w:r>
      <w:r w:rsidR="006A08CF" w:rsidRPr="005D62E7">
        <w:rPr>
          <w:rFonts w:asciiTheme="majorBidi" w:eastAsia="Times New Roman" w:hAnsiTheme="majorBidi" w:cstheme="majorBidi"/>
          <w:color w:val="000000" w:themeColor="text1"/>
          <w:lang w:val="en-SA"/>
        </w:rPr>
        <w:t>differenti</w:t>
      </w:r>
      <w:r w:rsidR="00325580" w:rsidRPr="005D62E7">
        <w:rPr>
          <w:rFonts w:asciiTheme="majorBidi" w:eastAsia="Times New Roman" w:hAnsiTheme="majorBidi" w:cstheme="majorBidi"/>
          <w:color w:val="000000" w:themeColor="text1"/>
          <w:lang w:val="en-SA"/>
        </w:rPr>
        <w:t xml:space="preserve">able </w:t>
      </w:r>
      <w:r w:rsidR="00A77DCD" w:rsidRPr="005D62E7">
        <w:rPr>
          <w:rFonts w:asciiTheme="majorBidi" w:eastAsia="Times New Roman" w:hAnsiTheme="majorBidi" w:cstheme="majorBidi"/>
          <w:color w:val="000000" w:themeColor="text1"/>
          <w:lang w:val="en-SA"/>
        </w:rPr>
        <w:t>neural network architecture grounded in biophysical Hopfield dynamics and interpretable Hill kinetics.</w:t>
      </w:r>
      <w:r w:rsidR="00FA0B30" w:rsidRPr="005D62E7">
        <w:rPr>
          <w:rFonts w:asciiTheme="majorBidi" w:eastAsia="Times New Roman" w:hAnsiTheme="majorBidi" w:cstheme="majorBidi"/>
          <w:color w:val="000000" w:themeColor="text1"/>
          <w:lang w:val="en-SA"/>
        </w:rPr>
        <w:t xml:space="preserve"> </w:t>
      </w:r>
      <w:r w:rsidR="004C5E27" w:rsidRPr="005D62E7">
        <w:rPr>
          <w:rFonts w:asciiTheme="majorBidi" w:hAnsiTheme="majorBidi" w:cstheme="majorBidi"/>
        </w:rPr>
        <w:tab/>
      </w:r>
      <w:r w:rsidR="004C5E27" w:rsidRPr="005D62E7">
        <w:rPr>
          <w:rFonts w:asciiTheme="majorBidi" w:hAnsiTheme="majorBidi" w:cstheme="majorBidi"/>
        </w:rPr>
        <w:tab/>
      </w:r>
      <w:r w:rsidR="00CE7564">
        <w:rPr>
          <w:rFonts w:asciiTheme="majorBidi" w:hAnsiTheme="majorBidi" w:cstheme="majorBidi"/>
        </w:rPr>
        <w:tab/>
      </w:r>
      <w:r w:rsidR="004C5E27" w:rsidRPr="005D62E7">
        <w:rPr>
          <w:rFonts w:asciiTheme="majorBidi" w:hAnsiTheme="majorBidi" w:cstheme="majorBidi"/>
        </w:rPr>
        <w:tab/>
      </w:r>
      <w:r w:rsidR="004C5E27" w:rsidRPr="005D62E7">
        <w:rPr>
          <w:rFonts w:asciiTheme="majorBidi" w:hAnsiTheme="majorBidi" w:cstheme="majorBidi"/>
        </w:rPr>
        <w:tab/>
      </w:r>
      <w:r w:rsidR="00163507" w:rsidRPr="005D62E7">
        <w:rPr>
          <w:rFonts w:asciiTheme="majorBidi" w:hAnsiTheme="majorBidi" w:cstheme="majorBidi"/>
        </w:rPr>
        <w:t xml:space="preserve">Unlike low-dimensional latent dynamical models, </w:t>
      </w:r>
      <w:proofErr w:type="spellStart"/>
      <w:r w:rsidR="00163507" w:rsidRPr="005D62E7">
        <w:rPr>
          <w:rFonts w:asciiTheme="majorBidi" w:hAnsiTheme="majorBidi" w:cstheme="majorBidi"/>
        </w:rPr>
        <w:t>scHopfield</w:t>
      </w:r>
      <w:proofErr w:type="spellEnd"/>
      <w:r w:rsidR="00163507" w:rsidRPr="005D62E7">
        <w:rPr>
          <w:rFonts w:asciiTheme="majorBidi" w:hAnsiTheme="majorBidi" w:cstheme="majorBidi"/>
        </w:rPr>
        <w:t xml:space="preserve"> directly links transcriptional dynamics to interpretable regulatory interactions. This formulation naturally yields an energy function</w:t>
      </w:r>
      <w:r w:rsidR="00F33E1A">
        <w:rPr>
          <w:rFonts w:asciiTheme="majorBidi" w:hAnsiTheme="majorBidi" w:cstheme="majorBidi"/>
        </w:rPr>
        <w:t>,</w:t>
      </w:r>
      <w:r w:rsidR="00163507" w:rsidRPr="005D62E7">
        <w:rPr>
          <w:rFonts w:asciiTheme="majorBidi" w:hAnsiTheme="majorBidi" w:cstheme="majorBidi"/>
        </w:rPr>
        <w:t xml:space="preserve"> </w:t>
      </w:r>
      <w:r w:rsidR="00F33E1A">
        <w:rPr>
          <w:rFonts w:asciiTheme="majorBidi" w:hAnsiTheme="majorBidi" w:cstheme="majorBidi"/>
        </w:rPr>
        <w:t>along</w:t>
      </w:r>
      <w:r w:rsidR="00163507" w:rsidRPr="005D62E7">
        <w:rPr>
          <w:rFonts w:asciiTheme="majorBidi" w:hAnsiTheme="majorBidi" w:cstheme="majorBidi"/>
        </w:rPr>
        <w:t xml:space="preserve"> with Jacobian-derived measures of local stability, divergence, and rotational dynamics, enabling mechanistic analysis of cellular state transitions and </w:t>
      </w:r>
      <w:r w:rsidR="00F33E1A">
        <w:rPr>
          <w:rFonts w:asciiTheme="majorBidi" w:hAnsiTheme="majorBidi" w:cstheme="majorBidi"/>
        </w:rPr>
        <w:t xml:space="preserve">the </w:t>
      </w:r>
      <w:r w:rsidR="00163507" w:rsidRPr="005D62E7">
        <w:rPr>
          <w:rFonts w:asciiTheme="majorBidi" w:hAnsiTheme="majorBidi" w:cstheme="majorBidi"/>
        </w:rPr>
        <w:t xml:space="preserve">reconstruction of Waddington-like landscapes. By combining dynamical systems learning with interpretable GRN inference, </w:t>
      </w:r>
      <w:proofErr w:type="spellStart"/>
      <w:r w:rsidR="00163507" w:rsidRPr="005D62E7">
        <w:rPr>
          <w:rFonts w:asciiTheme="majorBidi" w:hAnsiTheme="majorBidi" w:cstheme="majorBidi"/>
        </w:rPr>
        <w:t>scHopfield</w:t>
      </w:r>
      <w:proofErr w:type="spellEnd"/>
      <w:r w:rsidR="00163507" w:rsidRPr="005D62E7">
        <w:rPr>
          <w:rFonts w:asciiTheme="majorBidi" w:hAnsiTheme="majorBidi" w:cstheme="majorBidi"/>
        </w:rPr>
        <w:t xml:space="preserve"> provides a unified framework for studying cellular stability, differentiation, and perturbational responses.</w:t>
      </w:r>
    </w:p>
    <w:p w14:paraId="0BD07A5D" w14:textId="742894BE" w:rsidR="009A4B58" w:rsidRPr="005D62E7" w:rsidRDefault="009A4B58" w:rsidP="005D62E7">
      <w:pPr>
        <w:pStyle w:val="FirstParagraph"/>
        <w:spacing w:line="360" w:lineRule="auto"/>
        <w:rPr>
          <w:rFonts w:asciiTheme="majorBidi" w:eastAsia="Times New Roman" w:hAnsiTheme="majorBidi" w:cstheme="majorBidi"/>
          <w:color w:val="000000" w:themeColor="text1"/>
        </w:rPr>
      </w:pPr>
    </w:p>
    <w:p w14:paraId="762FE678" w14:textId="77777777" w:rsidR="00F8544B" w:rsidRPr="005D62E7" w:rsidRDefault="00F8544B" w:rsidP="005D62E7">
      <w:pPr>
        <w:pStyle w:val="Heading2"/>
        <w:spacing w:line="360" w:lineRule="auto"/>
        <w:rPr>
          <w:rFonts w:asciiTheme="majorBidi" w:hAnsiTheme="majorBidi"/>
          <w:b/>
          <w:bCs/>
          <w:sz w:val="24"/>
          <w:szCs w:val="24"/>
        </w:rPr>
      </w:pPr>
      <w:bookmarkStart w:id="2" w:name="X4b4701bf8e539925bd903afaa43adcd77b0b805"/>
      <w:r w:rsidRPr="005D62E7">
        <w:rPr>
          <w:rFonts w:asciiTheme="majorBidi" w:hAnsiTheme="majorBidi"/>
          <w:b/>
          <w:bCs/>
          <w:sz w:val="24"/>
          <w:szCs w:val="24"/>
        </w:rPr>
        <w:t>Validation of dynamical fidelity and benchmarking against existing methods</w:t>
      </w:r>
    </w:p>
    <w:p w14:paraId="71F2D1EE" w14:textId="1D4E0FCB" w:rsidR="00F8544B" w:rsidRPr="005D62E7" w:rsidRDefault="00F8544B" w:rsidP="004A77EE">
      <w:pPr>
        <w:pStyle w:val="FirstParagraph"/>
        <w:spacing w:line="360" w:lineRule="auto"/>
        <w:rPr>
          <w:rFonts w:asciiTheme="majorBidi" w:hAnsiTheme="majorBidi" w:cstheme="majorBidi"/>
        </w:rPr>
      </w:pPr>
      <w:r w:rsidRPr="005D62E7">
        <w:rPr>
          <w:rFonts w:asciiTheme="majorBidi" w:hAnsiTheme="majorBidi" w:cstheme="majorBidi"/>
        </w:rPr>
        <w:t xml:space="preserve">To validate whether the </w:t>
      </w:r>
      <w:proofErr w:type="spellStart"/>
      <w:r w:rsidRPr="005D62E7">
        <w:rPr>
          <w:rFonts w:asciiTheme="majorBidi" w:hAnsiTheme="majorBidi" w:cstheme="majorBidi"/>
        </w:rPr>
        <w:t>scHopfield</w:t>
      </w:r>
      <w:proofErr w:type="spellEnd"/>
      <w:r w:rsidRPr="005D62E7">
        <w:rPr>
          <w:rFonts w:asciiTheme="majorBidi" w:hAnsiTheme="majorBidi" w:cstheme="majorBidi"/>
        </w:rPr>
        <w:t xml:space="preserve"> formulation reproduces canonical regulatory dynamics, we first analyzed two archetypal gene circuits: a bistable two-gene mutual inhibition switch and a cyclic three-gene oscillatory </w:t>
      </w:r>
      <w:proofErr w:type="spellStart"/>
      <w:r w:rsidRPr="005D62E7">
        <w:rPr>
          <w:rFonts w:asciiTheme="majorBidi" w:hAnsiTheme="majorBidi" w:cstheme="majorBidi"/>
        </w:rPr>
        <w:t>repressilator</w:t>
      </w:r>
      <w:proofErr w:type="spellEnd"/>
      <w:r w:rsidRPr="005D62E7">
        <w:rPr>
          <w:rFonts w:asciiTheme="majorBidi" w:hAnsiTheme="majorBidi" w:cstheme="majorBidi"/>
        </w:rPr>
        <w:t>-like circuit. These motifs represent fundamental regulatory primitives underlying cell-fate commitment and oscillatory cellular programs. Reformulating these systems within the Hopfield formalism naturally maps regulatory interactions onto an energy-landscape interpretation in which stable cellular states emerge as attractors.</w:t>
      </w:r>
      <w:r w:rsidR="00F33E1A">
        <w:rPr>
          <w:rFonts w:asciiTheme="majorBidi" w:hAnsiTheme="majorBidi" w:cstheme="majorBidi"/>
        </w:rPr>
        <w:tab/>
      </w:r>
      <w:r w:rsidR="00F33E1A">
        <w:rPr>
          <w:rFonts w:asciiTheme="majorBidi" w:hAnsiTheme="majorBidi" w:cstheme="majorBidi"/>
        </w:rPr>
        <w:tab/>
      </w:r>
      <w:r w:rsidR="00F33E1A">
        <w:rPr>
          <w:rFonts w:asciiTheme="majorBidi" w:hAnsiTheme="majorBidi" w:cstheme="majorBidi"/>
        </w:rPr>
        <w:tab/>
      </w:r>
      <w:r w:rsidR="00F33E1A">
        <w:rPr>
          <w:rFonts w:asciiTheme="majorBidi" w:hAnsiTheme="majorBidi" w:cstheme="majorBidi"/>
        </w:rPr>
        <w:tab/>
      </w:r>
      <w:r w:rsidR="00F33E1A">
        <w:rPr>
          <w:rFonts w:asciiTheme="majorBidi" w:hAnsiTheme="majorBidi" w:cstheme="majorBidi"/>
        </w:rPr>
        <w:tab/>
      </w:r>
      <w:r w:rsidR="00F33E1A">
        <w:rPr>
          <w:rFonts w:asciiTheme="majorBidi" w:hAnsiTheme="majorBidi" w:cstheme="majorBidi"/>
        </w:rPr>
        <w:tab/>
      </w:r>
      <w:r w:rsidR="00F33E1A">
        <w:rPr>
          <w:rFonts w:asciiTheme="majorBidi" w:hAnsiTheme="majorBidi" w:cstheme="majorBidi"/>
        </w:rPr>
        <w:tab/>
      </w:r>
      <w:r w:rsidR="00F33E1A">
        <w:rPr>
          <w:rFonts w:asciiTheme="majorBidi" w:hAnsiTheme="majorBidi" w:cstheme="majorBidi"/>
        </w:rPr>
        <w:tab/>
      </w:r>
      <w:r w:rsidR="00F33E1A">
        <w:rPr>
          <w:rFonts w:asciiTheme="majorBidi" w:hAnsiTheme="majorBidi" w:cstheme="majorBidi"/>
        </w:rPr>
        <w:tab/>
      </w:r>
      <w:r w:rsidR="00F33E1A">
        <w:rPr>
          <w:rFonts w:asciiTheme="majorBidi" w:hAnsiTheme="majorBidi" w:cstheme="majorBidi"/>
        </w:rPr>
        <w:tab/>
      </w:r>
      <w:r w:rsidR="00F33E1A">
        <w:rPr>
          <w:rFonts w:asciiTheme="majorBidi" w:hAnsiTheme="majorBidi" w:cstheme="majorBidi"/>
        </w:rPr>
        <w:tab/>
      </w:r>
      <w:r w:rsidR="00F33E1A">
        <w:rPr>
          <w:rFonts w:asciiTheme="majorBidi" w:hAnsiTheme="majorBidi" w:cstheme="majorBidi"/>
        </w:rPr>
        <w:tab/>
      </w:r>
      <w:r w:rsidR="00F33E1A">
        <w:rPr>
          <w:rFonts w:asciiTheme="majorBidi" w:hAnsiTheme="majorBidi" w:cstheme="majorBidi"/>
        </w:rPr>
        <w:tab/>
      </w:r>
      <w:r w:rsidRPr="005D62E7">
        <w:rPr>
          <w:rFonts w:asciiTheme="majorBidi" w:hAnsiTheme="majorBidi" w:cstheme="majorBidi"/>
        </w:rPr>
        <w:t xml:space="preserve">In the bistable toggle-switch system, increasing inhibitory coupling </w:t>
      </w:r>
      <w:r w:rsidR="00F33E1A">
        <w:rPr>
          <w:rFonts w:asciiTheme="majorBidi" w:hAnsiTheme="majorBidi" w:cstheme="majorBidi"/>
        </w:rPr>
        <w:t>induc</w:t>
      </w:r>
      <w:r w:rsidRPr="005D62E7">
        <w:rPr>
          <w:rFonts w:asciiTheme="majorBidi" w:hAnsiTheme="majorBidi" w:cstheme="majorBidi"/>
        </w:rPr>
        <w:t xml:space="preserve">ed a bifurcation from a monostable regime to two alternative stable equilibria, reproducing the expected transition between progenitor-like and differentiated cellular states. The inferred energy landscape exhibited distinct minima corresponding to alternative attractor states. In the oscillatory three-gene circuit, </w:t>
      </w:r>
      <w:proofErr w:type="spellStart"/>
      <w:r w:rsidRPr="005D62E7">
        <w:rPr>
          <w:rFonts w:asciiTheme="majorBidi" w:hAnsiTheme="majorBidi" w:cstheme="majorBidi"/>
        </w:rPr>
        <w:t>scHopfield</w:t>
      </w:r>
      <w:proofErr w:type="spellEnd"/>
      <w:r w:rsidRPr="005D62E7">
        <w:rPr>
          <w:rFonts w:asciiTheme="majorBidi" w:hAnsiTheme="majorBidi" w:cstheme="majorBidi"/>
        </w:rPr>
        <w:t xml:space="preserve"> reproduced sustained oscillations and limit-cycle dynamics, demonstrating that the framework captures both equilibrium and non-equilibrium behaviors. These oscillatory dynamics emerged from antisymmetric components of the </w:t>
      </w:r>
      <w:r w:rsidRPr="005D62E7">
        <w:rPr>
          <w:rFonts w:asciiTheme="majorBidi" w:hAnsiTheme="majorBidi" w:cstheme="majorBidi"/>
        </w:rPr>
        <w:lastRenderedPageBreak/>
        <w:t>interaction matrix, which generate circulation-like dynamics around the energy landscape rather than simple gradient descent toward fixed minima.</w:t>
      </w:r>
      <w:r w:rsidR="004A77EE">
        <w:rPr>
          <w:rFonts w:asciiTheme="majorBidi" w:hAnsiTheme="majorBidi" w:cstheme="majorBidi"/>
        </w:rPr>
        <w:tab/>
      </w:r>
      <w:r w:rsidR="004A77EE">
        <w:rPr>
          <w:rFonts w:asciiTheme="majorBidi" w:hAnsiTheme="majorBidi" w:cstheme="majorBidi"/>
        </w:rPr>
        <w:tab/>
      </w:r>
      <w:r w:rsidR="004A77EE">
        <w:rPr>
          <w:rFonts w:asciiTheme="majorBidi" w:hAnsiTheme="majorBidi" w:cstheme="majorBidi"/>
        </w:rPr>
        <w:tab/>
      </w:r>
      <w:r w:rsidR="004A77EE">
        <w:rPr>
          <w:rFonts w:asciiTheme="majorBidi" w:hAnsiTheme="majorBidi" w:cstheme="majorBidi"/>
        </w:rPr>
        <w:tab/>
      </w:r>
      <w:r w:rsidR="004A77EE">
        <w:rPr>
          <w:rFonts w:asciiTheme="majorBidi" w:hAnsiTheme="majorBidi" w:cstheme="majorBidi"/>
        </w:rPr>
        <w:tab/>
      </w:r>
      <w:r w:rsidR="004A77EE">
        <w:rPr>
          <w:rFonts w:asciiTheme="majorBidi" w:hAnsiTheme="majorBidi" w:cstheme="majorBidi"/>
        </w:rPr>
        <w:tab/>
      </w:r>
      <w:r w:rsidR="004A77EE">
        <w:rPr>
          <w:rFonts w:asciiTheme="majorBidi" w:hAnsiTheme="majorBidi" w:cstheme="majorBidi"/>
        </w:rPr>
        <w:tab/>
      </w:r>
      <w:r w:rsidRPr="005D62E7">
        <w:rPr>
          <w:rFonts w:asciiTheme="majorBidi" w:hAnsiTheme="majorBidi" w:cstheme="majorBidi"/>
        </w:rPr>
        <w:t xml:space="preserve">We next benchmarked </w:t>
      </w:r>
      <w:proofErr w:type="spellStart"/>
      <w:r w:rsidRPr="005D62E7">
        <w:rPr>
          <w:rFonts w:asciiTheme="majorBidi" w:hAnsiTheme="majorBidi" w:cstheme="majorBidi"/>
        </w:rPr>
        <w:t>scHopfield</w:t>
      </w:r>
      <w:proofErr w:type="spellEnd"/>
      <w:r w:rsidRPr="005D62E7">
        <w:rPr>
          <w:rFonts w:asciiTheme="majorBidi" w:hAnsiTheme="majorBidi" w:cstheme="majorBidi"/>
        </w:rPr>
        <w:t xml:space="preserve"> against </w:t>
      </w:r>
      <w:proofErr w:type="spellStart"/>
      <w:r w:rsidRPr="005D62E7">
        <w:rPr>
          <w:rFonts w:asciiTheme="majorBidi" w:hAnsiTheme="majorBidi" w:cstheme="majorBidi"/>
        </w:rPr>
        <w:t>veloVI</w:t>
      </w:r>
      <w:proofErr w:type="spellEnd"/>
      <w:r w:rsidRPr="005D62E7">
        <w:rPr>
          <w:rFonts w:asciiTheme="majorBidi" w:hAnsiTheme="majorBidi" w:cstheme="majorBidi"/>
        </w:rPr>
        <w:t xml:space="preserve">, </w:t>
      </w:r>
      <w:proofErr w:type="spellStart"/>
      <w:r w:rsidRPr="005D62E7">
        <w:rPr>
          <w:rFonts w:asciiTheme="majorBidi" w:hAnsiTheme="majorBidi" w:cstheme="majorBidi"/>
        </w:rPr>
        <w:t>scVelo’s</w:t>
      </w:r>
      <w:proofErr w:type="spellEnd"/>
      <w:r w:rsidRPr="005D62E7">
        <w:rPr>
          <w:rFonts w:asciiTheme="majorBidi" w:hAnsiTheme="majorBidi" w:cstheme="majorBidi"/>
        </w:rPr>
        <w:t xml:space="preserve"> expectation-maximization model, and additional GRN inference approaches using both synthetic toggle-switch systems and </w:t>
      </w:r>
      <w:proofErr w:type="spellStart"/>
      <w:r w:rsidRPr="005D62E7">
        <w:rPr>
          <w:rFonts w:asciiTheme="majorBidi" w:hAnsiTheme="majorBidi" w:cstheme="majorBidi"/>
        </w:rPr>
        <w:t>dyngen</w:t>
      </w:r>
      <w:proofErr w:type="spellEnd"/>
      <w:r w:rsidRPr="005D62E7">
        <w:rPr>
          <w:rFonts w:asciiTheme="majorBidi" w:hAnsiTheme="majorBidi" w:cstheme="majorBidi"/>
        </w:rPr>
        <w:t xml:space="preserve"> simulations with increasing lineage complexity. Across RNA velocity estimation, latent-time reconstruction, and GRN inference tasks, </w:t>
      </w:r>
      <w:proofErr w:type="spellStart"/>
      <w:r w:rsidRPr="005D62E7">
        <w:rPr>
          <w:rFonts w:asciiTheme="majorBidi" w:hAnsiTheme="majorBidi" w:cstheme="majorBidi"/>
        </w:rPr>
        <w:t>scHopfield</w:t>
      </w:r>
      <w:proofErr w:type="spellEnd"/>
      <w:r w:rsidRPr="005D62E7">
        <w:rPr>
          <w:rFonts w:asciiTheme="majorBidi" w:hAnsiTheme="majorBidi" w:cstheme="majorBidi"/>
        </w:rPr>
        <w:t xml:space="preserve"> consistently outperformed competing methods using correlation-based metrics and AUROC evaluation. Importantly, </w:t>
      </w:r>
      <w:proofErr w:type="spellStart"/>
      <w:r w:rsidRPr="005D62E7">
        <w:rPr>
          <w:rFonts w:asciiTheme="majorBidi" w:hAnsiTheme="majorBidi" w:cstheme="majorBidi"/>
        </w:rPr>
        <w:t>scHopfield</w:t>
      </w:r>
      <w:proofErr w:type="spellEnd"/>
      <w:r w:rsidRPr="005D62E7">
        <w:rPr>
          <w:rFonts w:asciiTheme="majorBidi" w:hAnsiTheme="majorBidi" w:cstheme="majorBidi"/>
        </w:rPr>
        <w:t xml:space="preserve"> remained robust </w:t>
      </w:r>
      <w:r w:rsidR="00FD0931">
        <w:rPr>
          <w:rFonts w:asciiTheme="majorBidi" w:hAnsiTheme="majorBidi" w:cstheme="majorBidi"/>
        </w:rPr>
        <w:t>even</w:t>
      </w:r>
      <w:r w:rsidRPr="005D62E7">
        <w:rPr>
          <w:rFonts w:asciiTheme="majorBidi" w:hAnsiTheme="majorBidi" w:cstheme="majorBidi"/>
        </w:rPr>
        <w:t xml:space="preserve"> </w:t>
      </w:r>
      <w:r w:rsidR="00FD0931">
        <w:rPr>
          <w:rFonts w:asciiTheme="majorBidi" w:hAnsiTheme="majorBidi" w:cstheme="majorBidi"/>
        </w:rPr>
        <w:t>as</w:t>
      </w:r>
      <w:r w:rsidRPr="005D62E7">
        <w:rPr>
          <w:rFonts w:asciiTheme="majorBidi" w:hAnsiTheme="majorBidi" w:cstheme="majorBidi"/>
        </w:rPr>
        <w:t xml:space="preserve"> prior-GRN corruption</w:t>
      </w:r>
      <w:r w:rsidR="00FD0931">
        <w:rPr>
          <w:rFonts w:asciiTheme="majorBidi" w:hAnsiTheme="majorBidi" w:cstheme="majorBidi"/>
        </w:rPr>
        <w:t xml:space="preserve"> increased</w:t>
      </w:r>
      <w:r w:rsidRPr="005D62E7">
        <w:rPr>
          <w:rFonts w:asciiTheme="majorBidi" w:hAnsiTheme="majorBidi" w:cstheme="majorBidi"/>
        </w:rPr>
        <w:t>. Scaffold-guided inference substantially improved recovery of true regulatory topology while maintaining accurate transcriptional dynamics, demonstrating that the framework can effectively integrate incomplete prior biological knowledge without overfitting to the supplied scaffold.</w:t>
      </w:r>
    </w:p>
    <w:bookmarkEnd w:id="2"/>
    <w:p w14:paraId="7FC42476" w14:textId="77777777" w:rsidR="00870AFC" w:rsidRPr="005D62E7" w:rsidRDefault="00870AFC" w:rsidP="005D62E7">
      <w:pPr>
        <w:pStyle w:val="BodyText"/>
        <w:spacing w:line="360" w:lineRule="auto"/>
        <w:rPr>
          <w:rFonts w:asciiTheme="majorBidi" w:hAnsiTheme="majorBidi" w:cstheme="majorBidi"/>
        </w:rPr>
      </w:pPr>
    </w:p>
    <w:p w14:paraId="64772F31" w14:textId="77777777" w:rsidR="0059582C" w:rsidRPr="005D62E7" w:rsidRDefault="0059582C" w:rsidP="005D62E7">
      <w:pPr>
        <w:pStyle w:val="Heading2"/>
        <w:spacing w:line="360" w:lineRule="auto"/>
        <w:rPr>
          <w:rFonts w:asciiTheme="majorBidi" w:hAnsiTheme="majorBidi"/>
          <w:b/>
          <w:bCs/>
          <w:sz w:val="24"/>
          <w:szCs w:val="24"/>
        </w:rPr>
      </w:pPr>
      <w:bookmarkStart w:id="3" w:name="X8d9cea2614fac6945218661a4928802922a81e9"/>
      <w:r w:rsidRPr="005D62E7">
        <w:rPr>
          <w:rFonts w:asciiTheme="majorBidi" w:hAnsiTheme="majorBidi"/>
          <w:b/>
          <w:bCs/>
          <w:sz w:val="24"/>
          <w:szCs w:val="24"/>
        </w:rPr>
        <w:t>Perturbational dynamics recover canonical hematopoietic lineage regulators</w:t>
      </w:r>
    </w:p>
    <w:p w14:paraId="24FA2AEE" w14:textId="5F9DC105" w:rsidR="0059582C" w:rsidRPr="005D62E7" w:rsidRDefault="0059582C" w:rsidP="000D49A3">
      <w:pPr>
        <w:pStyle w:val="FirstParagraph"/>
        <w:spacing w:line="360" w:lineRule="auto"/>
        <w:rPr>
          <w:rFonts w:asciiTheme="majorBidi" w:hAnsiTheme="majorBidi" w:cstheme="majorBidi"/>
        </w:rPr>
      </w:pPr>
      <w:r w:rsidRPr="005D62E7">
        <w:rPr>
          <w:rFonts w:asciiTheme="majorBidi" w:hAnsiTheme="majorBidi" w:cstheme="majorBidi"/>
        </w:rPr>
        <w:t xml:space="preserve">To assess the biological fidelity of the perturbation framework, we performed systematic single- and double-gene perturbation simulations within </w:t>
      </w:r>
      <w:proofErr w:type="spellStart"/>
      <w:r w:rsidRPr="005D62E7">
        <w:rPr>
          <w:rFonts w:asciiTheme="majorBidi" w:hAnsiTheme="majorBidi" w:cstheme="majorBidi"/>
        </w:rPr>
        <w:t>scHopfield</w:t>
      </w:r>
      <w:proofErr w:type="spellEnd"/>
      <w:r w:rsidRPr="005D62E7">
        <w:rPr>
          <w:rFonts w:asciiTheme="majorBidi" w:hAnsiTheme="majorBidi" w:cstheme="majorBidi"/>
        </w:rPr>
        <w:t>-inferred hematopoietic differentiation trajectories. Perturbational effects were modeled as expression-shift vectors projected onto RNA velocity fields, enabling direct comparison between perturbation-induced state transitions and endogenous developmental flow. We quantified lineage effects using a lineage-bias metric based on cosine similarity between perturbational vectors and erythroid or myeloid velocity directions.</w:t>
      </w:r>
      <w:bookmarkEnd w:id="3"/>
      <w:r w:rsidR="000D49A3">
        <w:rPr>
          <w:rFonts w:asciiTheme="majorBidi" w:hAnsiTheme="majorBidi" w:cstheme="majorBidi"/>
        </w:rPr>
        <w:tab/>
      </w:r>
      <w:r w:rsidR="000D49A3">
        <w:rPr>
          <w:rFonts w:asciiTheme="majorBidi" w:hAnsiTheme="majorBidi" w:cstheme="majorBidi"/>
        </w:rPr>
        <w:tab/>
      </w:r>
      <w:r w:rsidR="000D49A3">
        <w:rPr>
          <w:rFonts w:asciiTheme="majorBidi" w:hAnsiTheme="majorBidi" w:cstheme="majorBidi"/>
        </w:rPr>
        <w:tab/>
      </w:r>
      <w:r w:rsidR="000D49A3">
        <w:rPr>
          <w:rFonts w:asciiTheme="majorBidi" w:hAnsiTheme="majorBidi" w:cstheme="majorBidi"/>
        </w:rPr>
        <w:tab/>
      </w:r>
      <w:r w:rsidR="000D49A3">
        <w:rPr>
          <w:rFonts w:asciiTheme="majorBidi" w:hAnsiTheme="majorBidi" w:cstheme="majorBidi"/>
        </w:rPr>
        <w:tab/>
      </w:r>
      <w:r w:rsidR="000D49A3">
        <w:rPr>
          <w:rFonts w:asciiTheme="majorBidi" w:hAnsiTheme="majorBidi" w:cstheme="majorBidi"/>
        </w:rPr>
        <w:tab/>
      </w:r>
      <w:r w:rsidR="000D49A3">
        <w:rPr>
          <w:rFonts w:asciiTheme="majorBidi" w:hAnsiTheme="majorBidi" w:cstheme="majorBidi"/>
        </w:rPr>
        <w:tab/>
      </w:r>
      <w:r w:rsidR="000D49A3">
        <w:rPr>
          <w:rFonts w:asciiTheme="majorBidi" w:hAnsiTheme="majorBidi" w:cstheme="majorBidi"/>
        </w:rPr>
        <w:tab/>
      </w:r>
      <w:r w:rsidR="000D49A3">
        <w:rPr>
          <w:rFonts w:asciiTheme="majorBidi" w:hAnsiTheme="majorBidi" w:cstheme="majorBidi"/>
        </w:rPr>
        <w:tab/>
      </w:r>
      <w:r w:rsidR="000D49A3">
        <w:rPr>
          <w:rFonts w:asciiTheme="majorBidi" w:hAnsiTheme="majorBidi" w:cstheme="majorBidi"/>
        </w:rPr>
        <w:tab/>
      </w:r>
      <w:proofErr w:type="spellStart"/>
      <w:r w:rsidR="0099228E">
        <w:rPr>
          <w:rFonts w:asciiTheme="majorBidi" w:hAnsiTheme="majorBidi" w:cstheme="majorBidi"/>
        </w:rPr>
        <w:t>scHopfield</w:t>
      </w:r>
      <w:proofErr w:type="spellEnd"/>
      <w:r w:rsidR="0099228E">
        <w:rPr>
          <w:rFonts w:asciiTheme="majorBidi" w:hAnsiTheme="majorBidi" w:cstheme="majorBidi"/>
        </w:rPr>
        <w:t xml:space="preserve"> accurately recovered canonical hematopoietic regulators, including Gata1, Klf1, and Spi1/PU.1. Gata1 knockout produced severe erythroid differentiation defects, whereas Spi1 perturbation impaired myeloid differentiation, thereby reproducing the classical antagonistic balance underlying erythroid–myeloid lineage specification. The lineage-bias metric consistently identified lineage-promoting and lineage-suppressing regulators across developmental trajectories, indicating that the perturbational vector-field formulation captures biologically meaningful developmental directionality rather than static co-expression structure alone.</w:t>
      </w:r>
      <w:r w:rsidR="0099228E">
        <w:rPr>
          <w:rFonts w:asciiTheme="majorBidi" w:hAnsiTheme="majorBidi" w:cstheme="majorBidi"/>
        </w:rPr>
        <w:tab/>
      </w:r>
      <w:r w:rsidR="0099228E">
        <w:rPr>
          <w:rFonts w:asciiTheme="majorBidi" w:hAnsiTheme="majorBidi" w:cstheme="majorBidi"/>
        </w:rPr>
        <w:tab/>
      </w:r>
      <w:r w:rsidR="000D49A3">
        <w:rPr>
          <w:rFonts w:asciiTheme="majorBidi" w:hAnsiTheme="majorBidi" w:cstheme="majorBidi"/>
        </w:rPr>
        <w:tab/>
      </w:r>
      <w:r w:rsidR="000D49A3">
        <w:rPr>
          <w:rFonts w:asciiTheme="majorBidi" w:hAnsiTheme="majorBidi" w:cstheme="majorBidi"/>
        </w:rPr>
        <w:tab/>
      </w:r>
      <w:r w:rsidR="000D49A3">
        <w:rPr>
          <w:rFonts w:asciiTheme="majorBidi" w:hAnsiTheme="majorBidi" w:cstheme="majorBidi"/>
        </w:rPr>
        <w:tab/>
      </w:r>
      <w:r w:rsidR="000D49A3">
        <w:rPr>
          <w:rFonts w:asciiTheme="majorBidi" w:hAnsiTheme="majorBidi" w:cstheme="majorBidi"/>
        </w:rPr>
        <w:tab/>
      </w:r>
      <w:r w:rsidR="000D49A3">
        <w:rPr>
          <w:rFonts w:asciiTheme="majorBidi" w:hAnsiTheme="majorBidi" w:cstheme="majorBidi"/>
        </w:rPr>
        <w:tab/>
      </w:r>
      <w:r w:rsidR="000D49A3">
        <w:rPr>
          <w:rFonts w:asciiTheme="majorBidi" w:hAnsiTheme="majorBidi" w:cstheme="majorBidi"/>
        </w:rPr>
        <w:tab/>
      </w:r>
      <w:r w:rsidR="000D49A3">
        <w:rPr>
          <w:rFonts w:asciiTheme="majorBidi" w:hAnsiTheme="majorBidi" w:cstheme="majorBidi"/>
        </w:rPr>
        <w:tab/>
      </w:r>
      <w:r w:rsidR="000D49A3">
        <w:rPr>
          <w:rFonts w:asciiTheme="majorBidi" w:hAnsiTheme="majorBidi" w:cstheme="majorBidi"/>
        </w:rPr>
        <w:tab/>
      </w:r>
      <w:r w:rsidR="000D49A3">
        <w:rPr>
          <w:rFonts w:asciiTheme="majorBidi" w:hAnsiTheme="majorBidi" w:cstheme="majorBidi"/>
        </w:rPr>
        <w:tab/>
      </w:r>
      <w:r w:rsidR="000D49A3">
        <w:rPr>
          <w:rFonts w:asciiTheme="majorBidi" w:hAnsiTheme="majorBidi" w:cstheme="majorBidi"/>
        </w:rPr>
        <w:tab/>
      </w:r>
      <w:r w:rsidR="000D49A3">
        <w:rPr>
          <w:rFonts w:asciiTheme="majorBidi" w:hAnsiTheme="majorBidi" w:cstheme="majorBidi"/>
        </w:rPr>
        <w:tab/>
      </w:r>
      <w:r w:rsidR="0099228E">
        <w:rPr>
          <w:rFonts w:asciiTheme="majorBidi" w:hAnsiTheme="majorBidi" w:cstheme="majorBidi"/>
        </w:rPr>
        <w:t xml:space="preserve">Dose–response analyses further demonstrated coherent nonlinear perturbational behavior. Increasing perturbation magnitude progressively reshaped the erythroid–myeloid balance, </w:t>
      </w:r>
      <w:r w:rsidR="0099228E">
        <w:rPr>
          <w:rFonts w:asciiTheme="majorBidi" w:hAnsiTheme="majorBidi" w:cstheme="majorBidi"/>
        </w:rPr>
        <w:lastRenderedPageBreak/>
        <w:t xml:space="preserve">whereas cascade simulations showed temporal amplification of perturbational effects across differentiation trajectories. Together, these analyses demonstrate that </w:t>
      </w:r>
      <w:proofErr w:type="spellStart"/>
      <w:r w:rsidR="0099228E">
        <w:rPr>
          <w:rFonts w:asciiTheme="majorBidi" w:hAnsiTheme="majorBidi" w:cstheme="majorBidi"/>
        </w:rPr>
        <w:t>scHopfield</w:t>
      </w:r>
      <w:proofErr w:type="spellEnd"/>
      <w:r w:rsidR="0099228E">
        <w:rPr>
          <w:rFonts w:asciiTheme="majorBidi" w:hAnsiTheme="majorBidi" w:cstheme="majorBidi"/>
        </w:rPr>
        <w:t xml:space="preserve"> preserves dynamical consistency across lineage transitions while recovering known developmental biology.</w:t>
      </w:r>
    </w:p>
    <w:p w14:paraId="3842064F" w14:textId="77777777" w:rsidR="002E7860" w:rsidRPr="005D62E7" w:rsidRDefault="002E7860" w:rsidP="005D62E7">
      <w:pPr>
        <w:keepNext/>
        <w:spacing w:line="360" w:lineRule="auto"/>
        <w:rPr>
          <w:rFonts w:asciiTheme="majorBidi" w:hAnsiTheme="majorBidi" w:cstheme="majorBidi"/>
        </w:rPr>
      </w:pPr>
    </w:p>
    <w:p w14:paraId="36EFCB07" w14:textId="77777777" w:rsidR="007949E0" w:rsidRPr="005D62E7" w:rsidRDefault="007949E0" w:rsidP="005D62E7">
      <w:pPr>
        <w:pStyle w:val="Heading2"/>
        <w:spacing w:line="360" w:lineRule="auto"/>
        <w:rPr>
          <w:rFonts w:asciiTheme="majorBidi" w:hAnsiTheme="majorBidi"/>
          <w:b/>
          <w:bCs/>
          <w:sz w:val="24"/>
          <w:szCs w:val="24"/>
        </w:rPr>
      </w:pPr>
      <w:bookmarkStart w:id="4" w:name="X69026c41d27881c204c69c96888280bc99210e5"/>
      <w:r w:rsidRPr="005D62E7">
        <w:rPr>
          <w:rFonts w:asciiTheme="majorBidi" w:hAnsiTheme="majorBidi"/>
          <w:b/>
          <w:bCs/>
          <w:sz w:val="24"/>
          <w:szCs w:val="24"/>
        </w:rPr>
        <w:t>Scaffold-guided optimization improves reconstruction of gene regulatory networks</w:t>
      </w:r>
    </w:p>
    <w:p w14:paraId="44454AD8" w14:textId="2353B476" w:rsidR="0027006E" w:rsidRPr="005D62E7" w:rsidRDefault="007949E0" w:rsidP="007B6B64">
      <w:pPr>
        <w:pStyle w:val="FirstParagraph"/>
        <w:spacing w:line="360" w:lineRule="auto"/>
        <w:rPr>
          <w:rFonts w:asciiTheme="majorBidi" w:hAnsiTheme="majorBidi" w:cstheme="majorBidi"/>
        </w:rPr>
      </w:pPr>
      <w:r w:rsidRPr="005D62E7">
        <w:rPr>
          <w:rFonts w:asciiTheme="majorBidi" w:hAnsiTheme="majorBidi" w:cstheme="majorBidi"/>
        </w:rPr>
        <w:t xml:space="preserve">We next evaluated GRN reconstruction using simulated datasets with known ground-truth regulatory structure. In the absence of prior biological knowledge, </w:t>
      </w:r>
      <w:proofErr w:type="spellStart"/>
      <w:r w:rsidRPr="005D62E7">
        <w:rPr>
          <w:rFonts w:asciiTheme="majorBidi" w:hAnsiTheme="majorBidi" w:cstheme="majorBidi"/>
        </w:rPr>
        <w:t>scHopfield</w:t>
      </w:r>
      <w:proofErr w:type="spellEnd"/>
      <w:r w:rsidRPr="005D62E7">
        <w:rPr>
          <w:rFonts w:asciiTheme="majorBidi" w:hAnsiTheme="majorBidi" w:cstheme="majorBidi"/>
        </w:rPr>
        <w:t xml:space="preserve"> inferred effective interaction networks </w:t>
      </w:r>
      <w:r w:rsidR="0099228E">
        <w:rPr>
          <w:rFonts w:asciiTheme="majorBidi" w:hAnsiTheme="majorBidi" w:cstheme="majorBidi"/>
        </w:rPr>
        <w:t>via</w:t>
      </w:r>
      <w:r w:rsidRPr="005D62E7">
        <w:rPr>
          <w:rFonts w:asciiTheme="majorBidi" w:hAnsiTheme="majorBidi" w:cstheme="majorBidi"/>
        </w:rPr>
        <w:t xml:space="preserve"> unconstrained optimization and accurately reconstructed transcriptional dynamics. However, these unconstrained networks </w:t>
      </w:r>
      <w:r w:rsidR="0099228E">
        <w:rPr>
          <w:rFonts w:asciiTheme="majorBidi" w:hAnsiTheme="majorBidi" w:cstheme="majorBidi"/>
        </w:rPr>
        <w:t>are</w:t>
      </w:r>
      <w:r w:rsidRPr="005D62E7">
        <w:rPr>
          <w:rFonts w:asciiTheme="majorBidi" w:hAnsiTheme="majorBidi" w:cstheme="majorBidi"/>
        </w:rPr>
        <w:t xml:space="preserve"> minimal dynamical models and do not necessarily recover the true underlying regulatory topology.</w:t>
      </w:r>
      <w:r w:rsidR="0025300B">
        <w:rPr>
          <w:rFonts w:asciiTheme="majorBidi" w:hAnsiTheme="majorBidi" w:cstheme="majorBidi"/>
        </w:rPr>
        <w:tab/>
      </w:r>
      <w:r w:rsidR="0025300B">
        <w:rPr>
          <w:rFonts w:asciiTheme="majorBidi" w:hAnsiTheme="majorBidi" w:cstheme="majorBidi"/>
        </w:rPr>
        <w:tab/>
      </w:r>
      <w:r w:rsidR="0025300B">
        <w:rPr>
          <w:rFonts w:asciiTheme="majorBidi" w:hAnsiTheme="majorBidi" w:cstheme="majorBidi"/>
        </w:rPr>
        <w:tab/>
      </w:r>
      <w:r w:rsidR="0025300B">
        <w:rPr>
          <w:rFonts w:asciiTheme="majorBidi" w:hAnsiTheme="majorBidi" w:cstheme="majorBidi"/>
        </w:rPr>
        <w:tab/>
      </w:r>
      <w:r w:rsidR="0025300B">
        <w:rPr>
          <w:rFonts w:asciiTheme="majorBidi" w:hAnsiTheme="majorBidi" w:cstheme="majorBidi"/>
        </w:rPr>
        <w:tab/>
      </w:r>
      <w:r w:rsidR="0025300B">
        <w:rPr>
          <w:rFonts w:asciiTheme="majorBidi" w:hAnsiTheme="majorBidi" w:cstheme="majorBidi"/>
        </w:rPr>
        <w:tab/>
      </w:r>
      <w:r w:rsidRPr="005D62E7">
        <w:rPr>
          <w:rFonts w:asciiTheme="majorBidi" w:hAnsiTheme="majorBidi" w:cstheme="majorBidi"/>
        </w:rPr>
        <w:t>To improve structural fidelity, we introduced scaffold-guided optimization using predefined regulatory interactions. Under this formulation, the loss function jointly optimized compatibility with RNA velocity dynamics and consistency with prior regulatory structure. Scaffold-guided inference consistently improved AUROC and AUPRC performance relative to unconstrained models, demonstrating that prior biological knowledge substantially improves recovery of true regulatory interactions.</w:t>
      </w:r>
      <w:r w:rsidR="006F1FFE">
        <w:rPr>
          <w:rFonts w:asciiTheme="majorBidi" w:hAnsiTheme="majorBidi" w:cstheme="majorBidi"/>
        </w:rPr>
        <w:tab/>
      </w:r>
      <w:r w:rsidR="006F1FFE">
        <w:rPr>
          <w:rFonts w:asciiTheme="majorBidi" w:hAnsiTheme="majorBidi" w:cstheme="majorBidi"/>
        </w:rPr>
        <w:tab/>
      </w:r>
      <w:r w:rsidR="006F1FFE">
        <w:rPr>
          <w:rFonts w:asciiTheme="majorBidi" w:hAnsiTheme="majorBidi" w:cstheme="majorBidi"/>
        </w:rPr>
        <w:tab/>
      </w:r>
      <w:r w:rsidR="006F1FFE">
        <w:rPr>
          <w:rFonts w:asciiTheme="majorBidi" w:hAnsiTheme="majorBidi" w:cstheme="majorBidi"/>
        </w:rPr>
        <w:tab/>
      </w:r>
      <w:r w:rsidR="006F1FFE">
        <w:rPr>
          <w:rFonts w:asciiTheme="majorBidi" w:hAnsiTheme="majorBidi" w:cstheme="majorBidi"/>
        </w:rPr>
        <w:tab/>
      </w:r>
      <w:r w:rsidR="006F1FFE">
        <w:rPr>
          <w:rFonts w:asciiTheme="majorBidi" w:hAnsiTheme="majorBidi" w:cstheme="majorBidi"/>
        </w:rPr>
        <w:tab/>
      </w:r>
      <w:r w:rsidR="006F1FFE">
        <w:rPr>
          <w:rFonts w:asciiTheme="majorBidi" w:hAnsiTheme="majorBidi" w:cstheme="majorBidi"/>
        </w:rPr>
        <w:tab/>
      </w:r>
      <w:r w:rsidRPr="005D62E7">
        <w:rPr>
          <w:rFonts w:asciiTheme="majorBidi" w:hAnsiTheme="majorBidi" w:cstheme="majorBidi"/>
        </w:rPr>
        <w:t xml:space="preserve">Importantly, </w:t>
      </w:r>
      <w:proofErr w:type="spellStart"/>
      <w:r w:rsidRPr="005D62E7">
        <w:rPr>
          <w:rFonts w:asciiTheme="majorBidi" w:hAnsiTheme="majorBidi" w:cstheme="majorBidi"/>
        </w:rPr>
        <w:t>scHopfield</w:t>
      </w:r>
      <w:proofErr w:type="spellEnd"/>
      <w:r w:rsidRPr="005D62E7">
        <w:rPr>
          <w:rFonts w:asciiTheme="majorBidi" w:hAnsiTheme="majorBidi" w:cstheme="majorBidi"/>
        </w:rPr>
        <w:t xml:space="preserve"> is not restricted to the predefined scaffold and retains the capacity to infer additional interactions absent from the supplied prior network. In simulated settings</w:t>
      </w:r>
      <w:r w:rsidR="007B6B64">
        <w:rPr>
          <w:rFonts w:asciiTheme="majorBidi" w:hAnsiTheme="majorBidi" w:cstheme="majorBidi"/>
        </w:rPr>
        <w:t>,</w:t>
      </w:r>
      <w:r w:rsidRPr="005D62E7">
        <w:rPr>
          <w:rFonts w:asciiTheme="majorBidi" w:hAnsiTheme="majorBidi" w:cstheme="majorBidi"/>
        </w:rPr>
        <w:t xml:space="preserve"> these edges may appear as false positives, whereas in biological systems</w:t>
      </w:r>
      <w:r w:rsidR="007B6B64">
        <w:rPr>
          <w:rFonts w:asciiTheme="majorBidi" w:hAnsiTheme="majorBidi" w:cstheme="majorBidi"/>
        </w:rPr>
        <w:t>,</w:t>
      </w:r>
      <w:r w:rsidRPr="005D62E7">
        <w:rPr>
          <w:rFonts w:asciiTheme="majorBidi" w:hAnsiTheme="majorBidi" w:cstheme="majorBidi"/>
        </w:rPr>
        <w:t xml:space="preserve"> they represent candidate novel regulatory interactions. Restricting outgoing regulatory edges primarily to transcription factors further improved GRN reconstruction accuracy, indicating that biologically informed constraints enhance identification of genuine regulatory structure. These analyses highlight a trade-off between optimal velocity reconstruction and mechanistically interpretable GRN inference, suggesting that accurate modeling of cell-fate transitions requires prioritizing regulatory interpretability rather than purely minimizing reconstruction error</w:t>
      </w:r>
      <w:bookmarkEnd w:id="4"/>
      <w:r w:rsidR="00EF02F5">
        <w:rPr>
          <w:rFonts w:asciiTheme="majorBidi" w:hAnsiTheme="majorBidi" w:cstheme="majorBidi"/>
        </w:rPr>
        <w:t>.</w:t>
      </w:r>
    </w:p>
    <w:p w14:paraId="26131C6A" w14:textId="77777777" w:rsidR="00CC4D7C" w:rsidRPr="005D62E7" w:rsidRDefault="00CC4D7C" w:rsidP="005D62E7">
      <w:pPr>
        <w:pStyle w:val="p1"/>
        <w:spacing w:line="360" w:lineRule="auto"/>
        <w:rPr>
          <w:rFonts w:asciiTheme="majorBidi" w:hAnsiTheme="majorBidi" w:cstheme="majorBidi"/>
          <w:color w:val="EE0000"/>
        </w:rPr>
      </w:pPr>
    </w:p>
    <w:p w14:paraId="316E9C75" w14:textId="77777777" w:rsidR="00F841ED" w:rsidRPr="005D62E7" w:rsidRDefault="00F841ED" w:rsidP="005D62E7">
      <w:pPr>
        <w:pStyle w:val="Heading2"/>
        <w:spacing w:line="360" w:lineRule="auto"/>
        <w:rPr>
          <w:rFonts w:asciiTheme="majorBidi" w:hAnsiTheme="majorBidi"/>
          <w:b/>
          <w:bCs/>
          <w:sz w:val="24"/>
          <w:szCs w:val="24"/>
        </w:rPr>
      </w:pPr>
      <w:bookmarkStart w:id="5" w:name="Xf60fbf7c1ae6ca401324e6e1d9be04e1d3bba60"/>
      <w:r w:rsidRPr="005D62E7">
        <w:rPr>
          <w:rFonts w:asciiTheme="majorBidi" w:hAnsiTheme="majorBidi"/>
          <w:b/>
          <w:bCs/>
          <w:sz w:val="24"/>
          <w:szCs w:val="24"/>
        </w:rPr>
        <w:lastRenderedPageBreak/>
        <w:t>Jacobian analysis and energy landscapes reveal lineage-specific stability states</w:t>
      </w:r>
    </w:p>
    <w:p w14:paraId="6D1F435D" w14:textId="0146762E" w:rsidR="00F841ED" w:rsidRPr="005D62E7" w:rsidRDefault="00EF02F5" w:rsidP="00FA682F">
      <w:pPr>
        <w:pStyle w:val="FirstParagraph"/>
        <w:spacing w:line="360" w:lineRule="auto"/>
        <w:rPr>
          <w:rFonts w:asciiTheme="majorBidi" w:hAnsiTheme="majorBidi" w:cstheme="majorBidi"/>
        </w:rPr>
      </w:pPr>
      <w:r>
        <w:rPr>
          <w:rFonts w:asciiTheme="majorBidi" w:hAnsiTheme="majorBidi" w:cstheme="majorBidi"/>
        </w:rPr>
        <w:t xml:space="preserve">The analytical structure of </w:t>
      </w:r>
      <w:proofErr w:type="spellStart"/>
      <w:r>
        <w:rPr>
          <w:rFonts w:asciiTheme="majorBidi" w:hAnsiTheme="majorBidi" w:cstheme="majorBidi"/>
        </w:rPr>
        <w:t>scHopfield</w:t>
      </w:r>
      <w:proofErr w:type="spellEnd"/>
      <w:r>
        <w:rPr>
          <w:rFonts w:asciiTheme="majorBidi" w:hAnsiTheme="majorBidi" w:cstheme="majorBidi"/>
        </w:rPr>
        <w:t xml:space="preserve"> enables direct analysis of cellular stability through Jacobian eigenvalues and energy landscapes. We applied these analyses to pancreatic </w:t>
      </w:r>
      <w:proofErr w:type="spellStart"/>
      <w:r>
        <w:rPr>
          <w:rFonts w:asciiTheme="majorBidi" w:hAnsiTheme="majorBidi" w:cstheme="majorBidi"/>
        </w:rPr>
        <w:t>endocrinogenesis</w:t>
      </w:r>
      <w:proofErr w:type="spellEnd"/>
      <w:r>
        <w:rPr>
          <w:rFonts w:asciiTheme="majorBidi" w:hAnsiTheme="majorBidi" w:cstheme="majorBidi"/>
        </w:rPr>
        <w:t xml:space="preserve"> across ductal, Ngn3-low endocrine progenitor, Ngn3-high endocrine progenitor, pre-endocrine, alpha, beta, delta, and epsilon cell populations.</w:t>
      </w:r>
      <w:r w:rsidR="00374DCA">
        <w:rPr>
          <w:rFonts w:asciiTheme="majorBidi" w:hAnsiTheme="majorBidi" w:cstheme="majorBidi"/>
        </w:rPr>
        <w:t xml:space="preserve"> </w:t>
      </w:r>
      <w:r w:rsidR="00374DCA">
        <w:rPr>
          <w:rFonts w:asciiTheme="majorBidi" w:hAnsiTheme="majorBidi" w:cstheme="majorBidi"/>
        </w:rPr>
        <w:tab/>
      </w:r>
      <w:r w:rsidR="00374DCA">
        <w:rPr>
          <w:rFonts w:asciiTheme="majorBidi" w:hAnsiTheme="majorBidi" w:cstheme="majorBidi"/>
        </w:rPr>
        <w:tab/>
      </w:r>
      <w:r w:rsidR="00374DCA">
        <w:rPr>
          <w:rFonts w:asciiTheme="majorBidi" w:hAnsiTheme="majorBidi" w:cstheme="majorBidi"/>
        </w:rPr>
        <w:tab/>
      </w:r>
      <w:r w:rsidR="00F841ED" w:rsidRPr="005D62E7">
        <w:rPr>
          <w:rFonts w:asciiTheme="majorBidi" w:hAnsiTheme="majorBidi" w:cstheme="majorBidi"/>
        </w:rPr>
        <w:t xml:space="preserve">Evaluation of Jacobian eigenvalues revealed lineage-specific differences in local stability and oscillatory propensity. Delta and Epsilon cells exhibited broader distributions of positive real eigenvalues, indicating greater instability and </w:t>
      </w:r>
      <w:r w:rsidR="00374DCA">
        <w:rPr>
          <w:rFonts w:asciiTheme="majorBidi" w:hAnsiTheme="majorBidi" w:cstheme="majorBidi"/>
        </w:rPr>
        <w:t>heighten</w:t>
      </w:r>
      <w:r w:rsidR="00F841ED" w:rsidRPr="005D62E7">
        <w:rPr>
          <w:rFonts w:asciiTheme="majorBidi" w:hAnsiTheme="majorBidi" w:cstheme="majorBidi"/>
        </w:rPr>
        <w:t>ed sensitivity to perturbations, whereas Beta and Pre-endocrine cells displayed more stable regulatory states. Similarly, Delta and Epsilon cells showed larger imaginary eigenvalue components, consistent with stronger oscillatory tendencies. These results suggest that certain endocrine lineages occupy more dynamically flexible states, whereas mature Beta-cell states correspond to more stable attractor configurations.</w:t>
      </w:r>
      <w:r w:rsidR="00FA682F">
        <w:rPr>
          <w:rFonts w:asciiTheme="majorBidi" w:hAnsiTheme="majorBidi" w:cstheme="majorBidi"/>
        </w:rPr>
        <w:tab/>
      </w:r>
      <w:r w:rsidR="00FA682F">
        <w:rPr>
          <w:rFonts w:asciiTheme="majorBidi" w:hAnsiTheme="majorBidi" w:cstheme="majorBidi"/>
        </w:rPr>
        <w:tab/>
      </w:r>
      <w:r w:rsidR="00FA682F">
        <w:rPr>
          <w:rFonts w:asciiTheme="majorBidi" w:hAnsiTheme="majorBidi" w:cstheme="majorBidi"/>
        </w:rPr>
        <w:tab/>
      </w:r>
      <w:r w:rsidR="00FA682F">
        <w:rPr>
          <w:rFonts w:asciiTheme="majorBidi" w:hAnsiTheme="majorBidi" w:cstheme="majorBidi"/>
        </w:rPr>
        <w:tab/>
      </w:r>
      <w:r w:rsidR="00FA682F">
        <w:rPr>
          <w:rFonts w:asciiTheme="majorBidi" w:hAnsiTheme="majorBidi" w:cstheme="majorBidi"/>
        </w:rPr>
        <w:tab/>
      </w:r>
      <w:r w:rsidR="00FA682F">
        <w:rPr>
          <w:rFonts w:asciiTheme="majorBidi" w:hAnsiTheme="majorBidi" w:cstheme="majorBidi"/>
        </w:rPr>
        <w:tab/>
      </w:r>
      <w:r w:rsidR="00FA682F">
        <w:rPr>
          <w:rFonts w:asciiTheme="majorBidi" w:hAnsiTheme="majorBidi" w:cstheme="majorBidi"/>
        </w:rPr>
        <w:tab/>
      </w:r>
      <w:r w:rsidR="00FA682F">
        <w:rPr>
          <w:rFonts w:asciiTheme="majorBidi" w:hAnsiTheme="majorBidi" w:cstheme="majorBidi"/>
        </w:rPr>
        <w:tab/>
      </w:r>
      <w:r w:rsidR="00FA682F">
        <w:rPr>
          <w:rFonts w:asciiTheme="majorBidi" w:hAnsiTheme="majorBidi" w:cstheme="majorBidi"/>
        </w:rPr>
        <w:tab/>
      </w:r>
      <w:r w:rsidR="00FA682F">
        <w:rPr>
          <w:rFonts w:asciiTheme="majorBidi" w:hAnsiTheme="majorBidi" w:cstheme="majorBidi"/>
        </w:rPr>
        <w:tab/>
      </w:r>
      <w:r w:rsidR="00FA682F">
        <w:rPr>
          <w:rFonts w:asciiTheme="majorBidi" w:hAnsiTheme="majorBidi" w:cstheme="majorBidi"/>
        </w:rPr>
        <w:tab/>
      </w:r>
      <w:r w:rsidR="00F841ED" w:rsidRPr="005D62E7">
        <w:rPr>
          <w:rFonts w:asciiTheme="majorBidi" w:hAnsiTheme="majorBidi" w:cstheme="majorBidi"/>
        </w:rPr>
        <w:t xml:space="preserve">Energy decomposition further revealed distinct lineage-specific regulatory architectures. Ductal progenitors exhibited near-zero total energy, whereas terminally differentiated Beta cells showed elevated total energy associated with strongly negative interaction energy and increased degradation energy. Ngn3-high endocrine progenitors displayed the highest cell-to-cell energetic variance, consistent with a heterogeneous transitional state near a developmental branching point. Together, these analyses demonstrate that </w:t>
      </w:r>
      <w:proofErr w:type="spellStart"/>
      <w:r w:rsidR="00F841ED" w:rsidRPr="005D62E7">
        <w:rPr>
          <w:rFonts w:asciiTheme="majorBidi" w:hAnsiTheme="majorBidi" w:cstheme="majorBidi"/>
        </w:rPr>
        <w:t>scHopfield</w:t>
      </w:r>
      <w:proofErr w:type="spellEnd"/>
      <w:r w:rsidR="00F841ED" w:rsidRPr="005D62E7">
        <w:rPr>
          <w:rFonts w:asciiTheme="majorBidi" w:hAnsiTheme="majorBidi" w:cstheme="majorBidi"/>
        </w:rPr>
        <w:t xml:space="preserve"> links regulatory architecture, local stability, and emergent energy landscapes within a unified dynamical systems framework.</w:t>
      </w:r>
    </w:p>
    <w:bookmarkEnd w:id="5"/>
    <w:p w14:paraId="22E421E6" w14:textId="77777777" w:rsidR="0072243E" w:rsidRPr="005D62E7" w:rsidRDefault="0072243E" w:rsidP="005D62E7">
      <w:pPr>
        <w:pStyle w:val="p1"/>
        <w:spacing w:line="360" w:lineRule="auto"/>
        <w:rPr>
          <w:rFonts w:asciiTheme="majorBidi" w:hAnsiTheme="majorBidi" w:cstheme="majorBidi"/>
          <w:color w:val="EE0000"/>
          <w:lang w:val="en-US"/>
        </w:rPr>
      </w:pPr>
    </w:p>
    <w:p w14:paraId="0BAE0DF7" w14:textId="77777777" w:rsidR="0072243E" w:rsidRPr="005D62E7" w:rsidRDefault="0072243E" w:rsidP="005D62E7">
      <w:pPr>
        <w:pStyle w:val="Heading2"/>
        <w:spacing w:line="360" w:lineRule="auto"/>
        <w:rPr>
          <w:rFonts w:asciiTheme="majorBidi" w:hAnsiTheme="majorBidi"/>
          <w:b/>
          <w:bCs/>
          <w:sz w:val="24"/>
          <w:szCs w:val="24"/>
        </w:rPr>
      </w:pPr>
      <w:bookmarkStart w:id="6" w:name="Xf81ab5af1b9ca185c6d3c88ae6537bf086f0b61"/>
      <w:r w:rsidRPr="005D62E7">
        <w:rPr>
          <w:rFonts w:asciiTheme="majorBidi" w:hAnsiTheme="majorBidi"/>
          <w:b/>
          <w:bCs/>
          <w:sz w:val="24"/>
          <w:szCs w:val="24"/>
        </w:rPr>
        <w:t>Network topology identifies lineage-specific regulatory programs</w:t>
      </w:r>
    </w:p>
    <w:p w14:paraId="3F2A3333" w14:textId="7D931E6C" w:rsidR="000864CB" w:rsidRPr="005D62E7" w:rsidRDefault="00FD0FE8" w:rsidP="00380CF4">
      <w:pPr>
        <w:pStyle w:val="FirstParagraph"/>
        <w:spacing w:line="360" w:lineRule="auto"/>
        <w:rPr>
          <w:rFonts w:asciiTheme="majorBidi" w:hAnsiTheme="majorBidi" w:cstheme="majorBidi"/>
        </w:rPr>
      </w:pPr>
      <w:r>
        <w:rPr>
          <w:rFonts w:asciiTheme="majorBidi" w:hAnsiTheme="majorBidi" w:cstheme="majorBidi"/>
        </w:rPr>
        <w:t>To identify regulators of endocrine lineage specification, we analyzed network topology using betweenness, degree, and eigenvector centrality, along with eigenmode decomposition of inferred GRNs. Dendrograms based on network topology segregated pancreatic cells into progenitor-like and mature endocrine lineages, revealing that transcriptionally similar cell states can be governed by distinct regulatory architectures.</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sidR="0072243E" w:rsidRPr="005D62E7">
        <w:rPr>
          <w:rFonts w:asciiTheme="majorBidi" w:hAnsiTheme="majorBidi" w:cstheme="majorBidi"/>
        </w:rPr>
        <w:t xml:space="preserve">Several regulators displayed high centrality across multiple endocrine populations, including Meis2, Pax6, Isl1, and </w:t>
      </w:r>
      <w:proofErr w:type="spellStart"/>
      <w:r w:rsidR="0072243E" w:rsidRPr="005D62E7">
        <w:rPr>
          <w:rFonts w:asciiTheme="majorBidi" w:hAnsiTheme="majorBidi" w:cstheme="majorBidi"/>
        </w:rPr>
        <w:t>Mlxipl</w:t>
      </w:r>
      <w:proofErr w:type="spellEnd"/>
      <w:r w:rsidR="0072243E" w:rsidRPr="005D62E7">
        <w:rPr>
          <w:rFonts w:asciiTheme="majorBidi" w:hAnsiTheme="majorBidi" w:cstheme="majorBidi"/>
        </w:rPr>
        <w:t xml:space="preserve">, suggesting broad roles in pancreatic differentiation. </w:t>
      </w:r>
      <w:r w:rsidR="0072243E" w:rsidRPr="005D62E7">
        <w:rPr>
          <w:rFonts w:asciiTheme="majorBidi" w:hAnsiTheme="majorBidi" w:cstheme="majorBidi"/>
        </w:rPr>
        <w:lastRenderedPageBreak/>
        <w:t>Other regulators showed strong lineage specificity. Sox9 exhibited high betweenness in ductal cells, Foxa3 in Ngn3-high endocrine progenitors, and Pdx1 in mature Beta cells. Chromatin-associated regulators</w:t>
      </w:r>
      <w:r w:rsidR="00380CF4">
        <w:rPr>
          <w:rFonts w:asciiTheme="majorBidi" w:hAnsiTheme="majorBidi" w:cstheme="majorBidi"/>
        </w:rPr>
        <w:t>,</w:t>
      </w:r>
      <w:r w:rsidR="0072243E" w:rsidRPr="005D62E7">
        <w:rPr>
          <w:rFonts w:asciiTheme="majorBidi" w:hAnsiTheme="majorBidi" w:cstheme="majorBidi"/>
        </w:rPr>
        <w:t xml:space="preserve"> including Hmga2, Hmgn3, and Prdm16</w:t>
      </w:r>
      <w:r w:rsidR="00380CF4">
        <w:rPr>
          <w:rFonts w:asciiTheme="majorBidi" w:hAnsiTheme="majorBidi" w:cstheme="majorBidi"/>
        </w:rPr>
        <w:t>,</w:t>
      </w:r>
      <w:r w:rsidR="0072243E" w:rsidRPr="005D62E7">
        <w:rPr>
          <w:rFonts w:asciiTheme="majorBidi" w:hAnsiTheme="majorBidi" w:cstheme="majorBidi"/>
        </w:rPr>
        <w:t xml:space="preserve"> also emerged as central network components, highlighting the importance of chromatin remodeling during endocrine specification.</w:t>
      </w:r>
      <w:r w:rsidR="00724EC0">
        <w:rPr>
          <w:rFonts w:asciiTheme="majorBidi" w:hAnsiTheme="majorBidi" w:cstheme="majorBidi"/>
        </w:rPr>
        <w:tab/>
      </w:r>
      <w:r w:rsidR="00724EC0">
        <w:rPr>
          <w:rFonts w:asciiTheme="majorBidi" w:hAnsiTheme="majorBidi" w:cstheme="majorBidi"/>
        </w:rPr>
        <w:tab/>
      </w:r>
      <w:r w:rsidR="00724EC0">
        <w:rPr>
          <w:rFonts w:asciiTheme="majorBidi" w:hAnsiTheme="majorBidi" w:cstheme="majorBidi"/>
        </w:rPr>
        <w:tab/>
      </w:r>
      <w:r w:rsidR="00724EC0">
        <w:rPr>
          <w:rFonts w:asciiTheme="majorBidi" w:hAnsiTheme="majorBidi" w:cstheme="majorBidi"/>
        </w:rPr>
        <w:tab/>
      </w:r>
      <w:r w:rsidR="00724EC0">
        <w:rPr>
          <w:rFonts w:asciiTheme="majorBidi" w:hAnsiTheme="majorBidi" w:cstheme="majorBidi"/>
        </w:rPr>
        <w:tab/>
      </w:r>
      <w:r w:rsidR="00724EC0">
        <w:rPr>
          <w:rFonts w:asciiTheme="majorBidi" w:hAnsiTheme="majorBidi" w:cstheme="majorBidi"/>
        </w:rPr>
        <w:tab/>
      </w:r>
      <w:r w:rsidR="00724EC0">
        <w:rPr>
          <w:rFonts w:asciiTheme="majorBidi" w:hAnsiTheme="majorBidi" w:cstheme="majorBidi"/>
        </w:rPr>
        <w:tab/>
      </w:r>
      <w:r w:rsidR="00724EC0">
        <w:rPr>
          <w:rFonts w:asciiTheme="majorBidi" w:hAnsiTheme="majorBidi" w:cstheme="majorBidi"/>
        </w:rPr>
        <w:tab/>
      </w:r>
      <w:r w:rsidR="00724EC0">
        <w:rPr>
          <w:rFonts w:asciiTheme="majorBidi" w:hAnsiTheme="majorBidi" w:cstheme="majorBidi"/>
        </w:rPr>
        <w:tab/>
      </w:r>
      <w:r w:rsidR="00724EC0">
        <w:rPr>
          <w:rFonts w:asciiTheme="majorBidi" w:hAnsiTheme="majorBidi" w:cstheme="majorBidi"/>
        </w:rPr>
        <w:tab/>
      </w:r>
      <w:r w:rsidR="00724EC0">
        <w:rPr>
          <w:rFonts w:asciiTheme="majorBidi" w:hAnsiTheme="majorBidi" w:cstheme="majorBidi"/>
        </w:rPr>
        <w:tab/>
      </w:r>
      <w:r w:rsidR="00724EC0">
        <w:rPr>
          <w:rFonts w:asciiTheme="majorBidi" w:hAnsiTheme="majorBidi" w:cstheme="majorBidi"/>
        </w:rPr>
        <w:tab/>
      </w:r>
      <w:r w:rsidR="00724EC0">
        <w:rPr>
          <w:rFonts w:asciiTheme="majorBidi" w:hAnsiTheme="majorBidi" w:cstheme="majorBidi"/>
        </w:rPr>
        <w:tab/>
      </w:r>
      <w:r>
        <w:rPr>
          <w:rFonts w:asciiTheme="majorBidi" w:hAnsiTheme="majorBidi" w:cstheme="majorBidi"/>
        </w:rPr>
        <w:t xml:space="preserve">Eigenmode decomposition identified dominant lineage-specific regulatory modes that involved both coding and non-coding genes. Long non-coding RNAs, including Malat1 and Meg3, consistently contributed strongly to the dominant eigenmodes, whereas endocrine-specific genes such as Ptprn2 and Ins2 contributed to lineage-specific regulatory programs. Together, these analyses demonstrate that </w:t>
      </w:r>
      <w:proofErr w:type="spellStart"/>
      <w:r>
        <w:rPr>
          <w:rFonts w:asciiTheme="majorBidi" w:hAnsiTheme="majorBidi" w:cstheme="majorBidi"/>
        </w:rPr>
        <w:t>scHopfield</w:t>
      </w:r>
      <w:proofErr w:type="spellEnd"/>
      <w:r>
        <w:rPr>
          <w:rFonts w:asciiTheme="majorBidi" w:hAnsiTheme="majorBidi" w:cstheme="majorBidi"/>
        </w:rPr>
        <w:t xml:space="preserve"> can resolve both shared and lineage-specific regulatory structures underlying pancreatic differentiation.</w:t>
      </w:r>
    </w:p>
    <w:p w14:paraId="04446424" w14:textId="77777777" w:rsidR="000864CB" w:rsidRPr="005D62E7" w:rsidRDefault="000864CB" w:rsidP="005D62E7">
      <w:pPr>
        <w:pStyle w:val="BodyText"/>
        <w:spacing w:line="360" w:lineRule="auto"/>
        <w:rPr>
          <w:rFonts w:asciiTheme="majorBidi" w:hAnsiTheme="majorBidi" w:cstheme="majorBidi"/>
        </w:rPr>
      </w:pPr>
    </w:p>
    <w:p w14:paraId="03E52E93" w14:textId="77777777" w:rsidR="0072243E" w:rsidRPr="005D62E7" w:rsidRDefault="0072243E" w:rsidP="005D62E7">
      <w:pPr>
        <w:pStyle w:val="Heading2"/>
        <w:spacing w:line="360" w:lineRule="auto"/>
        <w:rPr>
          <w:rFonts w:asciiTheme="majorBidi" w:hAnsiTheme="majorBidi"/>
          <w:b/>
          <w:bCs/>
          <w:sz w:val="24"/>
          <w:szCs w:val="24"/>
        </w:rPr>
      </w:pPr>
      <w:bookmarkStart w:id="7" w:name="Xe18c1d964f0b76b666726eeb9e024834c99af3b"/>
      <w:bookmarkEnd w:id="6"/>
      <w:proofErr w:type="spellStart"/>
      <w:r w:rsidRPr="005D62E7">
        <w:rPr>
          <w:rFonts w:asciiTheme="majorBidi" w:hAnsiTheme="majorBidi"/>
          <w:b/>
          <w:bCs/>
          <w:sz w:val="24"/>
          <w:szCs w:val="24"/>
        </w:rPr>
        <w:t>scHopfield</w:t>
      </w:r>
      <w:proofErr w:type="spellEnd"/>
      <w:r w:rsidRPr="005D62E7">
        <w:rPr>
          <w:rFonts w:asciiTheme="majorBidi" w:hAnsiTheme="majorBidi"/>
          <w:b/>
          <w:bCs/>
          <w:sz w:val="24"/>
          <w:szCs w:val="24"/>
        </w:rPr>
        <w:t xml:space="preserve"> predicts out-of-distribution effects of pairwise transcriptional perturbations</w:t>
      </w:r>
    </w:p>
    <w:p w14:paraId="1A7BD5FD" w14:textId="15D20F92" w:rsidR="0072243E" w:rsidRPr="005D62E7" w:rsidRDefault="0072243E" w:rsidP="00377FFC">
      <w:pPr>
        <w:pStyle w:val="FirstParagraph"/>
        <w:spacing w:line="360" w:lineRule="auto"/>
        <w:rPr>
          <w:rFonts w:asciiTheme="majorBidi" w:hAnsiTheme="majorBidi" w:cstheme="majorBidi"/>
        </w:rPr>
      </w:pPr>
      <w:r w:rsidRPr="005D62E7">
        <w:rPr>
          <w:rFonts w:asciiTheme="majorBidi" w:hAnsiTheme="majorBidi" w:cstheme="majorBidi"/>
        </w:rPr>
        <w:t xml:space="preserve">Finally, we used </w:t>
      </w:r>
      <w:proofErr w:type="spellStart"/>
      <w:r w:rsidRPr="005D62E7">
        <w:rPr>
          <w:rFonts w:asciiTheme="majorBidi" w:hAnsiTheme="majorBidi" w:cstheme="majorBidi"/>
        </w:rPr>
        <w:t>scHopfield</w:t>
      </w:r>
      <w:proofErr w:type="spellEnd"/>
      <w:r w:rsidRPr="005D62E7">
        <w:rPr>
          <w:rFonts w:asciiTheme="majorBidi" w:hAnsiTheme="majorBidi" w:cstheme="majorBidi"/>
        </w:rPr>
        <w:t xml:space="preserve"> to investigate </w:t>
      </w:r>
      <w:proofErr w:type="gramStart"/>
      <w:r w:rsidRPr="005D62E7">
        <w:rPr>
          <w:rFonts w:asciiTheme="majorBidi" w:hAnsiTheme="majorBidi" w:cstheme="majorBidi"/>
        </w:rPr>
        <w:t>higher-order</w:t>
      </w:r>
      <w:proofErr w:type="gramEnd"/>
      <w:r w:rsidRPr="005D62E7">
        <w:rPr>
          <w:rFonts w:asciiTheme="majorBidi" w:hAnsiTheme="majorBidi" w:cstheme="majorBidi"/>
        </w:rPr>
        <w:t xml:space="preserve"> perturbational dynamics beyond canonical lineage regulators. Perturbational biology </w:t>
      </w:r>
      <w:r w:rsidR="00380CF4">
        <w:rPr>
          <w:rFonts w:asciiTheme="majorBidi" w:hAnsiTheme="majorBidi" w:cstheme="majorBidi"/>
        </w:rPr>
        <w:t>i</w:t>
      </w:r>
      <w:r w:rsidRPr="005D62E7">
        <w:rPr>
          <w:rFonts w:asciiTheme="majorBidi" w:hAnsiTheme="majorBidi" w:cstheme="majorBidi"/>
        </w:rPr>
        <w:t xml:space="preserve">s a fundamentally out-of-distribution prediction problem because transcriptional perturbations can drive cells into previously unobserved regions of state space. To address this challenge, </w:t>
      </w:r>
      <w:proofErr w:type="spellStart"/>
      <w:r w:rsidRPr="005D62E7">
        <w:rPr>
          <w:rFonts w:asciiTheme="majorBidi" w:hAnsiTheme="majorBidi" w:cstheme="majorBidi"/>
        </w:rPr>
        <w:t>scHopfield</w:t>
      </w:r>
      <w:proofErr w:type="spellEnd"/>
      <w:r w:rsidRPr="005D62E7">
        <w:rPr>
          <w:rFonts w:asciiTheme="majorBidi" w:hAnsiTheme="majorBidi" w:cstheme="majorBidi"/>
        </w:rPr>
        <w:t xml:space="preserve"> models perturbations within a constrained</w:t>
      </w:r>
      <w:r w:rsidR="00380CF4">
        <w:rPr>
          <w:rFonts w:asciiTheme="majorBidi" w:hAnsiTheme="majorBidi" w:cstheme="majorBidi"/>
        </w:rPr>
        <w:t>-dynamic</w:t>
      </w:r>
      <w:r w:rsidRPr="005D62E7">
        <w:rPr>
          <w:rFonts w:asciiTheme="majorBidi" w:hAnsiTheme="majorBidi" w:cstheme="majorBidi"/>
        </w:rPr>
        <w:t>s framework grounded in inferred regulatory interactions and attractor dynamics.</w:t>
      </w:r>
      <w:r w:rsidR="003C5293">
        <w:rPr>
          <w:rFonts w:asciiTheme="majorBidi" w:hAnsiTheme="majorBidi" w:cstheme="majorBidi"/>
        </w:rPr>
        <w:tab/>
      </w:r>
      <w:r w:rsidR="003C5293">
        <w:rPr>
          <w:rFonts w:asciiTheme="majorBidi" w:hAnsiTheme="majorBidi" w:cstheme="majorBidi"/>
        </w:rPr>
        <w:tab/>
      </w:r>
      <w:r w:rsidR="003C5293">
        <w:rPr>
          <w:rFonts w:asciiTheme="majorBidi" w:hAnsiTheme="majorBidi" w:cstheme="majorBidi"/>
        </w:rPr>
        <w:tab/>
      </w:r>
      <w:r w:rsidR="003C5293">
        <w:rPr>
          <w:rFonts w:asciiTheme="majorBidi" w:hAnsiTheme="majorBidi" w:cstheme="majorBidi"/>
        </w:rPr>
        <w:tab/>
      </w:r>
      <w:r w:rsidR="003C5293">
        <w:rPr>
          <w:rFonts w:asciiTheme="majorBidi" w:hAnsiTheme="majorBidi" w:cstheme="majorBidi"/>
        </w:rPr>
        <w:tab/>
      </w:r>
      <w:r w:rsidR="003C5293">
        <w:rPr>
          <w:rFonts w:asciiTheme="majorBidi" w:hAnsiTheme="majorBidi" w:cstheme="majorBidi"/>
        </w:rPr>
        <w:tab/>
      </w:r>
      <w:r w:rsidR="003C5293">
        <w:rPr>
          <w:rFonts w:asciiTheme="majorBidi" w:hAnsiTheme="majorBidi" w:cstheme="majorBidi"/>
        </w:rPr>
        <w:tab/>
      </w:r>
      <w:r w:rsidR="003C5293">
        <w:rPr>
          <w:rFonts w:asciiTheme="majorBidi" w:hAnsiTheme="majorBidi" w:cstheme="majorBidi"/>
        </w:rPr>
        <w:tab/>
      </w:r>
      <w:r w:rsidR="003C5293">
        <w:rPr>
          <w:rFonts w:asciiTheme="majorBidi" w:hAnsiTheme="majorBidi" w:cstheme="majorBidi"/>
        </w:rPr>
        <w:tab/>
      </w:r>
      <w:r w:rsidR="003C5293">
        <w:rPr>
          <w:rFonts w:asciiTheme="majorBidi" w:hAnsiTheme="majorBidi" w:cstheme="majorBidi"/>
        </w:rPr>
        <w:tab/>
      </w:r>
      <w:r w:rsidRPr="005D62E7">
        <w:rPr>
          <w:rFonts w:asciiTheme="majorBidi" w:hAnsiTheme="majorBidi" w:cstheme="majorBidi"/>
        </w:rPr>
        <w:t xml:space="preserve">Candidate transcription-factor pairs were prioritized using a multi-stage ranking strategy </w:t>
      </w:r>
      <w:r w:rsidR="00380CF4">
        <w:rPr>
          <w:rFonts w:asciiTheme="majorBidi" w:hAnsiTheme="majorBidi" w:cstheme="majorBidi"/>
        </w:rPr>
        <w:t>that integrated</w:t>
      </w:r>
      <w:r w:rsidRPr="005D62E7">
        <w:rPr>
          <w:rFonts w:asciiTheme="majorBidi" w:hAnsiTheme="majorBidi" w:cstheme="majorBidi"/>
        </w:rPr>
        <w:t xml:space="preserve"> regulatory edge strength, perturbational variance, lineage specificity, and perturbational magnitude across developmental states. Double-knockout simulations were evaluated using synergy, epistasis, and cancellation-error metrics </w:t>
      </w:r>
      <w:r w:rsidR="00380CF4">
        <w:rPr>
          <w:rFonts w:asciiTheme="majorBidi" w:hAnsiTheme="majorBidi" w:cstheme="majorBidi"/>
        </w:rPr>
        <w:t>that quantified</w:t>
      </w:r>
      <w:r w:rsidRPr="005D62E7">
        <w:rPr>
          <w:rFonts w:asciiTheme="majorBidi" w:hAnsiTheme="majorBidi" w:cstheme="majorBidi"/>
        </w:rPr>
        <w:t xml:space="preserve"> deviations from additive perturbational behavior.</w:t>
      </w:r>
      <w:r w:rsidR="00DD3782">
        <w:rPr>
          <w:rFonts w:asciiTheme="majorBidi" w:hAnsiTheme="majorBidi" w:cstheme="majorBidi"/>
        </w:rPr>
        <w:tab/>
      </w:r>
      <w:r w:rsidR="00DD3782">
        <w:rPr>
          <w:rFonts w:asciiTheme="majorBidi" w:hAnsiTheme="majorBidi" w:cstheme="majorBidi"/>
        </w:rPr>
        <w:tab/>
      </w:r>
      <w:r w:rsidR="00DD3782">
        <w:rPr>
          <w:rFonts w:asciiTheme="majorBidi" w:hAnsiTheme="majorBidi" w:cstheme="majorBidi"/>
        </w:rPr>
        <w:tab/>
      </w:r>
      <w:r w:rsidR="00DD3782">
        <w:rPr>
          <w:rFonts w:asciiTheme="majorBidi" w:hAnsiTheme="majorBidi" w:cstheme="majorBidi"/>
        </w:rPr>
        <w:tab/>
      </w:r>
      <w:r w:rsidR="00DD3782">
        <w:rPr>
          <w:rFonts w:asciiTheme="majorBidi" w:hAnsiTheme="majorBidi" w:cstheme="majorBidi"/>
        </w:rPr>
        <w:tab/>
      </w:r>
      <w:r w:rsidR="00DD3782">
        <w:rPr>
          <w:rFonts w:asciiTheme="majorBidi" w:hAnsiTheme="majorBidi" w:cstheme="majorBidi"/>
        </w:rPr>
        <w:tab/>
      </w:r>
      <w:r w:rsidR="00DD3782">
        <w:rPr>
          <w:rFonts w:asciiTheme="majorBidi" w:hAnsiTheme="majorBidi" w:cstheme="majorBidi"/>
        </w:rPr>
        <w:tab/>
      </w:r>
      <w:r w:rsidR="00DD3782">
        <w:rPr>
          <w:rFonts w:asciiTheme="majorBidi" w:hAnsiTheme="majorBidi" w:cstheme="majorBidi"/>
        </w:rPr>
        <w:tab/>
      </w:r>
      <w:r w:rsidR="00DD3782">
        <w:rPr>
          <w:rFonts w:asciiTheme="majorBidi" w:hAnsiTheme="majorBidi" w:cstheme="majorBidi"/>
        </w:rPr>
        <w:tab/>
      </w:r>
      <w:r w:rsidR="00380CF4">
        <w:rPr>
          <w:rFonts w:asciiTheme="majorBidi" w:hAnsiTheme="majorBidi" w:cstheme="majorBidi"/>
        </w:rPr>
        <w:t xml:space="preserve">In addition to recovering the known Gata1–Spi1 antagonism, </w:t>
      </w:r>
      <w:proofErr w:type="spellStart"/>
      <w:r w:rsidR="00380CF4">
        <w:rPr>
          <w:rFonts w:asciiTheme="majorBidi" w:hAnsiTheme="majorBidi" w:cstheme="majorBidi"/>
        </w:rPr>
        <w:t>scHopfield</w:t>
      </w:r>
      <w:proofErr w:type="spellEnd"/>
      <w:r w:rsidR="00380CF4">
        <w:rPr>
          <w:rFonts w:asciiTheme="majorBidi" w:hAnsiTheme="majorBidi" w:cstheme="majorBidi"/>
        </w:rPr>
        <w:t xml:space="preserve"> predicted multiple candidate nonlinear regulatory interactions involving Stat3, E2f4, Irf8, Cxxc1, Serp1, </w:t>
      </w:r>
      <w:proofErr w:type="spellStart"/>
      <w:r w:rsidR="00380CF4">
        <w:rPr>
          <w:rFonts w:asciiTheme="majorBidi" w:hAnsiTheme="majorBidi" w:cstheme="majorBidi"/>
        </w:rPr>
        <w:t>Apoe</w:t>
      </w:r>
      <w:proofErr w:type="spellEnd"/>
      <w:r w:rsidR="00380CF4">
        <w:rPr>
          <w:rFonts w:asciiTheme="majorBidi" w:hAnsiTheme="majorBidi" w:cstheme="majorBidi"/>
        </w:rPr>
        <w:t>, Mt2, and Cathepsin G. Stat3 emerged as a prominent lineage-balancing regulator, and its perturbation consistently shifted differentiation toward erythroid states, suggesting broader roles in lineage plasticity and trajectory stabilization. Several predicted interactions were detectable only through dynamic perturbational simulations and were not recoverable from static co-</w:t>
      </w:r>
      <w:r w:rsidR="00380CF4">
        <w:rPr>
          <w:rFonts w:asciiTheme="majorBidi" w:hAnsiTheme="majorBidi" w:cstheme="majorBidi"/>
        </w:rPr>
        <w:lastRenderedPageBreak/>
        <w:t>expression structure or graph topology alone.</w:t>
      </w:r>
      <w:r w:rsidR="00377FFC">
        <w:rPr>
          <w:rFonts w:asciiTheme="majorBidi" w:hAnsiTheme="majorBidi" w:cstheme="majorBidi"/>
        </w:rPr>
        <w:tab/>
      </w:r>
      <w:r w:rsidR="00377FFC">
        <w:rPr>
          <w:rFonts w:asciiTheme="majorBidi" w:hAnsiTheme="majorBidi" w:cstheme="majorBidi"/>
        </w:rPr>
        <w:tab/>
      </w:r>
      <w:r w:rsidR="00377FFC">
        <w:rPr>
          <w:rFonts w:asciiTheme="majorBidi" w:hAnsiTheme="majorBidi" w:cstheme="majorBidi"/>
        </w:rPr>
        <w:tab/>
      </w:r>
      <w:r w:rsidR="00377FFC">
        <w:rPr>
          <w:rFonts w:asciiTheme="majorBidi" w:hAnsiTheme="majorBidi" w:cstheme="majorBidi"/>
        </w:rPr>
        <w:tab/>
      </w:r>
      <w:r w:rsidR="00377FFC">
        <w:rPr>
          <w:rFonts w:asciiTheme="majorBidi" w:hAnsiTheme="majorBidi" w:cstheme="majorBidi"/>
        </w:rPr>
        <w:tab/>
      </w:r>
      <w:r w:rsidR="00377FFC">
        <w:rPr>
          <w:rFonts w:asciiTheme="majorBidi" w:hAnsiTheme="majorBidi" w:cstheme="majorBidi"/>
        </w:rPr>
        <w:tab/>
      </w:r>
      <w:r w:rsidR="00377FFC">
        <w:rPr>
          <w:rFonts w:asciiTheme="majorBidi" w:hAnsiTheme="majorBidi" w:cstheme="majorBidi"/>
        </w:rPr>
        <w:tab/>
      </w:r>
      <w:r w:rsidRPr="005D62E7">
        <w:rPr>
          <w:rFonts w:asciiTheme="majorBidi" w:hAnsiTheme="majorBidi" w:cstheme="majorBidi"/>
        </w:rPr>
        <w:t xml:space="preserve">These findings suggest that perturbational dynamics may reveal higher-order regulatory organization </w:t>
      </w:r>
      <w:r w:rsidR="00380CF4">
        <w:rPr>
          <w:rFonts w:asciiTheme="majorBidi" w:hAnsiTheme="majorBidi" w:cstheme="majorBidi"/>
        </w:rPr>
        <w:t>that</w:t>
      </w:r>
      <w:r w:rsidRPr="005D62E7">
        <w:rPr>
          <w:rFonts w:asciiTheme="majorBidi" w:hAnsiTheme="majorBidi" w:cstheme="majorBidi"/>
        </w:rPr>
        <w:t xml:space="preserve"> conventional transcriptomic analyses</w:t>
      </w:r>
      <w:r w:rsidR="00380CF4">
        <w:rPr>
          <w:rFonts w:asciiTheme="majorBidi" w:hAnsiTheme="majorBidi" w:cstheme="majorBidi"/>
        </w:rPr>
        <w:t xml:space="preserve"> cannot access</w:t>
      </w:r>
      <w:r w:rsidRPr="005D62E7">
        <w:rPr>
          <w:rFonts w:asciiTheme="majorBidi" w:hAnsiTheme="majorBidi" w:cstheme="majorBidi"/>
        </w:rPr>
        <w:t xml:space="preserve">. More broadly, the results position </w:t>
      </w:r>
      <w:proofErr w:type="spellStart"/>
      <w:r w:rsidRPr="005D62E7">
        <w:rPr>
          <w:rFonts w:asciiTheme="majorBidi" w:hAnsiTheme="majorBidi" w:cstheme="majorBidi"/>
        </w:rPr>
        <w:t>scHopfield</w:t>
      </w:r>
      <w:proofErr w:type="spellEnd"/>
      <w:r w:rsidRPr="005D62E7">
        <w:rPr>
          <w:rFonts w:asciiTheme="majorBidi" w:hAnsiTheme="majorBidi" w:cstheme="majorBidi"/>
        </w:rPr>
        <w:t xml:space="preserve"> as a framework for interpretable out-of-distribution perturbation modeling and hypothesis generation in single-cell biology.</w:t>
      </w:r>
    </w:p>
    <w:bookmarkEnd w:id="1"/>
    <w:bookmarkEnd w:id="7"/>
    <w:p w14:paraId="263636BC" w14:textId="77777777" w:rsidR="0049262F" w:rsidRPr="005D62E7" w:rsidRDefault="0049262F" w:rsidP="005D62E7">
      <w:pPr>
        <w:pStyle w:val="BodyText"/>
        <w:spacing w:line="360" w:lineRule="auto"/>
        <w:rPr>
          <w:rFonts w:asciiTheme="majorBidi" w:hAnsiTheme="majorBidi" w:cstheme="majorBidi"/>
          <w:i/>
          <w:iCs/>
          <w:lang w:val="en-SA"/>
        </w:rPr>
      </w:pPr>
    </w:p>
    <w:sectPr w:rsidR="0049262F" w:rsidRPr="005D62E7" w:rsidSect="00CC0B6B">
      <w:footnotePr>
        <w:numRestart w:val="eachSect"/>
      </w:footnotePr>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6A5D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8AF4072"/>
    <w:multiLevelType w:val="hybridMultilevel"/>
    <w:tmpl w:val="3CFC1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82FE7"/>
    <w:multiLevelType w:val="multilevel"/>
    <w:tmpl w:val="D9448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1772269">
    <w:abstractNumId w:val="0"/>
  </w:num>
  <w:num w:numId="2" w16cid:durableId="829098014">
    <w:abstractNumId w:val="1"/>
  </w:num>
  <w:num w:numId="3" w16cid:durableId="1281374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F7B"/>
    <w:rsid w:val="00000A23"/>
    <w:rsid w:val="00001CDE"/>
    <w:rsid w:val="000039B4"/>
    <w:rsid w:val="00004A11"/>
    <w:rsid w:val="0001020F"/>
    <w:rsid w:val="00012A93"/>
    <w:rsid w:val="00012CA7"/>
    <w:rsid w:val="00021076"/>
    <w:rsid w:val="00021CC9"/>
    <w:rsid w:val="00023EB4"/>
    <w:rsid w:val="00040FCD"/>
    <w:rsid w:val="00044424"/>
    <w:rsid w:val="0004489F"/>
    <w:rsid w:val="0004549A"/>
    <w:rsid w:val="00045C84"/>
    <w:rsid w:val="00046A37"/>
    <w:rsid w:val="0004726A"/>
    <w:rsid w:val="00051A97"/>
    <w:rsid w:val="00052BEE"/>
    <w:rsid w:val="00053A0A"/>
    <w:rsid w:val="00054009"/>
    <w:rsid w:val="000552AC"/>
    <w:rsid w:val="000558E4"/>
    <w:rsid w:val="00055B39"/>
    <w:rsid w:val="00061E9E"/>
    <w:rsid w:val="00067C2B"/>
    <w:rsid w:val="00072B52"/>
    <w:rsid w:val="000731FB"/>
    <w:rsid w:val="000737E5"/>
    <w:rsid w:val="0007389E"/>
    <w:rsid w:val="0008056F"/>
    <w:rsid w:val="0008220E"/>
    <w:rsid w:val="000864CB"/>
    <w:rsid w:val="00091D44"/>
    <w:rsid w:val="000930D8"/>
    <w:rsid w:val="000941EE"/>
    <w:rsid w:val="00094CFF"/>
    <w:rsid w:val="00095CE5"/>
    <w:rsid w:val="00097C42"/>
    <w:rsid w:val="000A19FE"/>
    <w:rsid w:val="000A336D"/>
    <w:rsid w:val="000A5050"/>
    <w:rsid w:val="000A552D"/>
    <w:rsid w:val="000B26BD"/>
    <w:rsid w:val="000B6838"/>
    <w:rsid w:val="000C0303"/>
    <w:rsid w:val="000C2C63"/>
    <w:rsid w:val="000C2EA8"/>
    <w:rsid w:val="000C454E"/>
    <w:rsid w:val="000C4AA9"/>
    <w:rsid w:val="000C7546"/>
    <w:rsid w:val="000D0124"/>
    <w:rsid w:val="000D04C9"/>
    <w:rsid w:val="000D0ED1"/>
    <w:rsid w:val="000D2DAE"/>
    <w:rsid w:val="000D49A3"/>
    <w:rsid w:val="000D634E"/>
    <w:rsid w:val="000D73F6"/>
    <w:rsid w:val="000D7F07"/>
    <w:rsid w:val="000E1333"/>
    <w:rsid w:val="000E2B7C"/>
    <w:rsid w:val="000E3666"/>
    <w:rsid w:val="000E499D"/>
    <w:rsid w:val="000F06FE"/>
    <w:rsid w:val="000F1951"/>
    <w:rsid w:val="000F2747"/>
    <w:rsid w:val="000F3C74"/>
    <w:rsid w:val="000F4781"/>
    <w:rsid w:val="000F47D9"/>
    <w:rsid w:val="000F54B9"/>
    <w:rsid w:val="000F6079"/>
    <w:rsid w:val="0010128C"/>
    <w:rsid w:val="001037CF"/>
    <w:rsid w:val="0010563F"/>
    <w:rsid w:val="0010657D"/>
    <w:rsid w:val="001079CA"/>
    <w:rsid w:val="00107C09"/>
    <w:rsid w:val="00117544"/>
    <w:rsid w:val="0011781F"/>
    <w:rsid w:val="00122D52"/>
    <w:rsid w:val="00123842"/>
    <w:rsid w:val="001256ED"/>
    <w:rsid w:val="001275C0"/>
    <w:rsid w:val="00133DB2"/>
    <w:rsid w:val="00134748"/>
    <w:rsid w:val="0013707B"/>
    <w:rsid w:val="0013720E"/>
    <w:rsid w:val="00141356"/>
    <w:rsid w:val="00141B16"/>
    <w:rsid w:val="00142F2F"/>
    <w:rsid w:val="00153848"/>
    <w:rsid w:val="00153C96"/>
    <w:rsid w:val="001547C9"/>
    <w:rsid w:val="00156676"/>
    <w:rsid w:val="00156983"/>
    <w:rsid w:val="00163507"/>
    <w:rsid w:val="00163698"/>
    <w:rsid w:val="0016431F"/>
    <w:rsid w:val="00164916"/>
    <w:rsid w:val="00165280"/>
    <w:rsid w:val="00166040"/>
    <w:rsid w:val="00167752"/>
    <w:rsid w:val="001723E8"/>
    <w:rsid w:val="0017526F"/>
    <w:rsid w:val="00180C26"/>
    <w:rsid w:val="00182314"/>
    <w:rsid w:val="00183948"/>
    <w:rsid w:val="00185C91"/>
    <w:rsid w:val="00185F9F"/>
    <w:rsid w:val="001877AF"/>
    <w:rsid w:val="00187D88"/>
    <w:rsid w:val="00191524"/>
    <w:rsid w:val="00191EF7"/>
    <w:rsid w:val="00192DCA"/>
    <w:rsid w:val="001936E2"/>
    <w:rsid w:val="001A0269"/>
    <w:rsid w:val="001A386E"/>
    <w:rsid w:val="001A3C05"/>
    <w:rsid w:val="001A450C"/>
    <w:rsid w:val="001A5B11"/>
    <w:rsid w:val="001B0266"/>
    <w:rsid w:val="001B1140"/>
    <w:rsid w:val="001B606E"/>
    <w:rsid w:val="001B60C5"/>
    <w:rsid w:val="001B6A89"/>
    <w:rsid w:val="001C48EC"/>
    <w:rsid w:val="001C549D"/>
    <w:rsid w:val="001C71B9"/>
    <w:rsid w:val="001D332C"/>
    <w:rsid w:val="001D67B8"/>
    <w:rsid w:val="001E033F"/>
    <w:rsid w:val="001E0CFC"/>
    <w:rsid w:val="001E1603"/>
    <w:rsid w:val="001E62F4"/>
    <w:rsid w:val="001F31E3"/>
    <w:rsid w:val="001F3C8E"/>
    <w:rsid w:val="001F78E0"/>
    <w:rsid w:val="001F7DEE"/>
    <w:rsid w:val="00200310"/>
    <w:rsid w:val="0020039C"/>
    <w:rsid w:val="00200F3F"/>
    <w:rsid w:val="00204BA9"/>
    <w:rsid w:val="00211D2A"/>
    <w:rsid w:val="002163FB"/>
    <w:rsid w:val="00217EED"/>
    <w:rsid w:val="00221707"/>
    <w:rsid w:val="00222750"/>
    <w:rsid w:val="00231148"/>
    <w:rsid w:val="00231655"/>
    <w:rsid w:val="0023289C"/>
    <w:rsid w:val="00232E02"/>
    <w:rsid w:val="0023476D"/>
    <w:rsid w:val="00235B0F"/>
    <w:rsid w:val="002402F1"/>
    <w:rsid w:val="00240529"/>
    <w:rsid w:val="002418A4"/>
    <w:rsid w:val="00242E3A"/>
    <w:rsid w:val="002434DF"/>
    <w:rsid w:val="00243914"/>
    <w:rsid w:val="0024552E"/>
    <w:rsid w:val="00246446"/>
    <w:rsid w:val="00246A5F"/>
    <w:rsid w:val="00247777"/>
    <w:rsid w:val="0025045D"/>
    <w:rsid w:val="00251234"/>
    <w:rsid w:val="00252618"/>
    <w:rsid w:val="0025300B"/>
    <w:rsid w:val="002535C4"/>
    <w:rsid w:val="00257DE5"/>
    <w:rsid w:val="00260F7B"/>
    <w:rsid w:val="002611FA"/>
    <w:rsid w:val="0026276A"/>
    <w:rsid w:val="00263A1E"/>
    <w:rsid w:val="002649C9"/>
    <w:rsid w:val="002669A0"/>
    <w:rsid w:val="0027006E"/>
    <w:rsid w:val="00271963"/>
    <w:rsid w:val="00271F9D"/>
    <w:rsid w:val="00273603"/>
    <w:rsid w:val="002801A0"/>
    <w:rsid w:val="002822D3"/>
    <w:rsid w:val="00282C0C"/>
    <w:rsid w:val="00282D9B"/>
    <w:rsid w:val="00286B31"/>
    <w:rsid w:val="00287228"/>
    <w:rsid w:val="00287C30"/>
    <w:rsid w:val="002920C8"/>
    <w:rsid w:val="00292B0A"/>
    <w:rsid w:val="002933D0"/>
    <w:rsid w:val="002A0176"/>
    <w:rsid w:val="002A01A1"/>
    <w:rsid w:val="002A39A7"/>
    <w:rsid w:val="002A631C"/>
    <w:rsid w:val="002A65DA"/>
    <w:rsid w:val="002B31EF"/>
    <w:rsid w:val="002C2B69"/>
    <w:rsid w:val="002D1923"/>
    <w:rsid w:val="002D2462"/>
    <w:rsid w:val="002D367B"/>
    <w:rsid w:val="002D4865"/>
    <w:rsid w:val="002D5DBA"/>
    <w:rsid w:val="002D7131"/>
    <w:rsid w:val="002D7D40"/>
    <w:rsid w:val="002E34E7"/>
    <w:rsid w:val="002E3888"/>
    <w:rsid w:val="002E47C1"/>
    <w:rsid w:val="002E5229"/>
    <w:rsid w:val="002E5438"/>
    <w:rsid w:val="002E5EC2"/>
    <w:rsid w:val="002E6014"/>
    <w:rsid w:val="002E6B17"/>
    <w:rsid w:val="002E7860"/>
    <w:rsid w:val="002E7A9D"/>
    <w:rsid w:val="002F1096"/>
    <w:rsid w:val="002F1BFB"/>
    <w:rsid w:val="002F27F0"/>
    <w:rsid w:val="002F40E7"/>
    <w:rsid w:val="002F76AC"/>
    <w:rsid w:val="00301F52"/>
    <w:rsid w:val="00303EAA"/>
    <w:rsid w:val="00305606"/>
    <w:rsid w:val="003064D0"/>
    <w:rsid w:val="00310750"/>
    <w:rsid w:val="003246C1"/>
    <w:rsid w:val="00325580"/>
    <w:rsid w:val="003272C3"/>
    <w:rsid w:val="00327FA0"/>
    <w:rsid w:val="0033398C"/>
    <w:rsid w:val="00335B98"/>
    <w:rsid w:val="00337CAD"/>
    <w:rsid w:val="003412FA"/>
    <w:rsid w:val="00341FAE"/>
    <w:rsid w:val="00342563"/>
    <w:rsid w:val="00347EC3"/>
    <w:rsid w:val="0035301D"/>
    <w:rsid w:val="003546AE"/>
    <w:rsid w:val="00355638"/>
    <w:rsid w:val="003566B8"/>
    <w:rsid w:val="00357D07"/>
    <w:rsid w:val="00361124"/>
    <w:rsid w:val="00361236"/>
    <w:rsid w:val="003643F8"/>
    <w:rsid w:val="00365AF0"/>
    <w:rsid w:val="003672D1"/>
    <w:rsid w:val="00367B0B"/>
    <w:rsid w:val="00367E62"/>
    <w:rsid w:val="00370396"/>
    <w:rsid w:val="00372DB6"/>
    <w:rsid w:val="00373090"/>
    <w:rsid w:val="0037460C"/>
    <w:rsid w:val="00374DCA"/>
    <w:rsid w:val="00375617"/>
    <w:rsid w:val="00375627"/>
    <w:rsid w:val="00375DB3"/>
    <w:rsid w:val="00377FFC"/>
    <w:rsid w:val="00380759"/>
    <w:rsid w:val="00380CF4"/>
    <w:rsid w:val="00383631"/>
    <w:rsid w:val="00384215"/>
    <w:rsid w:val="00385DF9"/>
    <w:rsid w:val="00386176"/>
    <w:rsid w:val="00390592"/>
    <w:rsid w:val="003907B5"/>
    <w:rsid w:val="00393A33"/>
    <w:rsid w:val="00395816"/>
    <w:rsid w:val="003A17D0"/>
    <w:rsid w:val="003A5212"/>
    <w:rsid w:val="003A6FA7"/>
    <w:rsid w:val="003B2E8D"/>
    <w:rsid w:val="003B46C8"/>
    <w:rsid w:val="003B5851"/>
    <w:rsid w:val="003B6B5B"/>
    <w:rsid w:val="003C0BEE"/>
    <w:rsid w:val="003C0C02"/>
    <w:rsid w:val="003C136C"/>
    <w:rsid w:val="003C302B"/>
    <w:rsid w:val="003C46CB"/>
    <w:rsid w:val="003C4B85"/>
    <w:rsid w:val="003C5293"/>
    <w:rsid w:val="003C533A"/>
    <w:rsid w:val="003C5F88"/>
    <w:rsid w:val="003D1D29"/>
    <w:rsid w:val="003D2B5B"/>
    <w:rsid w:val="003D2C8E"/>
    <w:rsid w:val="003D529F"/>
    <w:rsid w:val="003D547C"/>
    <w:rsid w:val="003E0639"/>
    <w:rsid w:val="003E496A"/>
    <w:rsid w:val="003F20AE"/>
    <w:rsid w:val="003F4852"/>
    <w:rsid w:val="003F76B5"/>
    <w:rsid w:val="00401B6F"/>
    <w:rsid w:val="004027D4"/>
    <w:rsid w:val="00402B04"/>
    <w:rsid w:val="00403D1E"/>
    <w:rsid w:val="0040537F"/>
    <w:rsid w:val="0040758F"/>
    <w:rsid w:val="00410058"/>
    <w:rsid w:val="00410E31"/>
    <w:rsid w:val="00413399"/>
    <w:rsid w:val="004150B5"/>
    <w:rsid w:val="00415C45"/>
    <w:rsid w:val="004172B7"/>
    <w:rsid w:val="0041794B"/>
    <w:rsid w:val="0042105F"/>
    <w:rsid w:val="004230E5"/>
    <w:rsid w:val="00424301"/>
    <w:rsid w:val="00426C8E"/>
    <w:rsid w:val="004312D5"/>
    <w:rsid w:val="0044015C"/>
    <w:rsid w:val="00440313"/>
    <w:rsid w:val="004444D8"/>
    <w:rsid w:val="004447BA"/>
    <w:rsid w:val="004476B1"/>
    <w:rsid w:val="00453953"/>
    <w:rsid w:val="0045508B"/>
    <w:rsid w:val="00456C90"/>
    <w:rsid w:val="0045740C"/>
    <w:rsid w:val="0046364C"/>
    <w:rsid w:val="00463F0A"/>
    <w:rsid w:val="00463F44"/>
    <w:rsid w:val="00464779"/>
    <w:rsid w:val="00464FBA"/>
    <w:rsid w:val="00465C85"/>
    <w:rsid w:val="0046619F"/>
    <w:rsid w:val="00471179"/>
    <w:rsid w:val="004717DC"/>
    <w:rsid w:val="00472B74"/>
    <w:rsid w:val="004761C1"/>
    <w:rsid w:val="0047654D"/>
    <w:rsid w:val="00476990"/>
    <w:rsid w:val="004805E1"/>
    <w:rsid w:val="004814ED"/>
    <w:rsid w:val="00482A9C"/>
    <w:rsid w:val="00482F54"/>
    <w:rsid w:val="004840BA"/>
    <w:rsid w:val="00484897"/>
    <w:rsid w:val="00485A7C"/>
    <w:rsid w:val="004905A4"/>
    <w:rsid w:val="00491BC3"/>
    <w:rsid w:val="0049262F"/>
    <w:rsid w:val="0049316E"/>
    <w:rsid w:val="00494F37"/>
    <w:rsid w:val="004950BE"/>
    <w:rsid w:val="00495F72"/>
    <w:rsid w:val="00496816"/>
    <w:rsid w:val="0049741F"/>
    <w:rsid w:val="004A77EE"/>
    <w:rsid w:val="004B2657"/>
    <w:rsid w:val="004B3827"/>
    <w:rsid w:val="004B5245"/>
    <w:rsid w:val="004C0070"/>
    <w:rsid w:val="004C1C47"/>
    <w:rsid w:val="004C2CB6"/>
    <w:rsid w:val="004C2F06"/>
    <w:rsid w:val="004C5E27"/>
    <w:rsid w:val="004C7F7D"/>
    <w:rsid w:val="004D1463"/>
    <w:rsid w:val="004D170C"/>
    <w:rsid w:val="004D7117"/>
    <w:rsid w:val="004E2F34"/>
    <w:rsid w:val="004E5F5C"/>
    <w:rsid w:val="004F464E"/>
    <w:rsid w:val="004F488C"/>
    <w:rsid w:val="004F7AA0"/>
    <w:rsid w:val="00500C3F"/>
    <w:rsid w:val="005042F1"/>
    <w:rsid w:val="00505DF2"/>
    <w:rsid w:val="0050681D"/>
    <w:rsid w:val="00513A33"/>
    <w:rsid w:val="0051585A"/>
    <w:rsid w:val="00515E64"/>
    <w:rsid w:val="00520EA7"/>
    <w:rsid w:val="005213A5"/>
    <w:rsid w:val="005230DB"/>
    <w:rsid w:val="00524942"/>
    <w:rsid w:val="005269AC"/>
    <w:rsid w:val="00530308"/>
    <w:rsid w:val="0053074E"/>
    <w:rsid w:val="0053138E"/>
    <w:rsid w:val="00532DE8"/>
    <w:rsid w:val="00533E2C"/>
    <w:rsid w:val="005353F1"/>
    <w:rsid w:val="0053586D"/>
    <w:rsid w:val="00537BA2"/>
    <w:rsid w:val="005402CE"/>
    <w:rsid w:val="00540F32"/>
    <w:rsid w:val="00543040"/>
    <w:rsid w:val="00543FB3"/>
    <w:rsid w:val="00545DF3"/>
    <w:rsid w:val="00552AAC"/>
    <w:rsid w:val="005539B9"/>
    <w:rsid w:val="00555700"/>
    <w:rsid w:val="00556B83"/>
    <w:rsid w:val="00561E78"/>
    <w:rsid w:val="00567631"/>
    <w:rsid w:val="005703B9"/>
    <w:rsid w:val="005707C7"/>
    <w:rsid w:val="00570EE5"/>
    <w:rsid w:val="00575DF1"/>
    <w:rsid w:val="00576402"/>
    <w:rsid w:val="00582232"/>
    <w:rsid w:val="00583FB1"/>
    <w:rsid w:val="00584A1F"/>
    <w:rsid w:val="00586F7C"/>
    <w:rsid w:val="0059308F"/>
    <w:rsid w:val="00594AED"/>
    <w:rsid w:val="0059582C"/>
    <w:rsid w:val="0059694A"/>
    <w:rsid w:val="00596D18"/>
    <w:rsid w:val="005A20B8"/>
    <w:rsid w:val="005A3AB6"/>
    <w:rsid w:val="005A494D"/>
    <w:rsid w:val="005A589B"/>
    <w:rsid w:val="005A7673"/>
    <w:rsid w:val="005B30F9"/>
    <w:rsid w:val="005B664F"/>
    <w:rsid w:val="005B6E48"/>
    <w:rsid w:val="005C054A"/>
    <w:rsid w:val="005C0D35"/>
    <w:rsid w:val="005C3995"/>
    <w:rsid w:val="005C3C9D"/>
    <w:rsid w:val="005D2129"/>
    <w:rsid w:val="005D3253"/>
    <w:rsid w:val="005D391A"/>
    <w:rsid w:val="005D4EFE"/>
    <w:rsid w:val="005D62E7"/>
    <w:rsid w:val="005E30A9"/>
    <w:rsid w:val="005E4802"/>
    <w:rsid w:val="005E4D80"/>
    <w:rsid w:val="005E5431"/>
    <w:rsid w:val="005E5C7E"/>
    <w:rsid w:val="005F1404"/>
    <w:rsid w:val="005F383C"/>
    <w:rsid w:val="00611E90"/>
    <w:rsid w:val="006128A9"/>
    <w:rsid w:val="006151FB"/>
    <w:rsid w:val="00615D2B"/>
    <w:rsid w:val="0062003C"/>
    <w:rsid w:val="0062142A"/>
    <w:rsid w:val="006263D3"/>
    <w:rsid w:val="00633BB5"/>
    <w:rsid w:val="00641626"/>
    <w:rsid w:val="0064169D"/>
    <w:rsid w:val="00641B7C"/>
    <w:rsid w:val="00643441"/>
    <w:rsid w:val="006455BD"/>
    <w:rsid w:val="0064612F"/>
    <w:rsid w:val="00646253"/>
    <w:rsid w:val="00650222"/>
    <w:rsid w:val="006515CF"/>
    <w:rsid w:val="00654499"/>
    <w:rsid w:val="00654766"/>
    <w:rsid w:val="00654F49"/>
    <w:rsid w:val="00654F8C"/>
    <w:rsid w:val="006564EF"/>
    <w:rsid w:val="00656B52"/>
    <w:rsid w:val="00663A0E"/>
    <w:rsid w:val="006664FA"/>
    <w:rsid w:val="00670604"/>
    <w:rsid w:val="00670780"/>
    <w:rsid w:val="00670A27"/>
    <w:rsid w:val="00670E16"/>
    <w:rsid w:val="00673B3F"/>
    <w:rsid w:val="006748B5"/>
    <w:rsid w:val="00674A7F"/>
    <w:rsid w:val="00674F4B"/>
    <w:rsid w:val="00676A54"/>
    <w:rsid w:val="0068114E"/>
    <w:rsid w:val="00681155"/>
    <w:rsid w:val="00682F10"/>
    <w:rsid w:val="0068324E"/>
    <w:rsid w:val="00685AE5"/>
    <w:rsid w:val="00692D4F"/>
    <w:rsid w:val="00693718"/>
    <w:rsid w:val="00697488"/>
    <w:rsid w:val="006A08CF"/>
    <w:rsid w:val="006A2570"/>
    <w:rsid w:val="006A3650"/>
    <w:rsid w:val="006A4C38"/>
    <w:rsid w:val="006A7705"/>
    <w:rsid w:val="006B03AA"/>
    <w:rsid w:val="006B2322"/>
    <w:rsid w:val="006C03EF"/>
    <w:rsid w:val="006C190F"/>
    <w:rsid w:val="006C3A5B"/>
    <w:rsid w:val="006C590C"/>
    <w:rsid w:val="006C5BFC"/>
    <w:rsid w:val="006C69B3"/>
    <w:rsid w:val="006D0226"/>
    <w:rsid w:val="006D2B55"/>
    <w:rsid w:val="006D6B15"/>
    <w:rsid w:val="006E09A3"/>
    <w:rsid w:val="006E2F69"/>
    <w:rsid w:val="006E57C7"/>
    <w:rsid w:val="006E6A5A"/>
    <w:rsid w:val="006F0234"/>
    <w:rsid w:val="006F090C"/>
    <w:rsid w:val="006F0F85"/>
    <w:rsid w:val="006F1FFE"/>
    <w:rsid w:val="006F5834"/>
    <w:rsid w:val="006F7343"/>
    <w:rsid w:val="006F741E"/>
    <w:rsid w:val="006F7579"/>
    <w:rsid w:val="0070063B"/>
    <w:rsid w:val="00703A02"/>
    <w:rsid w:val="0070688D"/>
    <w:rsid w:val="00711BC0"/>
    <w:rsid w:val="00714305"/>
    <w:rsid w:val="00720A96"/>
    <w:rsid w:val="00720F01"/>
    <w:rsid w:val="0072243E"/>
    <w:rsid w:val="00723457"/>
    <w:rsid w:val="00724EC0"/>
    <w:rsid w:val="007265C2"/>
    <w:rsid w:val="007327AF"/>
    <w:rsid w:val="00742734"/>
    <w:rsid w:val="00742C4C"/>
    <w:rsid w:val="00743693"/>
    <w:rsid w:val="00751A73"/>
    <w:rsid w:val="00753E4C"/>
    <w:rsid w:val="0075470C"/>
    <w:rsid w:val="00761F06"/>
    <w:rsid w:val="007622E5"/>
    <w:rsid w:val="00763E35"/>
    <w:rsid w:val="00764E8A"/>
    <w:rsid w:val="00765B87"/>
    <w:rsid w:val="00765B90"/>
    <w:rsid w:val="00766324"/>
    <w:rsid w:val="00767A5D"/>
    <w:rsid w:val="00774F9A"/>
    <w:rsid w:val="007767F1"/>
    <w:rsid w:val="00777AB9"/>
    <w:rsid w:val="00780106"/>
    <w:rsid w:val="00781037"/>
    <w:rsid w:val="007827D1"/>
    <w:rsid w:val="00782E3E"/>
    <w:rsid w:val="0078327F"/>
    <w:rsid w:val="00783747"/>
    <w:rsid w:val="00786424"/>
    <w:rsid w:val="00786FDA"/>
    <w:rsid w:val="007949E0"/>
    <w:rsid w:val="007A1620"/>
    <w:rsid w:val="007A3640"/>
    <w:rsid w:val="007A75E5"/>
    <w:rsid w:val="007B67E1"/>
    <w:rsid w:val="007B6B64"/>
    <w:rsid w:val="007C40C9"/>
    <w:rsid w:val="007C5515"/>
    <w:rsid w:val="007C58F4"/>
    <w:rsid w:val="007C5C40"/>
    <w:rsid w:val="007D11DE"/>
    <w:rsid w:val="007D1863"/>
    <w:rsid w:val="007D1CFD"/>
    <w:rsid w:val="007D442F"/>
    <w:rsid w:val="007D44CB"/>
    <w:rsid w:val="007D7286"/>
    <w:rsid w:val="007D728E"/>
    <w:rsid w:val="007D7FE0"/>
    <w:rsid w:val="007E153C"/>
    <w:rsid w:val="007E2581"/>
    <w:rsid w:val="007E40EF"/>
    <w:rsid w:val="007E47B8"/>
    <w:rsid w:val="007E582C"/>
    <w:rsid w:val="007E640E"/>
    <w:rsid w:val="007E7A53"/>
    <w:rsid w:val="007F797C"/>
    <w:rsid w:val="007F7E49"/>
    <w:rsid w:val="00801820"/>
    <w:rsid w:val="00801FA2"/>
    <w:rsid w:val="0081064D"/>
    <w:rsid w:val="00812F6F"/>
    <w:rsid w:val="00817322"/>
    <w:rsid w:val="008176E3"/>
    <w:rsid w:val="00820591"/>
    <w:rsid w:val="00820A38"/>
    <w:rsid w:val="00820F01"/>
    <w:rsid w:val="0082154B"/>
    <w:rsid w:val="008246C3"/>
    <w:rsid w:val="008262AD"/>
    <w:rsid w:val="008303FC"/>
    <w:rsid w:val="00832B64"/>
    <w:rsid w:val="00836086"/>
    <w:rsid w:val="008362F6"/>
    <w:rsid w:val="00837BD7"/>
    <w:rsid w:val="0084161A"/>
    <w:rsid w:val="0084251F"/>
    <w:rsid w:val="00842BF3"/>
    <w:rsid w:val="00843DE5"/>
    <w:rsid w:val="00843E20"/>
    <w:rsid w:val="008505EB"/>
    <w:rsid w:val="00856499"/>
    <w:rsid w:val="00857003"/>
    <w:rsid w:val="0085707B"/>
    <w:rsid w:val="00857445"/>
    <w:rsid w:val="00857E65"/>
    <w:rsid w:val="00864A4B"/>
    <w:rsid w:val="00865D9C"/>
    <w:rsid w:val="00870684"/>
    <w:rsid w:val="00870AFC"/>
    <w:rsid w:val="00871EEE"/>
    <w:rsid w:val="008738C2"/>
    <w:rsid w:val="00876920"/>
    <w:rsid w:val="00876E5E"/>
    <w:rsid w:val="00881966"/>
    <w:rsid w:val="00885743"/>
    <w:rsid w:val="00890C3E"/>
    <w:rsid w:val="00893139"/>
    <w:rsid w:val="00894EDF"/>
    <w:rsid w:val="00895490"/>
    <w:rsid w:val="008A10D6"/>
    <w:rsid w:val="008A1E95"/>
    <w:rsid w:val="008A7150"/>
    <w:rsid w:val="008B113B"/>
    <w:rsid w:val="008B184C"/>
    <w:rsid w:val="008B4126"/>
    <w:rsid w:val="008B484D"/>
    <w:rsid w:val="008B520C"/>
    <w:rsid w:val="008B6B55"/>
    <w:rsid w:val="008C2B2D"/>
    <w:rsid w:val="008C3250"/>
    <w:rsid w:val="008C4959"/>
    <w:rsid w:val="008C7CC0"/>
    <w:rsid w:val="008D07FE"/>
    <w:rsid w:val="008D22D6"/>
    <w:rsid w:val="008D37A1"/>
    <w:rsid w:val="008D4366"/>
    <w:rsid w:val="008D4BEC"/>
    <w:rsid w:val="008E0834"/>
    <w:rsid w:val="008E1089"/>
    <w:rsid w:val="008E18E6"/>
    <w:rsid w:val="008E6755"/>
    <w:rsid w:val="008F6964"/>
    <w:rsid w:val="008F75F7"/>
    <w:rsid w:val="0090108C"/>
    <w:rsid w:val="00903803"/>
    <w:rsid w:val="00903BA2"/>
    <w:rsid w:val="00905DED"/>
    <w:rsid w:val="00907056"/>
    <w:rsid w:val="009073D1"/>
    <w:rsid w:val="0091007E"/>
    <w:rsid w:val="00912796"/>
    <w:rsid w:val="009151A7"/>
    <w:rsid w:val="009177A2"/>
    <w:rsid w:val="00923FAF"/>
    <w:rsid w:val="00925022"/>
    <w:rsid w:val="00925909"/>
    <w:rsid w:val="009260B3"/>
    <w:rsid w:val="0092660E"/>
    <w:rsid w:val="0092794B"/>
    <w:rsid w:val="009320D4"/>
    <w:rsid w:val="0093457E"/>
    <w:rsid w:val="00937176"/>
    <w:rsid w:val="00937259"/>
    <w:rsid w:val="00937988"/>
    <w:rsid w:val="00937A77"/>
    <w:rsid w:val="00940D8D"/>
    <w:rsid w:val="00943CB4"/>
    <w:rsid w:val="00943D41"/>
    <w:rsid w:val="00944165"/>
    <w:rsid w:val="00944196"/>
    <w:rsid w:val="0094694B"/>
    <w:rsid w:val="009511A8"/>
    <w:rsid w:val="00953B2F"/>
    <w:rsid w:val="009551EF"/>
    <w:rsid w:val="00955831"/>
    <w:rsid w:val="0095764B"/>
    <w:rsid w:val="00964654"/>
    <w:rsid w:val="00967288"/>
    <w:rsid w:val="0096734C"/>
    <w:rsid w:val="00974B4F"/>
    <w:rsid w:val="009829EC"/>
    <w:rsid w:val="00982F3F"/>
    <w:rsid w:val="00985D34"/>
    <w:rsid w:val="00985D87"/>
    <w:rsid w:val="0098797D"/>
    <w:rsid w:val="00990276"/>
    <w:rsid w:val="00992266"/>
    <w:rsid w:val="0099228E"/>
    <w:rsid w:val="00992EB5"/>
    <w:rsid w:val="009931A2"/>
    <w:rsid w:val="00993D17"/>
    <w:rsid w:val="009948C5"/>
    <w:rsid w:val="00996942"/>
    <w:rsid w:val="009A0015"/>
    <w:rsid w:val="009A07EF"/>
    <w:rsid w:val="009A0A3B"/>
    <w:rsid w:val="009A20E2"/>
    <w:rsid w:val="009A349D"/>
    <w:rsid w:val="009A46A2"/>
    <w:rsid w:val="009A4B58"/>
    <w:rsid w:val="009A5DFB"/>
    <w:rsid w:val="009B34A7"/>
    <w:rsid w:val="009B4B17"/>
    <w:rsid w:val="009B53BF"/>
    <w:rsid w:val="009C0872"/>
    <w:rsid w:val="009C46D5"/>
    <w:rsid w:val="009C5DD5"/>
    <w:rsid w:val="009C7AF5"/>
    <w:rsid w:val="009C7F94"/>
    <w:rsid w:val="009D41F4"/>
    <w:rsid w:val="009D4C67"/>
    <w:rsid w:val="009D571C"/>
    <w:rsid w:val="009D69B2"/>
    <w:rsid w:val="009D6DA0"/>
    <w:rsid w:val="009E0ACB"/>
    <w:rsid w:val="009E0B8E"/>
    <w:rsid w:val="009E1BDF"/>
    <w:rsid w:val="009E48D5"/>
    <w:rsid w:val="009E5B5C"/>
    <w:rsid w:val="009E619A"/>
    <w:rsid w:val="009F0E91"/>
    <w:rsid w:val="009F1D15"/>
    <w:rsid w:val="009F4D14"/>
    <w:rsid w:val="009F7380"/>
    <w:rsid w:val="00A0059E"/>
    <w:rsid w:val="00A0253E"/>
    <w:rsid w:val="00A026D3"/>
    <w:rsid w:val="00A02DD6"/>
    <w:rsid w:val="00A03B0D"/>
    <w:rsid w:val="00A064BE"/>
    <w:rsid w:val="00A14303"/>
    <w:rsid w:val="00A14D50"/>
    <w:rsid w:val="00A15237"/>
    <w:rsid w:val="00A161B7"/>
    <w:rsid w:val="00A16D99"/>
    <w:rsid w:val="00A2028D"/>
    <w:rsid w:val="00A20B64"/>
    <w:rsid w:val="00A21816"/>
    <w:rsid w:val="00A22259"/>
    <w:rsid w:val="00A231A0"/>
    <w:rsid w:val="00A24D5A"/>
    <w:rsid w:val="00A25AE1"/>
    <w:rsid w:val="00A25BAD"/>
    <w:rsid w:val="00A30477"/>
    <w:rsid w:val="00A34133"/>
    <w:rsid w:val="00A34BF2"/>
    <w:rsid w:val="00A34F83"/>
    <w:rsid w:val="00A363CD"/>
    <w:rsid w:val="00A3696F"/>
    <w:rsid w:val="00A37BFC"/>
    <w:rsid w:val="00A4136D"/>
    <w:rsid w:val="00A425E9"/>
    <w:rsid w:val="00A4359B"/>
    <w:rsid w:val="00A46E17"/>
    <w:rsid w:val="00A47CB3"/>
    <w:rsid w:val="00A47EA0"/>
    <w:rsid w:val="00A51658"/>
    <w:rsid w:val="00A51BCE"/>
    <w:rsid w:val="00A52D22"/>
    <w:rsid w:val="00A5305A"/>
    <w:rsid w:val="00A53A83"/>
    <w:rsid w:val="00A55B56"/>
    <w:rsid w:val="00A560DE"/>
    <w:rsid w:val="00A56DCE"/>
    <w:rsid w:val="00A60D3D"/>
    <w:rsid w:val="00A60E22"/>
    <w:rsid w:val="00A61C76"/>
    <w:rsid w:val="00A63BA2"/>
    <w:rsid w:val="00A63D93"/>
    <w:rsid w:val="00A64015"/>
    <w:rsid w:val="00A6654F"/>
    <w:rsid w:val="00A73FFA"/>
    <w:rsid w:val="00A77DCD"/>
    <w:rsid w:val="00A80AB6"/>
    <w:rsid w:val="00A818A8"/>
    <w:rsid w:val="00A81AE4"/>
    <w:rsid w:val="00A8299C"/>
    <w:rsid w:val="00A82B2C"/>
    <w:rsid w:val="00A84F74"/>
    <w:rsid w:val="00A858E6"/>
    <w:rsid w:val="00A86DE4"/>
    <w:rsid w:val="00A874F9"/>
    <w:rsid w:val="00A878DB"/>
    <w:rsid w:val="00A921AE"/>
    <w:rsid w:val="00A92B07"/>
    <w:rsid w:val="00A95CB1"/>
    <w:rsid w:val="00AA422F"/>
    <w:rsid w:val="00AA71AF"/>
    <w:rsid w:val="00AB0752"/>
    <w:rsid w:val="00AB2823"/>
    <w:rsid w:val="00AB2BA9"/>
    <w:rsid w:val="00AB5D44"/>
    <w:rsid w:val="00AB611D"/>
    <w:rsid w:val="00AB784D"/>
    <w:rsid w:val="00AC043D"/>
    <w:rsid w:val="00AC15B3"/>
    <w:rsid w:val="00AC1840"/>
    <w:rsid w:val="00AC2AC5"/>
    <w:rsid w:val="00AD05F0"/>
    <w:rsid w:val="00AD0D07"/>
    <w:rsid w:val="00AD2A8F"/>
    <w:rsid w:val="00AD41BC"/>
    <w:rsid w:val="00AD73BF"/>
    <w:rsid w:val="00AE0CBB"/>
    <w:rsid w:val="00AE2164"/>
    <w:rsid w:val="00AE2306"/>
    <w:rsid w:val="00AE25CE"/>
    <w:rsid w:val="00AE4E13"/>
    <w:rsid w:val="00AE5E2F"/>
    <w:rsid w:val="00AE631B"/>
    <w:rsid w:val="00AE7044"/>
    <w:rsid w:val="00AE7CA7"/>
    <w:rsid w:val="00AF0AEF"/>
    <w:rsid w:val="00AF2751"/>
    <w:rsid w:val="00AF3942"/>
    <w:rsid w:val="00AF4D26"/>
    <w:rsid w:val="00B02787"/>
    <w:rsid w:val="00B033A2"/>
    <w:rsid w:val="00B0480F"/>
    <w:rsid w:val="00B073A7"/>
    <w:rsid w:val="00B115F0"/>
    <w:rsid w:val="00B152DD"/>
    <w:rsid w:val="00B226C5"/>
    <w:rsid w:val="00B30DBC"/>
    <w:rsid w:val="00B31103"/>
    <w:rsid w:val="00B32D1F"/>
    <w:rsid w:val="00B35EE9"/>
    <w:rsid w:val="00B37015"/>
    <w:rsid w:val="00B40B9D"/>
    <w:rsid w:val="00B40CBD"/>
    <w:rsid w:val="00B40F5B"/>
    <w:rsid w:val="00B45401"/>
    <w:rsid w:val="00B503DC"/>
    <w:rsid w:val="00B50CE4"/>
    <w:rsid w:val="00B522E5"/>
    <w:rsid w:val="00B5469D"/>
    <w:rsid w:val="00B552B5"/>
    <w:rsid w:val="00B56DFD"/>
    <w:rsid w:val="00B61EDC"/>
    <w:rsid w:val="00B70054"/>
    <w:rsid w:val="00B71C4A"/>
    <w:rsid w:val="00B75090"/>
    <w:rsid w:val="00B7751F"/>
    <w:rsid w:val="00B82496"/>
    <w:rsid w:val="00B826C2"/>
    <w:rsid w:val="00B83B98"/>
    <w:rsid w:val="00B85741"/>
    <w:rsid w:val="00B86A1C"/>
    <w:rsid w:val="00B86EA2"/>
    <w:rsid w:val="00B91161"/>
    <w:rsid w:val="00B96C82"/>
    <w:rsid w:val="00BA0861"/>
    <w:rsid w:val="00BA1581"/>
    <w:rsid w:val="00BB0B8D"/>
    <w:rsid w:val="00BB25B8"/>
    <w:rsid w:val="00BB3339"/>
    <w:rsid w:val="00BC51E8"/>
    <w:rsid w:val="00BC6F81"/>
    <w:rsid w:val="00BD394E"/>
    <w:rsid w:val="00BD4C2A"/>
    <w:rsid w:val="00BD64C2"/>
    <w:rsid w:val="00BD7F95"/>
    <w:rsid w:val="00BE07AF"/>
    <w:rsid w:val="00BE3D77"/>
    <w:rsid w:val="00BE5120"/>
    <w:rsid w:val="00BE6BB6"/>
    <w:rsid w:val="00BF4482"/>
    <w:rsid w:val="00BF6DB4"/>
    <w:rsid w:val="00BF754D"/>
    <w:rsid w:val="00BF77BD"/>
    <w:rsid w:val="00BF791C"/>
    <w:rsid w:val="00C0188D"/>
    <w:rsid w:val="00C01ECC"/>
    <w:rsid w:val="00C04113"/>
    <w:rsid w:val="00C058D5"/>
    <w:rsid w:val="00C07D10"/>
    <w:rsid w:val="00C10016"/>
    <w:rsid w:val="00C13E11"/>
    <w:rsid w:val="00C143C7"/>
    <w:rsid w:val="00C169B0"/>
    <w:rsid w:val="00C2034A"/>
    <w:rsid w:val="00C2174B"/>
    <w:rsid w:val="00C263F6"/>
    <w:rsid w:val="00C3066D"/>
    <w:rsid w:val="00C30CB0"/>
    <w:rsid w:val="00C31C4D"/>
    <w:rsid w:val="00C3464C"/>
    <w:rsid w:val="00C361AA"/>
    <w:rsid w:val="00C3712C"/>
    <w:rsid w:val="00C418F0"/>
    <w:rsid w:val="00C43712"/>
    <w:rsid w:val="00C45644"/>
    <w:rsid w:val="00C46330"/>
    <w:rsid w:val="00C47F38"/>
    <w:rsid w:val="00C522D5"/>
    <w:rsid w:val="00C56411"/>
    <w:rsid w:val="00C5794A"/>
    <w:rsid w:val="00C60542"/>
    <w:rsid w:val="00C6351F"/>
    <w:rsid w:val="00C65BC8"/>
    <w:rsid w:val="00C66BBB"/>
    <w:rsid w:val="00C675EF"/>
    <w:rsid w:val="00C71E6A"/>
    <w:rsid w:val="00C73ED5"/>
    <w:rsid w:val="00C76835"/>
    <w:rsid w:val="00C76BDA"/>
    <w:rsid w:val="00C814AA"/>
    <w:rsid w:val="00C83E38"/>
    <w:rsid w:val="00C84364"/>
    <w:rsid w:val="00C84FE6"/>
    <w:rsid w:val="00C86C4C"/>
    <w:rsid w:val="00C87671"/>
    <w:rsid w:val="00C95A54"/>
    <w:rsid w:val="00C97E9D"/>
    <w:rsid w:val="00CA281E"/>
    <w:rsid w:val="00CA4075"/>
    <w:rsid w:val="00CA53B2"/>
    <w:rsid w:val="00CB298A"/>
    <w:rsid w:val="00CB386D"/>
    <w:rsid w:val="00CB5735"/>
    <w:rsid w:val="00CC0B6B"/>
    <w:rsid w:val="00CC4D7C"/>
    <w:rsid w:val="00CC5307"/>
    <w:rsid w:val="00CD1194"/>
    <w:rsid w:val="00CD1EFD"/>
    <w:rsid w:val="00CD1FF2"/>
    <w:rsid w:val="00CD6561"/>
    <w:rsid w:val="00CE1D3F"/>
    <w:rsid w:val="00CE2551"/>
    <w:rsid w:val="00CE47C5"/>
    <w:rsid w:val="00CE5964"/>
    <w:rsid w:val="00CE59AB"/>
    <w:rsid w:val="00CE7564"/>
    <w:rsid w:val="00CE79FB"/>
    <w:rsid w:val="00CE7FB4"/>
    <w:rsid w:val="00CF2AAD"/>
    <w:rsid w:val="00CF2E0D"/>
    <w:rsid w:val="00CF52E6"/>
    <w:rsid w:val="00D00678"/>
    <w:rsid w:val="00D0534A"/>
    <w:rsid w:val="00D06436"/>
    <w:rsid w:val="00D10ED0"/>
    <w:rsid w:val="00D11DCE"/>
    <w:rsid w:val="00D12060"/>
    <w:rsid w:val="00D1294F"/>
    <w:rsid w:val="00D15B45"/>
    <w:rsid w:val="00D17FB2"/>
    <w:rsid w:val="00D232B8"/>
    <w:rsid w:val="00D30B61"/>
    <w:rsid w:val="00D3148A"/>
    <w:rsid w:val="00D3297E"/>
    <w:rsid w:val="00D3688A"/>
    <w:rsid w:val="00D40E38"/>
    <w:rsid w:val="00D4439A"/>
    <w:rsid w:val="00D47B37"/>
    <w:rsid w:val="00D51250"/>
    <w:rsid w:val="00D51896"/>
    <w:rsid w:val="00D55C0D"/>
    <w:rsid w:val="00D55C76"/>
    <w:rsid w:val="00D56969"/>
    <w:rsid w:val="00D60D24"/>
    <w:rsid w:val="00D64228"/>
    <w:rsid w:val="00D70735"/>
    <w:rsid w:val="00D756B5"/>
    <w:rsid w:val="00D77D0F"/>
    <w:rsid w:val="00D77D5E"/>
    <w:rsid w:val="00D84091"/>
    <w:rsid w:val="00D84C08"/>
    <w:rsid w:val="00D8598D"/>
    <w:rsid w:val="00D867D9"/>
    <w:rsid w:val="00D92502"/>
    <w:rsid w:val="00D93407"/>
    <w:rsid w:val="00D960B6"/>
    <w:rsid w:val="00D97768"/>
    <w:rsid w:val="00D97CCD"/>
    <w:rsid w:val="00DA13DF"/>
    <w:rsid w:val="00DA254E"/>
    <w:rsid w:val="00DA2B02"/>
    <w:rsid w:val="00DA67FE"/>
    <w:rsid w:val="00DB2AB9"/>
    <w:rsid w:val="00DC00AC"/>
    <w:rsid w:val="00DC505D"/>
    <w:rsid w:val="00DC525C"/>
    <w:rsid w:val="00DD19D7"/>
    <w:rsid w:val="00DD2D40"/>
    <w:rsid w:val="00DD3782"/>
    <w:rsid w:val="00DD4D73"/>
    <w:rsid w:val="00DD5CFD"/>
    <w:rsid w:val="00DE033C"/>
    <w:rsid w:val="00DE11FC"/>
    <w:rsid w:val="00DE2F78"/>
    <w:rsid w:val="00DE6A37"/>
    <w:rsid w:val="00DE72AE"/>
    <w:rsid w:val="00DE7CC2"/>
    <w:rsid w:val="00DF0950"/>
    <w:rsid w:val="00DF0EEE"/>
    <w:rsid w:val="00DF2DF7"/>
    <w:rsid w:val="00DF307B"/>
    <w:rsid w:val="00DF68E0"/>
    <w:rsid w:val="00E01A21"/>
    <w:rsid w:val="00E03925"/>
    <w:rsid w:val="00E05D2A"/>
    <w:rsid w:val="00E1012E"/>
    <w:rsid w:val="00E11945"/>
    <w:rsid w:val="00E12C0D"/>
    <w:rsid w:val="00E14928"/>
    <w:rsid w:val="00E15399"/>
    <w:rsid w:val="00E157EC"/>
    <w:rsid w:val="00E17445"/>
    <w:rsid w:val="00E23061"/>
    <w:rsid w:val="00E23ACA"/>
    <w:rsid w:val="00E246DE"/>
    <w:rsid w:val="00E24F00"/>
    <w:rsid w:val="00E2626D"/>
    <w:rsid w:val="00E26A40"/>
    <w:rsid w:val="00E324C1"/>
    <w:rsid w:val="00E32C90"/>
    <w:rsid w:val="00E333AF"/>
    <w:rsid w:val="00E3436D"/>
    <w:rsid w:val="00E36A16"/>
    <w:rsid w:val="00E37B1B"/>
    <w:rsid w:val="00E42E95"/>
    <w:rsid w:val="00E46A00"/>
    <w:rsid w:val="00E51D30"/>
    <w:rsid w:val="00E53D6C"/>
    <w:rsid w:val="00E54957"/>
    <w:rsid w:val="00E57CC5"/>
    <w:rsid w:val="00E6105C"/>
    <w:rsid w:val="00E6660A"/>
    <w:rsid w:val="00E71FDF"/>
    <w:rsid w:val="00E73510"/>
    <w:rsid w:val="00E73B88"/>
    <w:rsid w:val="00E7542C"/>
    <w:rsid w:val="00E75F58"/>
    <w:rsid w:val="00E76672"/>
    <w:rsid w:val="00E8373B"/>
    <w:rsid w:val="00E83825"/>
    <w:rsid w:val="00E85714"/>
    <w:rsid w:val="00E85792"/>
    <w:rsid w:val="00E858FE"/>
    <w:rsid w:val="00E87AF6"/>
    <w:rsid w:val="00E90A8A"/>
    <w:rsid w:val="00E91801"/>
    <w:rsid w:val="00EA0009"/>
    <w:rsid w:val="00EA14F6"/>
    <w:rsid w:val="00EA1593"/>
    <w:rsid w:val="00EA1F82"/>
    <w:rsid w:val="00EA22A3"/>
    <w:rsid w:val="00EA2CAE"/>
    <w:rsid w:val="00EA4CD5"/>
    <w:rsid w:val="00EA4DDE"/>
    <w:rsid w:val="00EA6753"/>
    <w:rsid w:val="00EA743E"/>
    <w:rsid w:val="00EB6C8F"/>
    <w:rsid w:val="00EC1CEE"/>
    <w:rsid w:val="00EC43F4"/>
    <w:rsid w:val="00EC546C"/>
    <w:rsid w:val="00EC7504"/>
    <w:rsid w:val="00ED0823"/>
    <w:rsid w:val="00ED1869"/>
    <w:rsid w:val="00ED27D3"/>
    <w:rsid w:val="00ED7B6D"/>
    <w:rsid w:val="00EE041D"/>
    <w:rsid w:val="00EE318B"/>
    <w:rsid w:val="00EE3E64"/>
    <w:rsid w:val="00EE5A27"/>
    <w:rsid w:val="00EE7826"/>
    <w:rsid w:val="00EF02F5"/>
    <w:rsid w:val="00EF06A1"/>
    <w:rsid w:val="00EF2D13"/>
    <w:rsid w:val="00EF3D34"/>
    <w:rsid w:val="00EF4900"/>
    <w:rsid w:val="00EF4E21"/>
    <w:rsid w:val="00EF5C61"/>
    <w:rsid w:val="00F01B82"/>
    <w:rsid w:val="00F02248"/>
    <w:rsid w:val="00F07936"/>
    <w:rsid w:val="00F10A8C"/>
    <w:rsid w:val="00F2302B"/>
    <w:rsid w:val="00F24A5C"/>
    <w:rsid w:val="00F26171"/>
    <w:rsid w:val="00F2677A"/>
    <w:rsid w:val="00F276CA"/>
    <w:rsid w:val="00F31583"/>
    <w:rsid w:val="00F33E1A"/>
    <w:rsid w:val="00F3459B"/>
    <w:rsid w:val="00F3476F"/>
    <w:rsid w:val="00F34E7B"/>
    <w:rsid w:val="00F35F87"/>
    <w:rsid w:val="00F414AF"/>
    <w:rsid w:val="00F41C30"/>
    <w:rsid w:val="00F41E2B"/>
    <w:rsid w:val="00F46022"/>
    <w:rsid w:val="00F46CC0"/>
    <w:rsid w:val="00F47753"/>
    <w:rsid w:val="00F51F4A"/>
    <w:rsid w:val="00F63B3E"/>
    <w:rsid w:val="00F649C6"/>
    <w:rsid w:val="00F65D69"/>
    <w:rsid w:val="00F719C5"/>
    <w:rsid w:val="00F7246A"/>
    <w:rsid w:val="00F72D28"/>
    <w:rsid w:val="00F75E28"/>
    <w:rsid w:val="00F8190B"/>
    <w:rsid w:val="00F841ED"/>
    <w:rsid w:val="00F8544B"/>
    <w:rsid w:val="00F86511"/>
    <w:rsid w:val="00F86884"/>
    <w:rsid w:val="00F90026"/>
    <w:rsid w:val="00F90953"/>
    <w:rsid w:val="00F95A63"/>
    <w:rsid w:val="00F96450"/>
    <w:rsid w:val="00FA0AEA"/>
    <w:rsid w:val="00FA0B30"/>
    <w:rsid w:val="00FA17A6"/>
    <w:rsid w:val="00FA1F42"/>
    <w:rsid w:val="00FA50D5"/>
    <w:rsid w:val="00FA682F"/>
    <w:rsid w:val="00FA6AC8"/>
    <w:rsid w:val="00FB12F6"/>
    <w:rsid w:val="00FB14C7"/>
    <w:rsid w:val="00FB6142"/>
    <w:rsid w:val="00FB6CBD"/>
    <w:rsid w:val="00FC0305"/>
    <w:rsid w:val="00FC050A"/>
    <w:rsid w:val="00FC0993"/>
    <w:rsid w:val="00FC0B16"/>
    <w:rsid w:val="00FC3E0D"/>
    <w:rsid w:val="00FC49DD"/>
    <w:rsid w:val="00FC66A6"/>
    <w:rsid w:val="00FC72FA"/>
    <w:rsid w:val="00FD06F6"/>
    <w:rsid w:val="00FD0931"/>
    <w:rsid w:val="00FD0FE8"/>
    <w:rsid w:val="00FD3770"/>
    <w:rsid w:val="00FD4F87"/>
    <w:rsid w:val="00FD5343"/>
    <w:rsid w:val="00FD6A52"/>
    <w:rsid w:val="00FD7606"/>
    <w:rsid w:val="00FD7F12"/>
    <w:rsid w:val="00FE312C"/>
    <w:rsid w:val="00FE6484"/>
    <w:rsid w:val="00FF10FC"/>
    <w:rsid w:val="00FF21B3"/>
    <w:rsid w:val="00FF2AAF"/>
    <w:rsid w:val="00FF33E0"/>
    <w:rsid w:val="00FF3B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8D5AC"/>
  <w15:docId w15:val="{83C9050A-9087-A644-A76E-F4AA6CF19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9151A7"/>
    <w:rPr>
      <w:color w:val="605E5C"/>
      <w:shd w:val="clear" w:color="auto" w:fill="E1DFDD"/>
    </w:rPr>
  </w:style>
  <w:style w:type="paragraph" w:customStyle="1" w:styleId="p1">
    <w:name w:val="p1"/>
    <w:basedOn w:val="Normal"/>
    <w:rsid w:val="00C0188D"/>
    <w:pPr>
      <w:spacing w:before="100" w:beforeAutospacing="1" w:after="100" w:afterAutospacing="1"/>
    </w:pPr>
    <w:rPr>
      <w:rFonts w:ascii="Times New Roman" w:eastAsia="Times New Roman" w:hAnsi="Times New Roman" w:cs="Times New Roman"/>
      <w:lang w:val="en-SA"/>
    </w:rPr>
  </w:style>
  <w:style w:type="character" w:customStyle="1" w:styleId="s1">
    <w:name w:val="s1"/>
    <w:basedOn w:val="DefaultParagraphFont"/>
    <w:rsid w:val="00C0188D"/>
  </w:style>
  <w:style w:type="paragraph" w:customStyle="1" w:styleId="p2">
    <w:name w:val="p2"/>
    <w:basedOn w:val="Normal"/>
    <w:rsid w:val="00C0188D"/>
    <w:pPr>
      <w:spacing w:before="100" w:beforeAutospacing="1" w:after="100" w:afterAutospacing="1"/>
    </w:pPr>
    <w:rPr>
      <w:rFonts w:ascii="Times New Roman" w:eastAsia="Times New Roman" w:hAnsi="Times New Roman" w:cs="Times New Roman"/>
      <w:lang w:val="en-SA"/>
    </w:rPr>
  </w:style>
  <w:style w:type="character" w:customStyle="1" w:styleId="ng-star-inserted">
    <w:name w:val="ng-star-inserted"/>
    <w:basedOn w:val="DefaultParagraphFont"/>
    <w:rsid w:val="0049262F"/>
  </w:style>
  <w:style w:type="character" w:customStyle="1" w:styleId="css-1jxf6841">
    <w:name w:val="css-1jxf6841"/>
    <w:basedOn w:val="DefaultParagraphFont"/>
    <w:rsid w:val="003E0639"/>
    <w:rPr>
      <w:strike w:val="0"/>
      <w:dstrike w:val="0"/>
      <w:vanish w:val="0"/>
      <w:webHidden w:val="0"/>
      <w:u w:val="none"/>
      <w:effect w:val="none"/>
      <w:bdr w:val="single" w:sz="2" w:space="0" w:color="000000" w:frame="1"/>
      <w:specVanish w:val="0"/>
    </w:rPr>
  </w:style>
  <w:style w:type="paragraph" w:customStyle="1" w:styleId="p3">
    <w:name w:val="p3"/>
    <w:basedOn w:val="Normal"/>
    <w:rsid w:val="00B35EE9"/>
    <w:pPr>
      <w:spacing w:before="100" w:beforeAutospacing="1" w:after="100" w:afterAutospacing="1"/>
    </w:pPr>
    <w:rPr>
      <w:rFonts w:ascii="Times New Roman" w:eastAsia="Times New Roman" w:hAnsi="Times New Roman" w:cs="Times New Roman"/>
      <w:lang w:val="en-SA"/>
    </w:rPr>
  </w:style>
  <w:style w:type="character" w:styleId="LineNumber">
    <w:name w:val="line number"/>
    <w:basedOn w:val="DefaultParagraphFont"/>
    <w:rsid w:val="00CC0B6B"/>
  </w:style>
  <w:style w:type="character" w:styleId="CommentReference">
    <w:name w:val="annotation reference"/>
    <w:basedOn w:val="DefaultParagraphFont"/>
    <w:rsid w:val="00596D18"/>
    <w:rPr>
      <w:sz w:val="16"/>
      <w:szCs w:val="16"/>
    </w:rPr>
  </w:style>
  <w:style w:type="paragraph" w:styleId="CommentText">
    <w:name w:val="annotation text"/>
    <w:basedOn w:val="Normal"/>
    <w:link w:val="CommentTextChar"/>
    <w:rsid w:val="00596D18"/>
    <w:rPr>
      <w:sz w:val="20"/>
      <w:szCs w:val="20"/>
    </w:rPr>
  </w:style>
  <w:style w:type="character" w:customStyle="1" w:styleId="CommentTextChar">
    <w:name w:val="Comment Text Char"/>
    <w:basedOn w:val="DefaultParagraphFont"/>
    <w:link w:val="CommentText"/>
    <w:rsid w:val="00596D18"/>
    <w:rPr>
      <w:sz w:val="20"/>
      <w:szCs w:val="20"/>
    </w:rPr>
  </w:style>
  <w:style w:type="character" w:customStyle="1" w:styleId="apple-converted-space">
    <w:name w:val="apple-converted-space"/>
    <w:basedOn w:val="DefaultParagraphFont"/>
    <w:rsid w:val="007C40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05E7CF-DFBD-A940-A9B9-9FC74AA33B4C}">
  <we:reference id="WA200001011" version="1.4.0.0" store="Omex" storeType="OMEX"/>
  <we:alternateReferences>
    <we:reference id="WA200001011" version="1.4.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7</Pages>
  <Words>2180</Words>
  <Characters>12429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Jesper Tegner</dc:creator>
  <cp:keywords/>
  <cp:lastModifiedBy>Jesper Tegner</cp:lastModifiedBy>
  <cp:revision>13</cp:revision>
  <cp:lastPrinted>2026-05-16T16:56:00Z</cp:lastPrinted>
  <dcterms:created xsi:type="dcterms:W3CDTF">2026-05-16T17:20:00Z</dcterms:created>
  <dcterms:modified xsi:type="dcterms:W3CDTF">2026-05-16T17:23:00Z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documentId_342</vt:lpwstr>
  </property>
  <property fmtid="{D5CDD505-2E9C-101B-9397-08002B2CF9AE}" pid="3" name="grammarly_documentContext">
    <vt:lpwstr>{"goals":[],"domain":"general","emotions":[],"dialect":"american"}</vt:lpwstr>
  </property>
</Properties>
</file>