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Noise bends a polynomial fit</w:t>
      </w:r>
    </w:p>
    <w:p>
      <w:pPr>
        <w:pStyle w:val="Author"/>
      </w:pPr>
      <w:r>
        <w:t xml:space="preserve">Ada Lovelace (Analytical Engine Institute)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measure how noise bends a polynomial fit, and find that its error grows as the square of the noise.</w:t>
      </w:r>
    </w:p>
    <w:bookmarkStart w:id="10" w:name="introduction"/>
    <w:p>
      <w:pPr>
        <w:pStyle w:val="Heading1"/>
      </w:pPr>
      <w:r>
        <w:t xml:space="preserve">Introduction</w:t>
      </w:r>
    </w:p>
    <w:bookmarkStart w:id="9" w:name="introduction-state-of-the-art"/>
    <w:p>
      <w:pPr>
        <w:pStyle w:val="Heading2"/>
      </w:pPr>
      <w:r>
        <w:t xml:space="preserve">State of the art</w:t>
      </w:r>
    </w:p>
    <w:p>
      <w:pPr>
        <w:pStyle w:val="FirstParagraph"/>
      </w:pPr>
      <w:r>
        <w:t xml:space="preserve">Polynomial fits are standard</w:t>
      </w:r>
      <w:hyperlink w:anchor="ref-smith-2020-fits">
        <w:r>
          <w:rPr>
            <w:rStyle w:val="Hyperlink"/>
            <w:vertAlign w:val="superscript"/>
          </w:rPr>
          <w:t xml:space="preserve">1</w:t>
        </w:r>
      </w:hyperlink>
      <w:r>
        <w:rPr>
          <w:vertAlign w:val="superscript"/>
        </w:rPr>
        <w:t xml:space="preserve">–</w:t>
      </w:r>
      <w:hyperlink w:anchor="ref-kim-2017-survey">
        <w:r>
          <w:rPr>
            <w:rStyle w:val="Hyperlink"/>
            <w:vertAlign w:val="superscript"/>
          </w:rPr>
          <w:t xml:space="preserve">3</w:t>
        </w:r>
      </w:hyperlink>
      <w:r>
        <w:t xml:space="preserve">. Noise is known to bias them</w:t>
      </w:r>
      <w:hyperlink w:anchor="ref-lee-2018-noise">
        <w:r>
          <w:rPr>
            <w:rStyle w:val="Hyperlink"/>
            <w:vertAlign w:val="superscript"/>
          </w:rPr>
          <w:t xml:space="preserve">4</w:t>
        </w:r>
      </w:hyperlink>
      <w:r>
        <w:t xml:space="preserve">. An earlier draft said so. A lost work claimed it first [to be resolved], and a late one agreed</w:t>
      </w:r>
      <w:hyperlink w:anchor="ref-late-work">
        <w:r>
          <w:rPr>
            <w:rStyle w:val="Hyperlink"/>
            <w:vertAlign w:val="superscript"/>
          </w:rPr>
          <w:t xml:space="preserve">5</w:t>
        </w:r>
      </w:hyperlink>
      <w:r>
        <w:t xml:space="preserve">. A third said it again.</w:t>
      </w:r>
    </w:p>
    <w:bookmarkEnd w:id="9"/>
    <w:bookmarkEnd w:id="10"/>
    <w:bookmarkStart w:id="19" w:name="results"/>
    <w:p>
      <w:pPr>
        <w:pStyle w:val="Heading1"/>
      </w:pPr>
      <w:r>
        <w:t xml:space="preserve">Results</w:t>
      </w:r>
    </w:p>
    <w:bookmarkStart w:id="18" w:name="O1"/>
    <w:p>
      <w:pPr>
        <w:pStyle w:val="Heading2"/>
      </w:pPr>
      <w:r>
        <w:t xml:space="preserve">How does noise change the fit?</w:t>
      </w:r>
    </w:p>
    <w:bookmarkStart w:id="17" w:name="R1"/>
    <w:p>
      <w:pPr>
        <w:pStyle w:val="Heading3"/>
      </w:pPr>
      <w:r>
        <w:t xml:space="preserve">The error grows with the noise</w:t>
      </w:r>
    </w:p>
    <w:p>
      <w:pPr>
        <w:pStyle w:val="FirstParagraph"/>
      </w:pPr>
      <w:r>
        <w:t xml:space="preserve">The error of the fit follows</w:t>
      </w:r>
    </w:p>
    <w:p>
      <w:pPr>
        <w:pStyle w:val="BodyText"/>
      </w:pPr>
      <w:bookmarkStart w:id="11" w:name="eq:error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0.02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and Eq. 1 holds at every noise level we ran, as Fig. 1 shows. Table 1 lists the errors. The fit follows Smith’s method</w:t>
      </w:r>
      <w:hyperlink w:anchor="ref-smith-2020-fits">
        <w:r>
          <w:rPr>
            <w:rStyle w:val="Hyperlink"/>
            <w:vertAlign w:val="superscript"/>
          </w:rPr>
          <w:t xml:space="preserve">1</w:t>
        </w:r>
      </w:hyperlink>
      <w:r>
        <w:t xml:space="preserve">.</w:t>
      </w:r>
    </w:p>
    <w:bookmarkStart w:id="12" w:name="tbl:T1"/>
    <w:p>
      <w:pPr>
        <w:pStyle w:val="TableCaption"/>
      </w:pPr>
      <w:r>
        <w:t xml:space="preserve">Table 1: The error of the fit at each noise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The error of the fit at each noise lev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</w:tbl>
    <w:bookmarkEnd w:id="12"/>
    <w:bookmarkStart w:id="16" w:name="fig:F1"/>
    <w:p>
      <w:pPr>
        <w:pStyle w:val="CaptionedFigure"/>
      </w:pPr>
      <w:r>
        <w:drawing>
          <wp:inline>
            <wp:extent cx="101600" cy="76200"/>
            <wp:effectExtent b="0" l="0" r="0" t="0"/>
            <wp:docPr descr="Figure 1: The error of the fit grows with the noise." title="" id="14" name="Picture"/>
            <a:graphic>
              <a:graphicData uri="http://schemas.openxmlformats.org/drawingml/2006/picture">
                <pic:pic>
                  <pic:nvPicPr>
                    <pic:cNvPr descr="figures/F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error of the fit grows with the noise.</w:t>
      </w:r>
    </w:p>
    <w:bookmarkEnd w:id="16"/>
    <w:bookmarkEnd w:id="17"/>
    <w:bookmarkEnd w:id="18"/>
    <w:bookmarkEnd w:id="19"/>
    <w:bookmarkStart w:id="21" w:name="discussion"/>
    <w:p>
      <w:pPr>
        <w:pStyle w:val="Heading1"/>
      </w:pPr>
      <w:r>
        <w:t xml:space="preserve">Discussion</w:t>
      </w:r>
    </w:p>
    <w:bookmarkStart w:id="20" w:name="discussion-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The noise model is Gaussian, as Lee assumed</w:t>
      </w:r>
      <w:hyperlink w:anchor="ref-lee-2018-noise">
        <w:r>
          <w:rPr>
            <w:rStyle w:val="Hyperlink"/>
            <w:vertAlign w:val="superscript"/>
          </w:rPr>
          <w:t xml:space="preserve">4</w:t>
        </w:r>
      </w:hyperlink>
      <w:r>
        <w:t xml:space="preserve">. A heavier tail would bend the fit further, and the next runs should try one.</w:t>
      </w:r>
    </w:p>
    <w:bookmarkEnd w:id="20"/>
    <w:bookmarkEnd w:id="21"/>
    <w:bookmarkStart w:id="23" w:name="methods"/>
    <w:p>
      <w:pPr>
        <w:pStyle w:val="Heading1"/>
      </w:pPr>
      <w:r>
        <w:t xml:space="preserve">Methods</w:t>
      </w:r>
    </w:p>
    <w:bookmarkStart w:id="22" w:name="methods-fitting"/>
    <w:p>
      <w:pPr>
        <w:pStyle w:val="Heading2"/>
      </w:pPr>
      <w:r>
        <w:t xml:space="preserve">Fitting</w:t>
      </w:r>
    </w:p>
    <w:p>
      <w:pPr>
        <w:pStyle w:val="FirstParagraph"/>
      </w:pPr>
      <w:r>
        <w:t xml:space="preserve">We fit by least squares, as Jones did</w:t>
      </w:r>
      <w:hyperlink w:anchor="ref-jones-2019-least">
        <w:r>
          <w:rPr>
            <w:rStyle w:val="Hyperlink"/>
            <w:vertAlign w:val="superscript"/>
          </w:rPr>
          <w:t xml:space="preserve">2</w:t>
        </w:r>
      </w:hyperlink>
      <w:r>
        <w:t xml:space="preserve">.</w:t>
      </w:r>
    </w:p>
    <w:bookmarkEnd w:id="22"/>
    <w:bookmarkEnd w:id="23"/>
    <w:bookmarkStart w:id="24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[TO BE GIVEN: acknowledgments]</w:t>
      </w:r>
    </w:p>
    <w:bookmarkEnd w:id="24"/>
    <w:bookmarkStart w:id="25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[TO BE GIVEN: funding]</w:t>
      </w:r>
    </w:p>
    <w:bookmarkEnd w:id="25"/>
    <w:bookmarkStart w:id="2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none.</w:t>
      </w:r>
    </w:p>
    <w:bookmarkEnd w:id="26"/>
    <w:bookmarkStart w:id="27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are synthetic and the project’s runs made them.</w:t>
      </w:r>
    </w:p>
    <w:bookmarkEnd w:id="27"/>
    <w:bookmarkStart w:id="28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[TO BE GIVEN: the code repository, which setup has not settled]</w:t>
      </w:r>
    </w:p>
    <w:bookmarkEnd w:id="2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Start w:id="30" w:name="ref-smith-2020-fit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Smith, A. &amp; Li, B. Polynomial fits in practice.</w:t>
      </w:r>
      <w:r>
        <w:t xml:space="preserve"> </w:t>
      </w:r>
      <w:r>
        <w:rPr>
          <w:i/>
          <w:iCs/>
        </w:rPr>
        <w:t xml:space="preserve">Journal of Fits</w:t>
      </w:r>
      <w:r>
        <w:t xml:space="preserve"> </w:t>
      </w:r>
      <w:hyperlink r:id="rId29">
        <w:r>
          <w:rPr>
            <w:rStyle w:val="Hyperlink"/>
          </w:rPr>
          <w:t xml:space="preserve">https://doi.org/10.5555/smith</w:t>
        </w:r>
      </w:hyperlink>
      <w:r>
        <w:t xml:space="preserve"> </w:t>
      </w:r>
      <w:r>
        <w:t xml:space="preserve">(2020) doi:</w:t>
      </w:r>
      <w:hyperlink r:id="rId29">
        <w:r>
          <w:rPr>
            <w:rStyle w:val="Hyperlink"/>
          </w:rPr>
          <w:t xml:space="preserve">10.5555/smith</w:t>
        </w:r>
      </w:hyperlink>
      <w:r>
        <w:t xml:space="preserve">.</w:t>
      </w:r>
    </w:p>
    <w:bookmarkEnd w:id="30"/>
    <w:bookmarkStart w:id="32" w:name="ref-jones-2019-least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Jones, C. Least squares for curves.</w:t>
      </w:r>
      <w:r>
        <w:t xml:space="preserve"> </w:t>
      </w:r>
      <w:r>
        <w:rPr>
          <w:i/>
          <w:iCs/>
        </w:rPr>
        <w:t xml:space="preserve">Numerical Notes</w:t>
      </w:r>
      <w:r>
        <w:t xml:space="preserve"> </w:t>
      </w:r>
      <w:hyperlink r:id="rId31">
        <w:r>
          <w:rPr>
            <w:rStyle w:val="Hyperlink"/>
          </w:rPr>
          <w:t xml:space="preserve">https://doi.org/10.5555/jones</w:t>
        </w:r>
      </w:hyperlink>
      <w:r>
        <w:t xml:space="preserve"> </w:t>
      </w:r>
      <w:r>
        <w:t xml:space="preserve">(2019) doi:</w:t>
      </w:r>
      <w:hyperlink r:id="rId31">
        <w:r>
          <w:rPr>
            <w:rStyle w:val="Hyperlink"/>
          </w:rPr>
          <w:t xml:space="preserve">10.5555/jones</w:t>
        </w:r>
      </w:hyperlink>
      <w:r>
        <w:t xml:space="preserve">.</w:t>
      </w:r>
    </w:p>
    <w:bookmarkEnd w:id="32"/>
    <w:bookmarkStart w:id="34" w:name="ref-kim-2017-survey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Kim, F. A survey of fitting.</w:t>
      </w:r>
      <w:r>
        <w:t xml:space="preserve"> </w:t>
      </w:r>
      <w:r>
        <w:rPr>
          <w:i/>
          <w:iCs/>
        </w:rPr>
        <w:t xml:space="preserve">Fitting Reviews</w:t>
      </w:r>
      <w:r>
        <w:t xml:space="preserve"> </w:t>
      </w:r>
      <w:hyperlink r:id="rId33">
        <w:r>
          <w:rPr>
            <w:rStyle w:val="Hyperlink"/>
          </w:rPr>
          <w:t xml:space="preserve">https://doi.org/10.5555/kim</w:t>
        </w:r>
      </w:hyperlink>
      <w:r>
        <w:t xml:space="preserve"> </w:t>
      </w:r>
      <w:r>
        <w:t xml:space="preserve">(2017) doi:</w:t>
      </w:r>
      <w:hyperlink r:id="rId33">
        <w:r>
          <w:rPr>
            <w:rStyle w:val="Hyperlink"/>
          </w:rPr>
          <w:t xml:space="preserve">10.5555/kim</w:t>
        </w:r>
      </w:hyperlink>
      <w:r>
        <w:t xml:space="preserve">.</w:t>
      </w:r>
    </w:p>
    <w:bookmarkEnd w:id="34"/>
    <w:bookmarkStart w:id="36" w:name="ref-lee-2018-nois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Lee, D. &amp; Hall, E. Noise and bias in fits.</w:t>
      </w:r>
      <w:r>
        <w:t xml:space="preserve"> </w:t>
      </w:r>
      <w:r>
        <w:rPr>
          <w:i/>
          <w:iCs/>
        </w:rPr>
        <w:t xml:space="preserve">arXiv</w:t>
      </w:r>
      <w:r>
        <w:t xml:space="preserve"> </w:t>
      </w:r>
      <w:r>
        <w:t xml:space="preserve">Preprint at</w:t>
      </w:r>
      <w:r>
        <w:t xml:space="preserve"> </w:t>
      </w:r>
      <w:hyperlink r:id="rId35">
        <w:r>
          <w:rPr>
            <w:rStyle w:val="Hyperlink"/>
          </w:rPr>
          <w:t xml:space="preserve">https://arxiv.org/abs/1801.00001</w:t>
        </w:r>
      </w:hyperlink>
      <w:r>
        <w:t xml:space="preserve"> </w:t>
      </w:r>
      <w:r>
        <w:t xml:space="preserve">(2018).</w:t>
      </w:r>
    </w:p>
    <w:bookmarkEnd w:id="36"/>
    <w:bookmarkStart w:id="38" w:name="ref-late-work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Late, A. A late agreement.</w:t>
      </w:r>
      <w:r>
        <w:t xml:space="preserve"> </w:t>
      </w:r>
      <w:r>
        <w:rPr>
          <w:i/>
          <w:iCs/>
        </w:rPr>
        <w:t xml:space="preserve">Journal of Tests</w:t>
      </w:r>
      <w:r>
        <w:t xml:space="preserve"> </w:t>
      </w:r>
      <w:hyperlink r:id="rId37">
        <w:r>
          <w:rPr>
            <w:rStyle w:val="Hyperlink"/>
          </w:rPr>
          <w:t xml:space="preserve">https://doi.org/10.5555/late</w:t>
        </w:r>
      </w:hyperlink>
      <w:r>
        <w:t xml:space="preserve"> </w:t>
      </w:r>
      <w:r>
        <w:t xml:space="preserve">(2024) doi:</w:t>
      </w:r>
      <w:hyperlink r:id="rId37">
        <w:r>
          <w:rPr>
            <w:rStyle w:val="Hyperlink"/>
          </w:rPr>
          <w:t xml:space="preserve">10.5555/late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35" Target="https://arxiv.org/abs/1801.00001" TargetMode="External" /><Relationship Type="http://schemas.openxmlformats.org/officeDocument/2006/relationships/hyperlink" Id="rId31" Target="https://doi.org/10.5555/jones" TargetMode="External" /><Relationship Type="http://schemas.openxmlformats.org/officeDocument/2006/relationships/hyperlink" Id="rId33" Target="https://doi.org/10.5555/kim" TargetMode="External" /><Relationship Type="http://schemas.openxmlformats.org/officeDocument/2006/relationships/hyperlink" Id="rId37" Target="https://doi.org/10.5555/late" TargetMode="External" /><Relationship Type="http://schemas.openxmlformats.org/officeDocument/2006/relationships/hyperlink" Id="rId29" Target="https://doi.org/10.5555/smi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rxiv.org/abs/1801.00001" TargetMode="External" /><Relationship Type="http://schemas.openxmlformats.org/officeDocument/2006/relationships/hyperlink" Id="rId31" Target="https://doi.org/10.5555/jones" TargetMode="External" /><Relationship Type="http://schemas.openxmlformats.org/officeDocument/2006/relationships/hyperlink" Id="rId33" Target="https://doi.org/10.5555/kim" TargetMode="External" /><Relationship Type="http://schemas.openxmlformats.org/officeDocument/2006/relationships/hyperlink" Id="rId37" Target="https://doi.org/10.5555/late" TargetMode="External" /><Relationship Type="http://schemas.openxmlformats.org/officeDocument/2006/relationships/hyperlink" Id="rId29" Target="https://doi.org/10.5555/smi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bends a polynomial fit</dc:title>
  <dc:creator>Ada Lovelace (Analytical Engine Institute)</dc:creator>
  <cp:keywords/>
  <dcterms:created xsi:type="dcterms:W3CDTF">2026-10-23T10:34:04Z</dcterms:created>
  <dcterms:modified xsi:type="dcterms:W3CDTF">2026-10-23T10:34:04Z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measure how noise bends a polynomial fit, and find that its error grows as the square of the noise.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/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/home/bernaljp/Documents/SpecDrivenResearch/.claude/worktrees/agent-ac44ca809e5d387f9/guidelines/nature/nature.csl</vt:lpwstr>
  </property>
  <property fmtid="{D5CDD505-2E9C-101B-9397-08002B2CF9AE}" pid="16" name="documentclass">
    <vt:lpwstr>article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>Eq.</vt:lpwstr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>Fig.</vt:lpwstr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lastDelim">
    <vt:lpwstr>, </vt:lpwstr>
  </property>
  <property fmtid="{D5CDD505-2E9C-101B-9397-08002B2CF9AE}" pid="33" name="link-citations">
    <vt:lpwstr>True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List of Figures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List of Listings</vt:lpwstr>
  </property>
  <property fmtid="{D5CDD505-2E9C-101B-9397-08002B2CF9AE}" pid="46" name="lotItemTemplate">
    <vt:lpwstr>lotItemTitleilistItemTitleDelimt </vt:lpwstr>
  </property>
  <property fmtid="{D5CDD505-2E9C-101B-9397-08002B2CF9AE}" pid="47" name="lotItemTitle">
    <vt:lpwstr/>
  </property>
  <property fmtid="{D5CDD505-2E9C-101B-9397-08002B2CF9AE}" pid="48" name="lotTitle">
    <vt:lpwstr>List of Tables</vt:lpwstr>
  </property>
  <property fmtid="{D5CDD505-2E9C-101B-9397-08002B2CF9AE}" pid="49" name="lstLabels">
    <vt:lpwstr>arabic</vt:lpwstr>
  </property>
  <property fmtid="{D5CDD505-2E9C-101B-9397-08002B2CF9AE}" pid="50" name="lstPrefix">
    <vt:lpwstr/>
  </property>
  <property fmtid="{D5CDD505-2E9C-101B-9397-08002B2CF9AE}" pid="51" name="lstPrefixTemplate">
    <vt:lpwstr>p i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secHeaderDelim">
    <vt:lpwstr> </vt:lpwstr>
  </property>
  <property fmtid="{D5CDD505-2E9C-101B-9397-08002B2CF9AE}" pid="59" name="secHeaderTemplate">
    <vt:lpwstr>isecHeaderDelim[n]t</vt:lpwstr>
  </property>
  <property fmtid="{D5CDD505-2E9C-101B-9397-08002B2CF9AE}" pid="60" name="secLabels">
    <vt:lpwstr>arabic</vt:lpwstr>
  </property>
  <property fmtid="{D5CDD505-2E9C-101B-9397-08002B2CF9AE}" pid="61" name="secPrefix">
    <vt:lpwstr>Section</vt:lpwstr>
  </property>
  <property fmtid="{D5CDD505-2E9C-101B-9397-08002B2CF9AE}" pid="62" name="secPrefixTemplate">
    <vt:lpwstr>p i</vt:lpwstr>
  </property>
  <property fmtid="{D5CDD505-2E9C-101B-9397-08002B2CF9AE}" pid="63" name="sectionsDepth">
    <vt:lpwstr>0</vt:lpwstr>
  </property>
  <property fmtid="{D5CDD505-2E9C-101B-9397-08002B2CF9AE}" pid="64" name="subfigGrid">
    <vt:lpwstr>False</vt:lpwstr>
  </property>
  <property fmtid="{D5CDD505-2E9C-101B-9397-08002B2CF9AE}" pid="65" name="subfigLabels">
    <vt:lpwstr>alpha a</vt:lpwstr>
  </property>
  <property fmtid="{D5CDD505-2E9C-101B-9397-08002B2CF9AE}" pid="66" name="subfigureChildTemplate">
    <vt:lpwstr>i</vt:lpwstr>
  </property>
  <property fmtid="{D5CDD505-2E9C-101B-9397-08002B2CF9AE}" pid="67" name="subfigureRefIndexTemplate">
    <vt:lpwstr>isuf (s)</vt:lpwstr>
  </property>
  <property fmtid="{D5CDD505-2E9C-101B-9397-08002B2CF9AE}" pid="68" name="subfigureTemplate">
    <vt:lpwstr>figureTitle ititleDelim t. ccs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>Table</vt:lpwstr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</Properties>
</file>