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7"/>
        <w:gridCol w:w="1209"/>
      </w:tblGrid>
      <w:tr w:rsidR="002560D0" w:rsidRPr="002560D0" w:rsidTr="002560D0">
        <w:trPr>
          <w:tblCellSpacing w:w="15" w:type="dxa"/>
          <w:jc w:val="center"/>
        </w:trPr>
        <w:tc>
          <w:tcPr>
            <w:tcW w:w="4000" w:type="pct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color w:val="000066"/>
                <w:sz w:val="48"/>
                <w:szCs w:val="48"/>
                <w:lang w:eastAsia="fr-FR"/>
              </w:rPr>
              <w:t>direct drive unit type I</w:t>
            </w: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5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0" w:name="_GoBack"/>
            <w:bookmarkEnd w:id="0"/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0D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Jefa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150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KgM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direct drive unit type I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716"/>
        <w:gridCol w:w="6870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direct drive type I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extremely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strong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compact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more efficient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existing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hydraulic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electro-mechanical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units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(for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how,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please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8" w:tgtFrame="_self" w:history="1">
              <w:r w:rsidRPr="002560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Q&amp;A page</w:t>
              </w:r>
            </w:hyperlink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).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It's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stronger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human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(the max. output torque of 150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KgM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equivalent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150 Kg force on the end of a 1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meter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tiller)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build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24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hours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per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continuous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total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weight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12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Kgs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combination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flat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wound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(pancake)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electric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ultra efficient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planetary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spur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gearbox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results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an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extremely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efficient drive unit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keep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battery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charging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time to the minimum. The drive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boats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30 to 45 foot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l.o.a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(or up to 150 Kgm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torque)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equipped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mechanical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system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back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driven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The direct drive drives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via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draglink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existing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tiller arm or quadrant or via an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independent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tiller arm. (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illustration) </w:t>
            </w:r>
          </w:p>
          <w:p w:rsidR="002560D0" w:rsidRPr="002560D0" w:rsidRDefault="002560D0" w:rsidP="00256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Please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click on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picture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larger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view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>
                  <wp:extent cx="4286250" cy="2857500"/>
                  <wp:effectExtent l="0" t="0" r="0" b="0"/>
                  <wp:docPr id="30" name="Image 30" descr="http://www.jefa.com/steering/images/DD1-MK3-small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jefa.com/steering/images/DD1-MK3-small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lastRenderedPageBreak/>
              <w:drawing>
                <wp:inline distT="0" distB="0" distL="0" distR="0">
                  <wp:extent cx="7620000" cy="8334375"/>
                  <wp:effectExtent l="0" t="0" r="0" b="9525"/>
                  <wp:docPr id="29" name="Image 29" descr="http://www.jefa.com/steering/images/dd1-layout-ship-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jefa.com/steering/images/dd1-layout-ship-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833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0D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Main dimensions: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lastRenderedPageBreak/>
              <w:drawing>
                <wp:inline distT="0" distB="0" distL="0" distR="0">
                  <wp:extent cx="6715125" cy="4791075"/>
                  <wp:effectExtent l="0" t="0" r="9525" b="9525"/>
                  <wp:docPr id="28" name="Image 28" descr="http://www.jefa.com/steering/images/dd1-dims-mk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jefa.com/steering/images/dd1-dims-mk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5125" cy="479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>
                  <wp:extent cx="638175" cy="371475"/>
                  <wp:effectExtent l="0" t="0" r="9525" b="9525"/>
                  <wp:docPr id="27" name="Image 27" descr="http://www.jefa.com/images/print_version.gif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jefa.com/images/print_version.gif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150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KgM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direct drive type I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compact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length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345 mm,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width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164 mm and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height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185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mm.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space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always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problem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sailing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yachts, the direct drive unit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mounted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close as 250 mm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rudderstock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upside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down. 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0D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Some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mounting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possibilities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: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lastRenderedPageBreak/>
              <w:drawing>
                <wp:inline distT="0" distB="0" distL="0" distR="0">
                  <wp:extent cx="6867525" cy="4010025"/>
                  <wp:effectExtent l="0" t="0" r="9525" b="9525"/>
                  <wp:docPr id="26" name="Image 26" descr="http://www.jefa.com/steering/images/dd1-mount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jefa.com/steering/images/dd1-mounti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7525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illustration shows the direct drive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combined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tiller lever. The 165 mm output centres are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achieve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correct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geometry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The right illustration shows a direct drive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mounted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separate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lever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independently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system. 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0D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two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possible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operation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centres: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lastRenderedPageBreak/>
              <w:drawing>
                <wp:inline distT="0" distB="0" distL="0" distR="0">
                  <wp:extent cx="6791325" cy="4057650"/>
                  <wp:effectExtent l="0" t="0" r="9525" b="0"/>
                  <wp:docPr id="25" name="Image 25" descr="http://www.jefa.com/steering/images/dd1-centres-mk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jefa.com/steering/images/dd1-centres-mk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325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>
                  <wp:extent cx="638175" cy="371475"/>
                  <wp:effectExtent l="0" t="0" r="9525" b="9525"/>
                  <wp:docPr id="24" name="Image 24" descr="http://www.jefa.com/images/print_version.gif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jefa.com/images/print_version.gif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99B1E6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504"/>
        <w:gridCol w:w="3503"/>
        <w:gridCol w:w="3609"/>
      </w:tblGrid>
      <w:tr w:rsidR="002560D0" w:rsidRPr="002560D0" w:rsidTr="002560D0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 xml:space="preserve">Direct drive type I operating centres in mm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>valid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 xml:space="preserve"> for 72° (2x36°)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>travel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>.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>Output centre distance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>Offset distance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>Tiller centre distance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>130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>106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>200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>165 (standard)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>127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fr-FR"/>
              </w:rPr>
              <w:t>250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0D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The construction: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6734175" cy="2238375"/>
                  <wp:effectExtent l="0" t="0" r="9525" b="9525"/>
                  <wp:docPr id="23" name="Image 23" descr="http://www.jefa.com/steering/images/dd1-cross-sec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jefa.com/steering/images/dd1-cross-sec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4175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above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assembly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drawing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shows a cross section of the direct drive type I. The drive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separated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5 main parts: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electric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two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step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spur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gearbox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planetary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gearbox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electro-magnetic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and the final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spur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reduction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gearbox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direct drive has multiple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advantages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over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existing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integrated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units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These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advantages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explained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per section of the drive:</w:t>
            </w:r>
          </w:p>
          <w:p w:rsidR="002560D0" w:rsidRPr="002560D0" w:rsidRDefault="002560D0" w:rsidP="00256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Electric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Motor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flat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wound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electric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(pancake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units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carefully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application. Pancake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have multiple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advantages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over normal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electric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DC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</w:t>
            </w:r>
          </w:p>
          <w:p w:rsidR="002560D0" w:rsidRPr="002560D0" w:rsidRDefault="002560D0" w:rsidP="002560D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large flat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wound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rotor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achieve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high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starting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toque and an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immediate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response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speed control signal.</w:t>
            </w:r>
          </w:p>
          <w:p w:rsidR="002560D0" w:rsidRPr="002560D0" w:rsidRDefault="002560D0" w:rsidP="002560D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efficiency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72,5%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achieve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minimal power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consumption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maximal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mechanical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power output (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compared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max. 50%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efficiency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a normal DC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).</w:t>
            </w:r>
          </w:p>
          <w:p w:rsidR="002560D0" w:rsidRPr="002560D0" w:rsidRDefault="002560D0" w:rsidP="002560D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Compact main dimensions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compared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achievable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output.</w:t>
            </w:r>
          </w:p>
          <w:p w:rsidR="002560D0" w:rsidRPr="002560D0" w:rsidRDefault="002560D0" w:rsidP="002560D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Aluminium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housing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stead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sheet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plate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avoid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corrosion.</w:t>
            </w:r>
          </w:p>
          <w:p w:rsidR="002560D0" w:rsidRPr="002560D0" w:rsidRDefault="002560D0" w:rsidP="00256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Planetary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gearbox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achieve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correct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travel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speed (hard over time)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electric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has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reduced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speed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factor 750:1.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Some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producers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use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worm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reduction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box, but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efficiency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extremely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low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rub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each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direct drive type I uses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combination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planetary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gearbox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spur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sets (one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small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one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).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planetary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gearbox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following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advantages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</w:t>
            </w:r>
          </w:p>
          <w:p w:rsidR="002560D0" w:rsidRPr="002560D0" w:rsidRDefault="002560D0" w:rsidP="002560D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highest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possible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efficiency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compared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gearbox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2560D0" w:rsidRPr="002560D0" w:rsidRDefault="002560D0" w:rsidP="002560D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All forces are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equally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spread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over 3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teeth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stead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one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compacter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stronger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solution.</w:t>
            </w:r>
          </w:p>
          <w:p w:rsidR="002560D0" w:rsidRPr="002560D0" w:rsidRDefault="002560D0" w:rsidP="002560D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forces and torques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the output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shaft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remain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the centre line of the drive unit,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resulting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higher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efficiency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extremely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reduces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loads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housing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internal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parts.</w:t>
            </w:r>
          </w:p>
          <w:p w:rsidR="002560D0" w:rsidRPr="002560D0" w:rsidRDefault="002560D0" w:rsidP="00256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Electro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magnetic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clutch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:</w:t>
            </w: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the moment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mechanical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system on the yacht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manually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has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disconnected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system. This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achieved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electro-magnetic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controlled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automatically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by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junction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box.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developed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unique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patented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engagement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The solution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based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two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electrically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spring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loaded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pins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engage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disengage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outer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ring of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planetary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step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solution has multiple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advantages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over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existing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friction plate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clutches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1752600" cy="1752600"/>
                  <wp:effectExtent l="0" t="0" r="0" b="0"/>
                  <wp:wrapSquare wrapText="bothSides"/>
                  <wp:docPr id="33" name="Image 33" descr="http://www.jefa.com/steering/images/Planet-g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jefa.com/steering/images/Planet-g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560D0" w:rsidRPr="002560D0" w:rsidRDefault="002560D0" w:rsidP="002560D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friction to back drive the unit.</w:t>
            </w:r>
          </w:p>
          <w:p w:rsidR="002560D0" w:rsidRPr="002560D0" w:rsidRDefault="002560D0" w:rsidP="002560D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Lower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power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consumption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(1.4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Amp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12 Volt).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isn't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powered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it's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disengaged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engaged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powered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2560D0" w:rsidRPr="002560D0" w:rsidRDefault="002560D0" w:rsidP="002560D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doesn't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wear in time.</w:t>
            </w:r>
          </w:p>
          <w:p w:rsidR="002560D0" w:rsidRPr="002560D0" w:rsidRDefault="002560D0" w:rsidP="002560D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More compact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friction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2560D0" w:rsidRPr="002560D0" w:rsidRDefault="002560D0" w:rsidP="002560D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switched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off,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helmsman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isn't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suddenly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confronted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full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torque, but has to put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loading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wheel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equalise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forces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disengage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making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manual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take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over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safer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 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0D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The performance: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lastRenderedPageBreak/>
              <w:drawing>
                <wp:inline distT="0" distB="0" distL="0" distR="0">
                  <wp:extent cx="6705600" cy="3733800"/>
                  <wp:effectExtent l="0" t="0" r="0" b="0"/>
                  <wp:docPr id="22" name="Image 22" descr="http://www.jefa.com/steering/images/dd1-perf-diagra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jefa.com/steering/images/dd1-perf-diagra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This performance table shows the relation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between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consumed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power and the output power.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line shows the output torque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against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needed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amperage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midships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blue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line shows the output torque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against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needed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amperage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full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The green line shows the hard over time (time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travel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72° of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travel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 of the drive relative to the output torque.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Also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visible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strength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drive unit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related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man power. The unit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stronger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human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last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longer but one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unit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zone,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something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wrong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trim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boats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sails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adjusted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achieve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lower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torques.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above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table shows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direct drive type I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yacht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worst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possible conditions. As the drive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mostly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green zone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continuously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rotate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average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power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consumption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12 volts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amps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0D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Connections: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lastRenderedPageBreak/>
              <w:drawing>
                <wp:inline distT="0" distB="0" distL="0" distR="0">
                  <wp:extent cx="6334125" cy="3543300"/>
                  <wp:effectExtent l="0" t="0" r="9525" b="0"/>
                  <wp:docPr id="21" name="Image 21" descr="http://www.jefa.com/steering/images/dd1-connec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jefa.com/steering/images/dd1-connec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This illustration shows the minimal components for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working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configuration.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work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together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all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mayor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electronics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connection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to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junction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box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quite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simple.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two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1.5 mm²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black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wires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have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connected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the plus and minus of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line. This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make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sure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user engages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the control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screen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engage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drive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two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 mm²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black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wires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have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connected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output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connection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Now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integrated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into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system. 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0D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feedback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bracket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: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716"/>
        <w:gridCol w:w="3870"/>
      </w:tblGrid>
      <w:tr w:rsidR="002560D0" w:rsidRPr="002560D0" w:rsidTr="002560D0">
        <w:trPr>
          <w:tblCellSpacing w:w="0" w:type="dxa"/>
        </w:trPr>
        <w:tc>
          <w:tcPr>
            <w:tcW w:w="0" w:type="auto"/>
            <w:vMerge w:val="restart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ease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installation of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direct drive DD1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have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developed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feedback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bracket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bracket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mounted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direction on the main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outgoing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housing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drive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accommodate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feedback unit. This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saves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considerable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amount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installation time as no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fundament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has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made for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feedback unit.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Please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click on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pictures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layout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larger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view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lastRenderedPageBreak/>
              <w:drawing>
                <wp:inline distT="0" distB="0" distL="0" distR="0">
                  <wp:extent cx="3409950" cy="2419350"/>
                  <wp:effectExtent l="0" t="0" r="0" b="0"/>
                  <wp:docPr id="20" name="Image 20" descr="http://www.jefa.com/steering/images/feed-back-small.gif">
                    <a:hlinkClick xmlns:a="http://schemas.openxmlformats.org/drawingml/2006/main" r:id="rId22" tooltip="&quot;click to open full layout in 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jefa.com/steering/images/feed-back-small.gif">
                            <a:hlinkClick r:id="rId22" tooltip="&quot;click to open full layout in 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4" w:history="1">
              <w:r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  <w:lang w:eastAsia="fr-FR"/>
                </w:rPr>
                <w:drawing>
                  <wp:anchor distT="0" distB="0" distL="0" distR="0" simplePos="0" relativeHeight="251661312" behindDoc="0" locked="0" layoutInCell="1" allowOverlap="0">
                    <wp:simplePos x="0" y="0"/>
                    <wp:positionH relativeFrom="column">
                      <wp:align>right</wp:align>
                    </wp:positionH>
                    <wp:positionV relativeFrom="line">
                      <wp:posOffset>0</wp:posOffset>
                    </wp:positionV>
                    <wp:extent cx="2381250" cy="1771650"/>
                    <wp:effectExtent l="0" t="0" r="0" b="0"/>
                    <wp:wrapSquare wrapText="bothSides"/>
                    <wp:docPr id="32" name="Image 32" descr="Click for larger view">
                      <a:hlinkClick xmlns:a="http://schemas.openxmlformats.org/drawingml/2006/main" r:id="rId2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Click for larger view">
                              <a:hlinkClick r:id="rId2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0" cy="177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6" w:history="1">
              <w:r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  <w:lang w:eastAsia="fr-FR"/>
                </w:rPr>
                <w:drawing>
                  <wp:anchor distT="0" distB="0" distL="0" distR="0" simplePos="0" relativeHeight="251662336" behindDoc="0" locked="0" layoutInCell="1" allowOverlap="0">
                    <wp:simplePos x="0" y="0"/>
                    <wp:positionH relativeFrom="column">
                      <wp:align>right</wp:align>
                    </wp:positionH>
                    <wp:positionV relativeFrom="line">
                      <wp:posOffset>0</wp:posOffset>
                    </wp:positionV>
                    <wp:extent cx="2381250" cy="1466850"/>
                    <wp:effectExtent l="0" t="0" r="0" b="0"/>
                    <wp:wrapSquare wrapText="bothSides"/>
                    <wp:docPr id="31" name="Image 31" descr="Click for larger view">
                      <a:hlinkClick xmlns:a="http://schemas.openxmlformats.org/drawingml/2006/main" r:id="rId2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Click for larger view">
                              <a:hlinkClick r:id="rId2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0" cy="146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0D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Drive unit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specification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form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: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10"/>
        <w:gridCol w:w="9476"/>
      </w:tblGrid>
      <w:tr w:rsidR="002560D0" w:rsidRPr="002560D0" w:rsidTr="002560D0">
        <w:trPr>
          <w:tblCellSpacing w:w="0" w:type="dxa"/>
        </w:trPr>
        <w:tc>
          <w:tcPr>
            <w:tcW w:w="375" w:type="dxa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>
                  <wp:extent cx="628650" cy="895350"/>
                  <wp:effectExtent l="0" t="0" r="0" b="0"/>
                  <wp:docPr id="19" name="Image 19" descr="http://www.jefa.com/steering/images/dd-spec-menu.gif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jefa.com/steering/images/dd-spec-menu.gif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simplify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specification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direct drive,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developed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specification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Please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click on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picture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open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 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0D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Tiller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specification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form</w:t>
            </w:r>
            <w:proofErr w:type="spellEnd"/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80"/>
        <w:gridCol w:w="6506"/>
      </w:tblGrid>
      <w:tr w:rsidR="002560D0" w:rsidRPr="002560D0" w:rsidTr="002560D0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>
                  <wp:extent cx="2505075" cy="1905000"/>
                  <wp:effectExtent l="0" t="0" r="9525" b="0"/>
                  <wp:docPr id="18" name="Image 18" descr="http://www.jefa.com/steering/images/tillerarm-spec.gif">
                    <a:hlinkClick xmlns:a="http://schemas.openxmlformats.org/drawingml/2006/main" r:id="rId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jefa.com/steering/images/tillerarm-spec.gif">
                            <a:hlinkClick r:id="rId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2" w:tgtFrame="_blank" w:history="1">
              <w:proofErr w:type="spellStart"/>
              <w:r w:rsidRPr="002560D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fr-FR"/>
                </w:rPr>
                <w:t>Please</w:t>
              </w:r>
              <w:proofErr w:type="spellEnd"/>
              <w:r w:rsidRPr="002560D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click </w:t>
              </w:r>
              <w:proofErr w:type="spellStart"/>
              <w:r w:rsidRPr="002560D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fr-FR"/>
                </w:rPr>
                <w:t>this</w:t>
              </w:r>
              <w:proofErr w:type="spellEnd"/>
            </w:hyperlink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to open the </w:t>
            </w:r>
            <w:proofErr w:type="gramStart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tiller</w:t>
            </w:r>
            <w:proofErr w:type="gramEnd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lever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specification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form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in Adobe PDF. This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</w:t>
            </w:r>
            <w:proofErr w:type="gramEnd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great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help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specify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 tiller arm.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Please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sent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form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to us.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0D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Compatibility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in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12 Volts.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Following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table shows the maximum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torques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midships and full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generated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by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150 Kgm direct drive in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combination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various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junction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boxes.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99B1E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46"/>
        <w:gridCol w:w="2646"/>
        <w:gridCol w:w="2647"/>
        <w:gridCol w:w="2647"/>
      </w:tblGrid>
      <w:tr w:rsidR="002560D0" w:rsidRPr="002560D0" w:rsidTr="002560D0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junction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box 12 Volt version.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Max. output (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Amp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torque midships (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KgM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torque full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KgM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Garmin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GHP12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sailboat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APS (*1)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Simrad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Simrad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Raymarine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ACU-200 (*2)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Raymarine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ACU-400 (*2)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NKE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gyropilot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 RVP (*3)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Furuno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Navpilot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advisable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due to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lack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speed control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dynamic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braking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3" w:tgtFrame="_self" w:history="1">
              <w:proofErr w:type="spellStart"/>
              <w:r w:rsidRPr="002560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this</w:t>
              </w:r>
              <w:proofErr w:type="spellEnd"/>
              <w:r w:rsidRPr="002560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 xml:space="preserve"> page</w:t>
              </w:r>
            </w:hyperlink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B&amp;G H5000 Pilot (*4)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B&amp;G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Tritan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Pilot -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Low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Current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same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Simrad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AC12 -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above</w:t>
            </w:r>
            <w:proofErr w:type="spellEnd"/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(*1) A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special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Garmin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version of the direct drive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available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code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number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DU-DD1-12/GA.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Garmin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feedback unit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integrated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special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Garmin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cables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plugs are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wired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the drive unit.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(*2) An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internal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feedback unit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available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pilot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which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saves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installation time and </w:t>
            </w:r>
            <w:proofErr w:type="gram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separate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fundament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external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feedback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below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pricelist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the surcharge. 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(*3)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Please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special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installation instructions for the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available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FTP server via </w:t>
            </w:r>
            <w:hyperlink r:id="rId34" w:history="1">
              <w:proofErr w:type="spellStart"/>
              <w:r w:rsidRPr="002560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this</w:t>
              </w:r>
              <w:proofErr w:type="spellEnd"/>
              <w:r w:rsidRPr="002560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 xml:space="preserve"> direct </w:t>
              </w:r>
              <w:proofErr w:type="spellStart"/>
              <w:r w:rsidRPr="002560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link</w:t>
              </w:r>
              <w:proofErr w:type="spellEnd"/>
            </w:hyperlink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(*4)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software release 1.1.84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onwards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Older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H5000 pilots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software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upgraded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gram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complete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compatible B&amp;G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autopilots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please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5" w:history="1">
              <w:proofErr w:type="spellStart"/>
              <w:r w:rsidRPr="002560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follow</w:t>
              </w:r>
              <w:proofErr w:type="spellEnd"/>
              <w:r w:rsidRPr="002560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 xml:space="preserve"> </w:t>
              </w:r>
              <w:proofErr w:type="spellStart"/>
              <w:r w:rsidRPr="002560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this</w:t>
              </w:r>
              <w:proofErr w:type="spellEnd"/>
              <w:r w:rsidRPr="002560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 xml:space="preserve"> </w:t>
              </w:r>
              <w:proofErr w:type="spellStart"/>
              <w:r w:rsidRPr="002560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link</w:t>
              </w:r>
              <w:proofErr w:type="spellEnd"/>
            </w:hyperlink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0D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Pricing</w:t>
            </w:r>
            <w:proofErr w:type="spellEnd"/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99B1E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81"/>
        <w:gridCol w:w="7305"/>
        <w:gridCol w:w="1500"/>
      </w:tblGrid>
      <w:tr w:rsidR="002560D0" w:rsidRPr="002560D0" w:rsidTr="002560D0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Jefa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direct drive unit type 1 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Part No.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Price in Euro 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DU-DD1-12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Direct drive 150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KgM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type 1 12 Volts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€ 2.009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DU-DD1-12/GA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Direct drive 150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KgM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, incl.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Garmin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feedback and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cables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€ 2.236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DU-DD1-RFB1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DD1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integrated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feedback unit for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Garmin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and NKE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autopilots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(10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kΩ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€ 176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DU-DD1-RFB2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DD1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integrated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feedback unit for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Raymarine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autopilots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(5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kΩ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€ 176</w:t>
            </w:r>
          </w:p>
        </w:tc>
      </w:tr>
      <w:tr w:rsidR="002560D0" w:rsidRPr="002560D0" w:rsidTr="002560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DU-DD1-FB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Rudder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feedback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mounting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bracket</w:t>
            </w:r>
            <w:proofErr w:type="spellEnd"/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for DD1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2560D0" w:rsidRPr="002560D0" w:rsidRDefault="002560D0" w:rsidP="002560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2560D0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€ 80</w:t>
            </w:r>
          </w:p>
        </w:tc>
      </w:tr>
    </w:tbl>
    <w:p w:rsidR="002560D0" w:rsidRPr="002560D0" w:rsidRDefault="002560D0" w:rsidP="00256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2560D0" w:rsidRPr="002560D0" w:rsidTr="002560D0">
        <w:trPr>
          <w:tblCellSpacing w:w="0" w:type="dxa"/>
        </w:trPr>
        <w:tc>
          <w:tcPr>
            <w:tcW w:w="0" w:type="auto"/>
            <w:hideMark/>
          </w:tcPr>
          <w:p w:rsidR="002560D0" w:rsidRPr="002560D0" w:rsidRDefault="002560D0" w:rsidP="00256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60D0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The direct drive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should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be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completed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with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a </w:t>
            </w:r>
            <w:hyperlink r:id="rId36" w:tgtFrame="_self" w:history="1">
              <w:proofErr w:type="spellStart"/>
              <w:r w:rsidRPr="002560D0">
                <w:rPr>
                  <w:rFonts w:ascii="Times New Roman" w:eastAsia="Times New Roman" w:hAnsi="Times New Roman" w:cs="Times New Roman"/>
                  <w:color w:val="0000FF"/>
                  <w:sz w:val="15"/>
                  <w:szCs w:val="15"/>
                  <w:u w:val="single"/>
                  <w:lang w:eastAsia="fr-FR"/>
                </w:rPr>
                <w:t>draglink</w:t>
              </w:r>
              <w:proofErr w:type="spellEnd"/>
            </w:hyperlink>
            <w:r w:rsidRPr="002560D0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, a tiller pin and in </w:t>
            </w:r>
            <w:proofErr w:type="spellStart"/>
            <w:r w:rsidRPr="002560D0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some</w:t>
            </w:r>
            <w:proofErr w:type="spellEnd"/>
            <w:r w:rsidRPr="002560D0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cases a </w:t>
            </w:r>
            <w:hyperlink r:id="rId37" w:tgtFrame="_self" w:history="1">
              <w:proofErr w:type="spellStart"/>
              <w:r w:rsidRPr="002560D0">
                <w:rPr>
                  <w:rFonts w:ascii="Times New Roman" w:eastAsia="Times New Roman" w:hAnsi="Times New Roman" w:cs="Times New Roman"/>
                  <w:color w:val="0000FF"/>
                  <w:sz w:val="15"/>
                  <w:szCs w:val="15"/>
                  <w:u w:val="single"/>
                  <w:lang w:eastAsia="fr-FR"/>
                </w:rPr>
                <w:t>tillerarm</w:t>
              </w:r>
              <w:proofErr w:type="spellEnd"/>
            </w:hyperlink>
            <w:r w:rsidRPr="002560D0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.</w:t>
            </w:r>
            <w:r w:rsidRPr="002560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:rsidR="00372D53" w:rsidRPr="002560D0" w:rsidRDefault="00372D53" w:rsidP="002560D0"/>
    <w:sectPr w:rsidR="00372D53" w:rsidRPr="002560D0" w:rsidSect="00DC2D61">
      <w:footerReference w:type="default" r:id="rId3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1AC" w:rsidRDefault="008C21AC" w:rsidP="00D963DF">
      <w:pPr>
        <w:spacing w:after="0" w:line="240" w:lineRule="auto"/>
      </w:pPr>
      <w:r>
        <w:separator/>
      </w:r>
    </w:p>
  </w:endnote>
  <w:endnote w:type="continuationSeparator" w:id="0">
    <w:p w:rsidR="008C21AC" w:rsidRDefault="008C21AC" w:rsidP="00D9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3DF" w:rsidRDefault="00D963DF" w:rsidP="009613AC">
    <w:pPr>
      <w:pStyle w:val="Pieddepage"/>
      <w:jc w:val="center"/>
    </w:pPr>
    <w:sdt>
      <w:sdtPr>
        <w:id w:val="897864195"/>
        <w:docPartObj>
          <w:docPartGallery w:val="Page Numbers (Bottom of Page)"/>
          <w:docPartUnique/>
        </w:docPartObj>
      </w:sdtPr>
      <w:sdtContent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A69DB">
          <w:rPr>
            <w:noProof/>
          </w:rPr>
          <w:t>10</w:t>
        </w:r>
        <w:r>
          <w:fldChar w:fldCharType="end"/>
        </w:r>
      </w:sdtContent>
    </w:sdt>
    <w:r>
      <w:t xml:space="preserve"> sur </w:t>
    </w:r>
    <w:fldSimple w:instr=" NUMPAGES   \* MERGEFORMAT ">
      <w:r w:rsidR="006A69DB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1AC" w:rsidRDefault="008C21AC" w:rsidP="00D963DF">
      <w:pPr>
        <w:spacing w:after="0" w:line="240" w:lineRule="auto"/>
      </w:pPr>
      <w:r>
        <w:separator/>
      </w:r>
    </w:p>
  </w:footnote>
  <w:footnote w:type="continuationSeparator" w:id="0">
    <w:p w:rsidR="008C21AC" w:rsidRDefault="008C21AC" w:rsidP="00D96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1460"/>
    <w:multiLevelType w:val="multilevel"/>
    <w:tmpl w:val="B86C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9056E"/>
    <w:multiLevelType w:val="multilevel"/>
    <w:tmpl w:val="F0B2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D4281"/>
    <w:multiLevelType w:val="multilevel"/>
    <w:tmpl w:val="312A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373292"/>
    <w:multiLevelType w:val="multilevel"/>
    <w:tmpl w:val="A13C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164A0"/>
    <w:multiLevelType w:val="multilevel"/>
    <w:tmpl w:val="342E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7B004C"/>
    <w:multiLevelType w:val="multilevel"/>
    <w:tmpl w:val="466A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61"/>
    <w:rsid w:val="00091D18"/>
    <w:rsid w:val="000A3E1A"/>
    <w:rsid w:val="001812F8"/>
    <w:rsid w:val="001E1BF3"/>
    <w:rsid w:val="00226D83"/>
    <w:rsid w:val="002560D0"/>
    <w:rsid w:val="00280141"/>
    <w:rsid w:val="002B7BC3"/>
    <w:rsid w:val="00372D53"/>
    <w:rsid w:val="003E533A"/>
    <w:rsid w:val="0043390C"/>
    <w:rsid w:val="00455E5D"/>
    <w:rsid w:val="004F5195"/>
    <w:rsid w:val="00533456"/>
    <w:rsid w:val="00600D6B"/>
    <w:rsid w:val="00615168"/>
    <w:rsid w:val="00631475"/>
    <w:rsid w:val="00632B69"/>
    <w:rsid w:val="006A1DE9"/>
    <w:rsid w:val="006A69DB"/>
    <w:rsid w:val="006C138C"/>
    <w:rsid w:val="00754A72"/>
    <w:rsid w:val="00777C31"/>
    <w:rsid w:val="008242C0"/>
    <w:rsid w:val="00863BAC"/>
    <w:rsid w:val="008C21AC"/>
    <w:rsid w:val="008C4EBD"/>
    <w:rsid w:val="009613AC"/>
    <w:rsid w:val="00986DFA"/>
    <w:rsid w:val="009A1702"/>
    <w:rsid w:val="00A45A13"/>
    <w:rsid w:val="00A721A7"/>
    <w:rsid w:val="00A95CDD"/>
    <w:rsid w:val="00AF192F"/>
    <w:rsid w:val="00BF7827"/>
    <w:rsid w:val="00C12C3C"/>
    <w:rsid w:val="00C6460C"/>
    <w:rsid w:val="00CD1D44"/>
    <w:rsid w:val="00D921F6"/>
    <w:rsid w:val="00D963DF"/>
    <w:rsid w:val="00DC2D61"/>
    <w:rsid w:val="00DC75D8"/>
    <w:rsid w:val="00DD104E"/>
    <w:rsid w:val="00E24304"/>
    <w:rsid w:val="00E45701"/>
    <w:rsid w:val="00E718C1"/>
    <w:rsid w:val="00E8505A"/>
    <w:rsid w:val="00EC1290"/>
    <w:rsid w:val="00F25184"/>
    <w:rsid w:val="00F469F6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72D5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7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72D53"/>
    <w:rPr>
      <w:color w:val="0000FF"/>
      <w:u w:val="single"/>
    </w:rPr>
  </w:style>
  <w:style w:type="paragraph" w:customStyle="1" w:styleId="style4">
    <w:name w:val="style4"/>
    <w:basedOn w:val="Normal"/>
    <w:rsid w:val="0037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1">
    <w:name w:val="style41"/>
    <w:basedOn w:val="Policepardfaut"/>
    <w:rsid w:val="00372D53"/>
  </w:style>
  <w:style w:type="character" w:styleId="lev">
    <w:name w:val="Strong"/>
    <w:basedOn w:val="Policepardfaut"/>
    <w:uiPriority w:val="22"/>
    <w:qFormat/>
    <w:rsid w:val="00372D53"/>
    <w:rPr>
      <w:b/>
      <w:bCs/>
    </w:rPr>
  </w:style>
  <w:style w:type="paragraph" w:customStyle="1" w:styleId="auto-style1">
    <w:name w:val="auto-style1"/>
    <w:basedOn w:val="Normal"/>
    <w:rsid w:val="0037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uto-style3">
    <w:name w:val="auto-style3"/>
    <w:basedOn w:val="Policepardfaut"/>
    <w:rsid w:val="00372D53"/>
  </w:style>
  <w:style w:type="character" w:customStyle="1" w:styleId="auto-style4">
    <w:name w:val="auto-style4"/>
    <w:basedOn w:val="Policepardfaut"/>
    <w:rsid w:val="00372D53"/>
  </w:style>
  <w:style w:type="character" w:customStyle="1" w:styleId="style1">
    <w:name w:val="style1"/>
    <w:basedOn w:val="Policepardfaut"/>
    <w:rsid w:val="00372D53"/>
  </w:style>
  <w:style w:type="paragraph" w:styleId="Textedebulles">
    <w:name w:val="Balloon Text"/>
    <w:basedOn w:val="Normal"/>
    <w:link w:val="TextedebullesCar"/>
    <w:uiPriority w:val="99"/>
    <w:semiHidden/>
    <w:unhideWhenUsed/>
    <w:rsid w:val="0037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D5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9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3DF"/>
  </w:style>
  <w:style w:type="paragraph" w:styleId="Pieddepage">
    <w:name w:val="footer"/>
    <w:basedOn w:val="Normal"/>
    <w:link w:val="PieddepageCar"/>
    <w:uiPriority w:val="99"/>
    <w:unhideWhenUsed/>
    <w:rsid w:val="00D9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3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72D5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7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72D53"/>
    <w:rPr>
      <w:color w:val="0000FF"/>
      <w:u w:val="single"/>
    </w:rPr>
  </w:style>
  <w:style w:type="paragraph" w:customStyle="1" w:styleId="style4">
    <w:name w:val="style4"/>
    <w:basedOn w:val="Normal"/>
    <w:rsid w:val="0037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1">
    <w:name w:val="style41"/>
    <w:basedOn w:val="Policepardfaut"/>
    <w:rsid w:val="00372D53"/>
  </w:style>
  <w:style w:type="character" w:styleId="lev">
    <w:name w:val="Strong"/>
    <w:basedOn w:val="Policepardfaut"/>
    <w:uiPriority w:val="22"/>
    <w:qFormat/>
    <w:rsid w:val="00372D53"/>
    <w:rPr>
      <w:b/>
      <w:bCs/>
    </w:rPr>
  </w:style>
  <w:style w:type="paragraph" w:customStyle="1" w:styleId="auto-style1">
    <w:name w:val="auto-style1"/>
    <w:basedOn w:val="Normal"/>
    <w:rsid w:val="0037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uto-style3">
    <w:name w:val="auto-style3"/>
    <w:basedOn w:val="Policepardfaut"/>
    <w:rsid w:val="00372D53"/>
  </w:style>
  <w:style w:type="character" w:customStyle="1" w:styleId="auto-style4">
    <w:name w:val="auto-style4"/>
    <w:basedOn w:val="Policepardfaut"/>
    <w:rsid w:val="00372D53"/>
  </w:style>
  <w:style w:type="character" w:customStyle="1" w:styleId="style1">
    <w:name w:val="style1"/>
    <w:basedOn w:val="Policepardfaut"/>
    <w:rsid w:val="00372D53"/>
  </w:style>
  <w:style w:type="paragraph" w:styleId="Textedebulles">
    <w:name w:val="Balloon Text"/>
    <w:basedOn w:val="Normal"/>
    <w:link w:val="TextedebullesCar"/>
    <w:uiPriority w:val="99"/>
    <w:semiHidden/>
    <w:unhideWhenUsed/>
    <w:rsid w:val="0037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D5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9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3DF"/>
  </w:style>
  <w:style w:type="paragraph" w:styleId="Pieddepage">
    <w:name w:val="footer"/>
    <w:basedOn w:val="Normal"/>
    <w:link w:val="PieddepageCar"/>
    <w:uiPriority w:val="99"/>
    <w:unhideWhenUsed/>
    <w:rsid w:val="00D9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fa.com/steering/products/drives/qanda.htm" TargetMode="External"/><Relationship Id="rId13" Type="http://schemas.openxmlformats.org/officeDocument/2006/relationships/hyperlink" Target="ftp://ftp.jefa.com/steering/products/autopilot_drives/direct_drive_DD1/DD1-dims.pdf" TargetMode="External"/><Relationship Id="rId18" Type="http://schemas.openxmlformats.org/officeDocument/2006/relationships/image" Target="media/image7.gif"/><Relationship Id="rId26" Type="http://schemas.openxmlformats.org/officeDocument/2006/relationships/hyperlink" Target="http://www.jefa.com/steering/products/drives/direct-dd1.htm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gif"/><Relationship Id="rId34" Type="http://schemas.openxmlformats.org/officeDocument/2006/relationships/hyperlink" Target="ftp://ftp.jefa.com/steering/installation-guides/NKE_clutch_instructions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ftp://ftp.jefa.com/steering/products/autopilot_drives/direct_drive_DD1/DD1-layout.pdf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://www.jefa.com/steering/products/drives/qanda.htm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9.gif"/><Relationship Id="rId29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jefa.com/steering/products/drives/direct-dd1.htm" TargetMode="External"/><Relationship Id="rId32" Type="http://schemas.openxmlformats.org/officeDocument/2006/relationships/hyperlink" Target="ftp://ftp.jefa.com/steering/installation-guides/Tiller-Spec-Form.pdf" TargetMode="External"/><Relationship Id="rId37" Type="http://schemas.openxmlformats.org/officeDocument/2006/relationships/hyperlink" Target="http://www.jefa.com/steering/products/rackandpinion/tillerlever.ht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image" Target="media/image11.gif"/><Relationship Id="rId28" Type="http://schemas.openxmlformats.org/officeDocument/2006/relationships/hyperlink" Target="ftp://ftp.jefa.com/steering/installation-guides/Direct-Drive-Spec-Form.pdf" TargetMode="External"/><Relationship Id="rId36" Type="http://schemas.openxmlformats.org/officeDocument/2006/relationships/hyperlink" Target="http://www.jefa.com/steering/products/rackandpinion/draglink.htm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8.gif"/><Relationship Id="rId31" Type="http://schemas.openxmlformats.org/officeDocument/2006/relationships/image" Target="media/image15.gif"/><Relationship Id="rId4" Type="http://schemas.openxmlformats.org/officeDocument/2006/relationships/settings" Target="settings.xml"/><Relationship Id="rId9" Type="http://schemas.openxmlformats.org/officeDocument/2006/relationships/hyperlink" Target="http://www.jefa.com/steering/products/drives/direct-dd1.htm" TargetMode="External"/><Relationship Id="rId14" Type="http://schemas.openxmlformats.org/officeDocument/2006/relationships/image" Target="media/image4.gif"/><Relationship Id="rId22" Type="http://schemas.openxmlformats.org/officeDocument/2006/relationships/hyperlink" Target="ftp://ftp.jefa.com/steering/installation-guides/Simrad_rudder_feedback_bracket.pdf" TargetMode="External"/><Relationship Id="rId27" Type="http://schemas.openxmlformats.org/officeDocument/2006/relationships/image" Target="media/image13.jpeg"/><Relationship Id="rId30" Type="http://schemas.openxmlformats.org/officeDocument/2006/relationships/hyperlink" Target="ftp://ftp.jefa.com/steering/installation-guides/Tiller-Spec-Form.pdf" TargetMode="External"/><Relationship Id="rId35" Type="http://schemas.openxmlformats.org/officeDocument/2006/relationships/hyperlink" Target="ftp://ftp.jefa.com/steering/installation-guides/Overview_of_compatible_B&amp;G_pilot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1558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10107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5</cp:revision>
  <cp:lastPrinted>2016-01-14T14:37:00Z</cp:lastPrinted>
  <dcterms:created xsi:type="dcterms:W3CDTF">2016-01-14T14:34:00Z</dcterms:created>
  <dcterms:modified xsi:type="dcterms:W3CDTF">2016-01-14T14:37:00Z</dcterms:modified>
</cp:coreProperties>
</file>