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REGLAS DE NEGOCIO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guardar visitas por seis meses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conservar info usuario por dos años y medio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límite de tres libros para rentar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rbac por sets → roles definidos!!!!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bajar prioridad a filtrado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manuales de funcionamiento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//poner gráficas en estadísticas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tabla de dgbs (mensual concentrado estadísticas)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estados de libros descarte, reparación prestado, disponible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mandar correo antes del libro, antes del vencimiento de credencial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&gt;&gt;agregar fecha de inicio de sanción (considerar días no hábiles para cálculo, puentes ext prés)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harán una cuenta por 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&gt;&gt;&gt;&gt; catálogo de libros antes de l 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ponen fecha de fin de sanción. no se registran vacaciones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generar código de barras desde número grande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 momento del registro, usuario puede elegir si recibir correos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AGREGAR REQS RBAC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