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Tarea</w:t>
      </w:r>
      <w:r>
        <w:t xml:space="preserve"> </w:t>
      </w:r>
      <w:r>
        <w:t xml:space="preserve">1</w:t>
      </w:r>
    </w:p>
    <w:p>
      <w:pPr>
        <w:pStyle w:val="Author"/>
      </w:pPr>
      <w:r>
        <w:t xml:space="preserve">Karen</w:t>
      </w:r>
      <w:r>
        <w:t xml:space="preserve"> </w:t>
      </w:r>
      <w:r>
        <w:t xml:space="preserve">Delgado</w:t>
      </w:r>
      <w:r>
        <w:t xml:space="preserve"> </w:t>
      </w:r>
      <w:r>
        <w:t xml:space="preserve">Curiel</w:t>
      </w:r>
      <w:r>
        <w:t xml:space="preserve"> </w:t>
      </w:r>
      <w:r>
        <w:t xml:space="preserve">142252,</w:t>
      </w:r>
      <w:r>
        <w:t xml:space="preserve"> </w:t>
      </w:r>
      <w:r>
        <w:t xml:space="preserve">Bernardo</w:t>
      </w:r>
      <w:r>
        <w:t xml:space="preserve"> </w:t>
      </w:r>
      <w:r>
        <w:t xml:space="preserve">Mondragón</w:t>
      </w:r>
      <w:r>
        <w:t xml:space="preserve"> </w:t>
      </w:r>
      <w:r>
        <w:t xml:space="preserve">Brozon</w:t>
      </w:r>
      <w:r>
        <w:t xml:space="preserve"> </w:t>
      </w:r>
      <w:r>
        <w:t xml:space="preserve">143743,</w:t>
      </w:r>
      <w:r>
        <w:t xml:space="preserve"> </w:t>
      </w:r>
      <w:r>
        <w:t xml:space="preserve">Juan</w:t>
      </w:r>
      <w:r>
        <w:t xml:space="preserve"> </w:t>
      </w:r>
      <w:r>
        <w:t xml:space="preserve">Casas</w:t>
      </w:r>
      <w:r>
        <w:t xml:space="preserve"> </w:t>
      </w:r>
      <w:r>
        <w:t xml:space="preserve">Alatriste</w:t>
      </w:r>
      <w:r>
        <w:t xml:space="preserve"> </w:t>
      </w:r>
      <w:r>
        <w:t xml:space="preserve">Rion</w:t>
      </w:r>
      <w:r>
        <w:t xml:space="preserve"> </w:t>
      </w:r>
      <w:r>
        <w:t xml:space="preserve">141913,</w:t>
      </w:r>
      <w:r>
        <w:t xml:space="preserve"> </w:t>
      </w:r>
      <w:r>
        <w:t xml:space="preserve">David</w:t>
      </w:r>
      <w:r>
        <w:t xml:space="preserve"> </w:t>
      </w:r>
      <w:r>
        <w:t xml:space="preserve">Almog</w:t>
      </w:r>
      <w:r>
        <w:t xml:space="preserve"> </w:t>
      </w:r>
      <w:r>
        <w:t xml:space="preserve">Salama</w:t>
      </w:r>
      <w:r>
        <w:t xml:space="preserve"> </w:t>
      </w:r>
      <w:r>
        <w:t xml:space="preserve">Finkelstein</w:t>
      </w:r>
      <w:r>
        <w:t xml:space="preserve"> </w:t>
      </w:r>
      <w:r>
        <w:t xml:space="preserve">136731</w:t>
      </w:r>
    </w:p>
    <w:p>
      <w:pPr>
        <w:pStyle w:val="Date"/>
      </w:pPr>
      <w:r>
        <w:t xml:space="preserve">08/02/2018</w:t>
      </w:r>
    </w:p>
    <w:p>
      <w:pPr>
        <w:pStyle w:val="Heading2"/>
      </w:pPr>
      <w:bookmarkStart w:id="21" w:name="los-datos"/>
      <w:bookmarkEnd w:id="21"/>
      <w:r>
        <w:t xml:space="preserve">Los datos</w:t>
      </w:r>
    </w:p>
    <w:p>
      <w:pPr>
        <w:pStyle w:val="FirstParagraph"/>
      </w:pPr>
      <w:r>
        <w:t xml:space="preserve">Se cuenta con el peso, en libras, y la presión sistólica de 26 personas. En este análisis, la presión seá la variable de respuesta y el peso será la varuable regresora o predictora. A continuación se muestra el aspecto que tiene la información de las 26 personas.</w:t>
      </w:r>
    </w:p>
    <w:p>
      <w:pPr>
        <w:pStyle w:val="SourceCode"/>
      </w:pPr>
      <w:r>
        <w:rPr>
          <w:rStyle w:val="VerbatimChar"/>
        </w:rPr>
        <w:t xml:space="preserve">##   peso presion</w:t>
      </w:r>
      <w:r>
        <w:br w:type="textWrapping"/>
      </w:r>
      <w:r>
        <w:rPr>
          <w:rStyle w:val="VerbatimChar"/>
        </w:rPr>
        <w:t xml:space="preserve">## 1  165     130</w:t>
      </w:r>
      <w:r>
        <w:br w:type="textWrapping"/>
      </w:r>
      <w:r>
        <w:rPr>
          <w:rStyle w:val="VerbatimChar"/>
        </w:rPr>
        <w:t xml:space="preserve">## 2  167     133</w:t>
      </w:r>
      <w:r>
        <w:br w:type="textWrapping"/>
      </w:r>
      <w:r>
        <w:rPr>
          <w:rStyle w:val="VerbatimChar"/>
        </w:rPr>
        <w:t xml:space="preserve">## 3  180     150</w:t>
      </w:r>
      <w:r>
        <w:br w:type="textWrapping"/>
      </w:r>
      <w:r>
        <w:rPr>
          <w:rStyle w:val="VerbatimChar"/>
        </w:rPr>
        <w:t xml:space="preserve">## 4  155     128</w:t>
      </w:r>
      <w:r>
        <w:br w:type="textWrapping"/>
      </w:r>
      <w:r>
        <w:rPr>
          <w:rStyle w:val="VerbatimChar"/>
        </w:rPr>
        <w:t xml:space="preserve">## 5  212     151</w:t>
      </w:r>
      <w:r>
        <w:br w:type="textWrapping"/>
      </w:r>
      <w:r>
        <w:rPr>
          <w:rStyle w:val="VerbatimChar"/>
        </w:rPr>
        <w:t xml:space="preserve">## 6  175     146</w:t>
      </w:r>
    </w:p>
    <w:p>
      <w:pPr>
        <w:pStyle w:val="Heading2"/>
      </w:pPr>
      <w:bookmarkStart w:id="22" w:name="regresion-lineal-simple"/>
      <w:bookmarkEnd w:id="22"/>
      <w:r>
        <w:t xml:space="preserve">Regresión lineal simple</w:t>
      </w:r>
    </w:p>
    <w:p>
      <w:pPr>
        <w:pStyle w:val="FirstParagraph"/>
      </w:pPr>
      <w:r>
        <w:t xml:space="preserve">A continuación se muestra un diagrama de dispersión y la recta que mejor se ajusta a los datos.</w:t>
      </w:r>
    </w:p>
    <w:p>
      <w:pPr>
        <w:pStyle w:val="BodyText"/>
      </w:pPr>
      <w:r>
        <w:drawing>
          <wp:inline>
            <wp:extent cx="4620126" cy="3696101"/>
            <wp:effectExtent b="0" l="0" r="0" t="0"/>
            <wp:docPr descr="" id="1" name="Picture"/>
            <a:graphic>
              <a:graphicData uri="http://schemas.openxmlformats.org/drawingml/2006/picture">
                <pic:pic>
                  <pic:nvPicPr>
                    <pic:cNvPr descr="Tarea1_files/figure-docx/pressure-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 recta de regresión está dada por</w:t>
      </w:r>
    </w:p>
    <w:p>
      <w:pPr>
        <w:pStyle w:val="BodyText"/>
      </w:pPr>
      <m:oMathPara>
        <m:oMathParaPr>
          <m:jc m:val="center"/>
        </m:oMathParaPr>
        <m:oMath>
          <m:r>
            <m:t>y</m:t>
          </m:r>
          <m:r>
            <m:t>=</m:t>
          </m:r>
          <m:r>
            <m:t>0.4194152</m:t>
          </m:r>
          <m:r>
            <m:t>x</m:t>
          </m:r>
          <m:r>
            <m:t>+</m:t>
          </m:r>
          <m:r>
            <m:t>69.1043728</m:t>
          </m:r>
        </m:oMath>
      </m:oMathPara>
    </w:p>
    <w:p>
      <w:pPr>
        <w:pStyle w:val="FirstParagraph"/>
      </w:pPr>
      <w:r>
        <w:t xml:space="preserve">y el punto en donde la recta horizontal intersecta con la recta vertical es el centroide</w:t>
      </w:r>
      <w:r>
        <w:t xml:space="preserve"> </w:t>
      </w:r>
      <m:oMath>
        <m:r>
          <m:t>(</m:t>
        </m:r>
        <m:bar>
          <m:barPr>
            <m:pos m:val="top"/>
          </m:barPr>
          <m:e>
            <m:r>
              <m:t>x</m:t>
            </m:r>
          </m:e>
        </m:bar>
        <m:r>
          <m:t>,</m:t>
        </m:r>
        <m:bar>
          <m:barPr>
            <m:pos m:val="top"/>
          </m:barPr>
          <m:e>
            <m:r>
              <m:t>y</m:t>
            </m:r>
          </m:e>
        </m:bar>
        <m:r>
          <m:t>)</m:t>
        </m:r>
      </m:oMath>
      <w:r>
        <w:t xml:space="preserve">.</w:t>
      </w:r>
    </w:p>
    <w:p>
      <w:pPr>
        <w:pStyle w:val="Heading2"/>
      </w:pPr>
      <w:bookmarkStart w:id="24" w:name="regresion-lineal-por-el-origen"/>
      <w:bookmarkEnd w:id="24"/>
      <w:r>
        <w:t xml:space="preserve">Regresión lineal por el origen</w:t>
      </w:r>
    </w:p>
    <w:p>
      <w:pPr>
        <w:pStyle w:val="FirstParagraph"/>
      </w:pPr>
      <w:r>
        <w:t xml:space="preserve">A continuación se muestra un diagrama de dispersión y la recta de regresion lineal por el orgen que mejor se ajusta a los datos.</w:t>
      </w:r>
    </w:p>
    <w:p>
      <w:pPr>
        <w:pStyle w:val="BodyText"/>
      </w:pPr>
      <w:r>
        <w:drawing>
          <wp:inline>
            <wp:extent cx="4620126" cy="3696101"/>
            <wp:effectExtent b="0" l="0" r="0" t="0"/>
            <wp:docPr descr="" id="1" name="Picture"/>
            <a:graphic>
              <a:graphicData uri="http://schemas.openxmlformats.org/drawingml/2006/picture">
                <pic:pic>
                  <pic:nvPicPr>
                    <pic:cNvPr descr="Tarea1_files/figure-docx/grafica%20de%20regresion%20lineal%20por%20el%20origen-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 recta de regresión lineal por el origen está dada por la siguiente ecuación:</w:t>
      </w:r>
    </w:p>
    <w:p>
      <w:pPr>
        <w:pStyle w:val="BodyText"/>
      </w:pPr>
      <m:oMathPara>
        <m:oMathParaPr>
          <m:jc m:val="center"/>
        </m:oMathParaPr>
        <m:oMath>
          <m:r>
            <m:t>y</m:t>
          </m:r>
          <m:r>
            <m:t>=</m:t>
          </m:r>
          <m:r>
            <m:t>0.7916415</m:t>
          </m:r>
          <m:r>
            <m:t>x</m:t>
          </m:r>
          <m:r>
            <m:t>.</m:t>
          </m:r>
        </m:oMath>
      </m:oMathPara>
    </w:p>
    <w:p>
      <w:pPr>
        <w:pStyle w:val="FirstParagraph"/>
      </w:pPr>
      <w:r>
        <w:t xml:space="preserve">Note que en el modelo de regresión por el origen la recta de regresión no pasa por el centroide</w:t>
      </w:r>
      <w:r>
        <w:t xml:space="preserve"> </w:t>
      </w:r>
      <m:oMath>
        <m:r>
          <m:t>(</m:t>
        </m:r>
        <m:bar>
          <m:barPr>
            <m:pos m:val="top"/>
          </m:barPr>
          <m:e>
            <m:r>
              <m:t>x</m:t>
            </m:r>
          </m:e>
        </m:bar>
        <m:r>
          <m:t>,</m:t>
        </m:r>
        <m:bar>
          <m:barPr>
            <m:pos m:val="top"/>
          </m:barPr>
          <m:e>
            <m:r>
              <m:t>y</m:t>
            </m:r>
          </m:e>
        </m:bar>
        <m:r>
          <m:t>)</m:t>
        </m:r>
      </m:oMath>
      <w:r>
        <w:t xml:space="preserve">. En el modelo de regresión lineal simple se calculó la recta que mejor se ajusta a los datos, sin embargo, tiene sentido penser en un modelo de regresión lineal por el origen, pues es imposible que una persona cuyo peso es cero tenga una presión sistólica positiva e igual 69.1043728. Por otro lado, el modelo de regresión lineal simple es mejor porque produce estimadores insesgados.</w:t>
      </w:r>
    </w:p>
    <w:p>
      <w:pPr>
        <w:pStyle w:val="Heading2"/>
      </w:pPr>
      <w:bookmarkStart w:id="26" w:name="intervalos-de-prediccion"/>
      <w:bookmarkEnd w:id="26"/>
      <w:r>
        <w:t xml:space="preserve">Intervalos de predicción</w:t>
      </w:r>
    </w:p>
    <w:p>
      <w:pPr>
        <w:pStyle w:val="FirstParagraph"/>
      </w:pPr>
      <w:r>
        <w:t xml:space="preserve">El intervalo de predicción para una persona que</w:t>
      </w:r>
      <w:r>
        <w:t xml:space="preserve"> </w:t>
      </w:r>
      <m:oMath>
        <m:r>
          <m:t>122</m:t>
        </m:r>
        <m:r>
          <m:t>l</m:t>
        </m:r>
        <m:r>
          <m:t>b</m:t>
        </m:r>
      </m:oMath>
      <w:r>
        <w:t xml:space="preserve"> </w:t>
      </w:r>
      <w:r>
        <w:t xml:space="preserve">es el siguiente:</w:t>
      </w:r>
    </w:p>
    <w:p>
      <w:pPr>
        <w:pStyle w:val="BodyText"/>
      </w:pPr>
      <m:oMathPara>
        <m:oMathParaPr>
          <m:jc m:val="center"/>
        </m:oMathParaPr>
        <m:oMath>
          <m:sSub>
            <m:e>
              <m:groupChr>
                <m:groupChrPr>
                  <m:chr m:val="^"/>
                  <m:pos m:val="top"/>
                  <m:vertJc m:val="bot"/>
                </m:groupChrPr>
                <m:e>
                  <m:r>
                    <m:t>β</m:t>
                  </m:r>
                </m:e>
              </m:groupChr>
            </m:e>
            <m:sub>
              <m:r>
                <m:t>0</m:t>
              </m:r>
            </m:sub>
          </m:sSub>
          <m:r>
            <m:t>+</m:t>
          </m:r>
          <m:sSub>
            <m:e>
              <m:groupChr>
                <m:groupChrPr>
                  <m:chr m:val="^"/>
                  <m:pos m:val="top"/>
                  <m:vertJc m:val="bot"/>
                </m:groupChrPr>
                <m:e>
                  <m:r>
                    <m:t>β</m:t>
                  </m:r>
                </m:e>
              </m:groupChr>
            </m:e>
            <m:sub>
              <m:r>
                <m:t>1</m:t>
              </m:r>
            </m:sub>
          </m:sSub>
          <m:r>
            <m:t>x</m:t>
          </m:r>
          <m:r>
            <m:t>±</m:t>
          </m:r>
          <m:sSub>
            <m:e>
              <m:r>
                <m:t>τ</m:t>
              </m:r>
            </m:e>
            <m:sub>
              <m:r>
                <m:t>n</m:t>
              </m:r>
              <m:r>
                <m:t>−</m:t>
              </m:r>
              <m:r>
                <m:t>2</m:t>
              </m:r>
              <m:r>
                <m:t>,</m:t>
              </m:r>
              <m:f>
                <m:fPr>
                  <m:type m:val="bar"/>
                </m:fPr>
                <m:num>
                  <m:r>
                    <m:t>α</m:t>
                  </m:r>
                </m:num>
                <m:den>
                  <m:r>
                    <m:t>2</m:t>
                  </m:r>
                </m:den>
              </m:f>
            </m:sub>
          </m:sSub>
          <m:rad>
            <m:radPr>
              <m:degHide m:val="1"/>
            </m:radPr>
            <m:deg/>
            <m:e>
              <m:f>
                <m:fPr>
                  <m:type m:val="bar"/>
                </m:fPr>
                <m:num>
                  <m:nary>
                    <m:naryPr>
                      <m:chr m:val="∑"/>
                      <m:limLoc m:val="undOvr"/>
                      <m:subHide m:val="0"/>
                      <m:supHide m:val="0"/>
                    </m:naryPr>
                    <m:sub>
                      <m:r>
                        <m:t>i</m:t>
                      </m:r>
                      <m:r>
                        <m:t>=</m:t>
                      </m:r>
                      <m:r>
                        <m:t>1</m:t>
                      </m:r>
                    </m:sub>
                    <m:sup>
                      <m:r>
                        <m:t>n</m:t>
                      </m:r>
                    </m:sup>
                    <m:e>
                      <m:sSup>
                        <m:e>
                          <m:d>
                            <m:dPr>
                              <m:begChr m:val="("/>
                              <m:endChr m:val=")"/>
                              <m:grow/>
                            </m:dPr>
                            <m:e>
                              <m:sSub>
                                <m:e>
                                  <m:r>
                                    <m:t>y</m:t>
                                  </m:r>
                                </m:e>
                                <m:sub>
                                  <m:r>
                                    <m:t>i</m:t>
                                  </m:r>
                                </m:sub>
                              </m:sSub>
                              <m:r>
                                <m:t>−</m:t>
                              </m:r>
                              <m:r>
                                <m:t>[</m:t>
                              </m:r>
                              <m:sSub>
                                <m:e>
                                  <m:groupChr>
                                    <m:groupChrPr>
                                      <m:chr m:val="^"/>
                                      <m:pos m:val="top"/>
                                      <m:vertJc m:val="bot"/>
                                    </m:groupChrPr>
                                    <m:e>
                                      <m:r>
                                        <m:t>β</m:t>
                                      </m:r>
                                    </m:e>
                                  </m:groupChr>
                                </m:e>
                                <m:sub>
                                  <m:r>
                                    <m:t>0</m:t>
                                  </m:r>
                                </m:sub>
                              </m:sSub>
                              <m:r>
                                <m:t>+</m:t>
                              </m:r>
                              <m:sSub>
                                <m:e>
                                  <m:groupChr>
                                    <m:groupChrPr>
                                      <m:chr m:val="^"/>
                                      <m:pos m:val="top"/>
                                      <m:vertJc m:val="bot"/>
                                    </m:groupChrPr>
                                    <m:e>
                                      <m:r>
                                        <m:t>β</m:t>
                                      </m:r>
                                    </m:e>
                                  </m:groupChr>
                                </m:e>
                                <m:sub>
                                  <m:r>
                                    <m:t>1</m:t>
                                  </m:r>
                                </m:sub>
                              </m:sSub>
                              <m:sSub>
                                <m:e>
                                  <m:r>
                                    <m:t>x</m:t>
                                  </m:r>
                                </m:e>
                                <m:sub>
                                  <m:r>
                                    <m:t>i</m:t>
                                  </m:r>
                                </m:sub>
                              </m:sSub>
                              <m:r>
                                <m:t>]</m:t>
                              </m:r>
                            </m:e>
                          </m:d>
                        </m:e>
                        <m:sup>
                          <m:r>
                            <m:t>2</m:t>
                          </m:r>
                        </m:sup>
                      </m:sSup>
                    </m:e>
                  </m:nary>
                </m:num>
                <m:den>
                  <m:r>
                    <m:t>n</m:t>
                  </m:r>
                  <m:r>
                    <m:t>−</m:t>
                  </m:r>
                  <m:r>
                    <m:t>2</m:t>
                  </m:r>
                </m:den>
              </m:f>
              <m:d>
                <m:dPr>
                  <m:begChr m:val="("/>
                  <m:endChr m:val=")"/>
                  <m:grow/>
                </m:dPr>
                <m:e>
                  <m:r>
                    <m:t>1</m:t>
                  </m:r>
                  <m:r>
                    <m:t>+</m:t>
                  </m:r>
                  <m:f>
                    <m:fPr>
                      <m:type m:val="bar"/>
                    </m:fPr>
                    <m:num>
                      <m:r>
                        <m:t>1</m:t>
                      </m:r>
                    </m:num>
                    <m:den>
                      <m:r>
                        <m:t>n</m:t>
                      </m:r>
                    </m:den>
                  </m:f>
                  <m:r>
                    <m:t>+</m:t>
                  </m:r>
                  <m:f>
                    <m:fPr>
                      <m:type m:val="bar"/>
                    </m:fPr>
                    <m:num>
                      <m:r>
                        <m:t>x</m:t>
                      </m:r>
                      <m:r>
                        <m:t>−</m:t>
                      </m:r>
                      <m:bar>
                        <m:barPr>
                          <m:pos m:val="top"/>
                        </m:barPr>
                        <m:e>
                          <m:r>
                            <m:t>x</m:t>
                          </m:r>
                        </m:e>
                      </m:bar>
                    </m:num>
                    <m:den>
                      <m:nary>
                        <m:naryPr>
                          <m:chr m:val="∑"/>
                          <m:limLoc m:val="undOvr"/>
                          <m:subHide m:val="0"/>
                          <m:supHide m:val="0"/>
                        </m:naryPr>
                        <m:sub>
                          <m:r>
                            <m:t>i</m:t>
                          </m:r>
                          <m:r>
                            <m:t>=</m:t>
                          </m:r>
                          <m:r>
                            <m:t>1</m:t>
                          </m:r>
                        </m:sub>
                        <m:sup>
                          <m:r>
                            <m:t>n</m:t>
                          </m:r>
                        </m:sup>
                        <m:e>
                          <m:sSup>
                            <m:e>
                              <m:d>
                                <m:dPr>
                                  <m:begChr m:val="("/>
                                  <m:endChr m:val=")"/>
                                  <m:grow/>
                                </m:dPr>
                                <m:e>
                                  <m:sSub>
                                    <m:e>
                                      <m:r>
                                        <m:t>x</m:t>
                                      </m:r>
                                    </m:e>
                                    <m:sub>
                                      <m:r>
                                        <m:t>i</m:t>
                                      </m:r>
                                    </m:sub>
                                  </m:sSub>
                                  <m:r>
                                    <m:t>−</m:t>
                                  </m:r>
                                  <m:bar>
                                    <m:barPr>
                                      <m:pos m:val="top"/>
                                    </m:barPr>
                                    <m:e>
                                      <m:r>
                                        <m:t>x</m:t>
                                      </m:r>
                                    </m:e>
                                  </m:bar>
                                </m:e>
                              </m:d>
                            </m:e>
                            <m:sup>
                              <m:r>
                                <m:t>2</m:t>
                              </m:r>
                            </m:sup>
                          </m:sSup>
                        </m:e>
                      </m:nary>
                    </m:den>
                  </m:f>
                </m:e>
              </m:d>
            </m:e>
          </m:rad>
          <m:r>
            <m:t>=</m:t>
          </m:r>
          <m:r>
            <m:t>(</m:t>
          </m:r>
          <m:r>
            <m:t>102.0500556</m:t>
          </m:r>
          <m:r>
            <m:t>,</m:t>
          </m:r>
          <m:r>
            <m:t>138.4959994</m:t>
          </m:r>
          <m:r>
            <m:t>)</m:t>
          </m:r>
        </m:oMath>
      </m:oMathPara>
    </w:p>
    <w:p>
      <w:pPr>
        <w:pStyle w:val="Heading2"/>
      </w:pPr>
      <w:bookmarkStart w:id="27" w:name="problema-teorico"/>
      <w:bookmarkEnd w:id="27"/>
      <w:r>
        <w:t xml:space="preserve">Problema teórico</w:t>
      </w:r>
    </w:p>
    <w:p>
      <w:pPr>
        <w:pStyle w:val="FirstParagraph"/>
      </w:pPr>
      <w:r>
        <w:t xml:space="preserve">Demuestre que en regresión múltiple los valores ajustados y los intervalos de predicción no se alteran si la matriz de diseño se post-multiplica por una matriz S no singular. Diga como sería esta matriz en el caso de regresión simple en donde el regresor X está medido en pulgadas y se quiere que el resultado de la postmultiplicación sea que X se mide ahora en cm.</w:t>
      </w:r>
    </w:p>
    <w:p>
      <w:pPr>
        <w:pStyle w:val="Heading4"/>
      </w:pPr>
      <w:bookmarkStart w:id="28" w:name="demostracion"/>
      <w:bookmarkEnd w:id="28"/>
      <w:r>
        <w:t xml:space="preserve">Demostración</w:t>
      </w:r>
    </w:p>
    <w:p>
      <w:pPr>
        <w:pStyle w:val="FirstParagraph"/>
      </w:pPr>
      <w:r>
        <w:t xml:space="preserve">Sea</w:t>
      </w:r>
      <w:r>
        <w:t xml:space="preserve"> </w:t>
      </w:r>
      <m:oMath>
        <m:r>
          <m:t>X</m:t>
        </m:r>
      </m:oMath>
      <w:r>
        <w:t xml:space="preserve"> </w:t>
      </w:r>
      <w:r>
        <w:t xml:space="preserve">la matriz de diseño y sea</w:t>
      </w:r>
      <w:r>
        <w:t xml:space="preserve"> </w:t>
      </w:r>
      <m:oMath>
        <m:r>
          <m:t>S</m:t>
        </m:r>
      </m:oMath>
      <w:r>
        <w:t xml:space="preserve"> </w:t>
      </w:r>
      <w:r>
        <w:t xml:space="preserve">una matriz no singular. Los valores ajustados del modelo</w:t>
      </w:r>
      <w:r>
        <w:t xml:space="preserve"> </w:t>
      </w:r>
      <m:oMath>
        <m:r>
          <m:t>Y</m:t>
        </m:r>
        <m:r>
          <m:t>=</m:t>
        </m:r>
        <m:r>
          <m:t>X</m:t>
        </m:r>
        <m:r>
          <m:t>*</m:t>
        </m:r>
        <m:r>
          <m:t>S</m:t>
        </m:r>
        <m:r>
          <m:t>*</m:t>
        </m:r>
        <m:r>
          <m:t>β</m:t>
        </m:r>
      </m:oMath>
      <w:r>
        <w:t xml:space="preserve"> </w:t>
      </w:r>
      <w:r>
        <w:t xml:space="preserve">están dados por</w:t>
      </w:r>
    </w:p>
    <w:p>
      <w:pPr>
        <w:pStyle w:val="BodyText"/>
      </w:pPr>
      <w:r>
        <w:t xml:space="preserve">Por lo tanto los valores ajustados siguien siendo los mismos. Del mismo modo se tiene que el intervalo</w:t>
      </w:r>
    </w:p>
    <w:p>
      <w:pPr>
        <w:pStyle w:val="BodyText"/>
      </w:pPr>
      <m:oMathPara>
        <m:oMathParaPr>
          <m:jc m:val="center"/>
        </m:oMathParaPr>
        <m:oMath>
          <m:sSub>
            <m:e>
              <m:groupChr>
                <m:groupChrPr>
                  <m:chr m:val="^"/>
                  <m:pos m:val="top"/>
                  <m:vertJc m:val="bot"/>
                </m:groupChrPr>
                <m:e>
                  <m:r>
                    <m:t>β</m:t>
                  </m:r>
                </m:e>
              </m:groupChr>
            </m:e>
            <m:sub>
              <m:r>
                <m:t>0</m:t>
              </m:r>
            </m:sub>
          </m:sSub>
          <m:r>
            <m:t>+</m:t>
          </m:r>
          <m:sSub>
            <m:e>
              <m:groupChr>
                <m:groupChrPr>
                  <m:chr m:val="^"/>
                  <m:pos m:val="top"/>
                  <m:vertJc m:val="bot"/>
                </m:groupChrPr>
                <m:e>
                  <m:r>
                    <m:t>β</m:t>
                  </m:r>
                </m:e>
              </m:groupChr>
            </m:e>
            <m:sub>
              <m:r>
                <m:t>1</m:t>
              </m:r>
            </m:sub>
          </m:sSub>
          <m:sSub>
            <m:e>
              <m:r>
                <m:t>x</m:t>
              </m:r>
            </m:e>
            <m:sub>
              <m:r>
                <m:t>0</m:t>
              </m:r>
            </m:sub>
          </m:sSub>
          <m:r>
            <m:t>±</m:t>
          </m:r>
          <m:sSub>
            <m:e>
              <m:r>
                <m:t>τ</m:t>
              </m:r>
            </m:e>
            <m:sub>
              <m:r>
                <m:t>n</m:t>
              </m:r>
              <m:r>
                <m:t>−</m:t>
              </m:r>
              <m:r>
                <m:t>2</m:t>
              </m:r>
              <m:r>
                <m:t>,</m:t>
              </m:r>
              <m:f>
                <m:fPr>
                  <m:type m:val="bar"/>
                </m:fPr>
                <m:num>
                  <m:r>
                    <m:t>α</m:t>
                  </m:r>
                </m:num>
                <m:den>
                  <m:r>
                    <m:t>2</m:t>
                  </m:r>
                </m:den>
              </m:f>
            </m:sub>
          </m:sSub>
          <m:rad>
            <m:radPr>
              <m:degHide m:val="1"/>
            </m:radPr>
            <m:deg/>
            <m:e>
              <m:r>
                <m:t>M</m:t>
              </m:r>
              <m:sSub>
                <m:e>
                  <m:r>
                    <m:t>S</m:t>
                  </m:r>
                </m:e>
                <m:sub>
                  <m:r>
                    <m:t>r</m:t>
                  </m:r>
                  <m:r>
                    <m:t>e</m:t>
                  </m:r>
                  <m:r>
                    <m:t>s</m:t>
                  </m:r>
                </m:sub>
              </m:sSub>
              <m:r>
                <m:t>(</m:t>
              </m:r>
              <m:r>
                <m:t>1</m:t>
              </m:r>
              <m:r>
                <m:t>+</m:t>
              </m:r>
              <m:r>
                <m:t>S</m:t>
              </m:r>
              <m:sSubSup>
                <m:e>
                  <m:r>
                    <m:t>x</m:t>
                  </m:r>
                </m:e>
                <m:sub>
                  <m:r>
                    <m:t>0</m:t>
                  </m:r>
                </m:sub>
                <m:sup>
                  <m:r>
                    <m:t>´</m:t>
                  </m:r>
                </m:sup>
              </m:sSubSup>
              <m:r>
                <m:t>(</m:t>
              </m:r>
              <m:r>
                <m:t>(</m:t>
              </m:r>
              <m:r>
                <m:t>S</m:t>
              </m:r>
              <m:r>
                <m:t>X</m:t>
              </m:r>
              <m:sSup>
                <m:e>
                  <m:r>
                    <m:t>)</m:t>
                  </m:r>
                </m:e>
                <m:sup>
                  <m:r>
                    <m:t>´</m:t>
                  </m:r>
                </m:sup>
              </m:sSup>
              <m:r>
                <m:t>S</m:t>
              </m:r>
              <m:r>
                <m:t>X</m:t>
              </m:r>
              <m:sSup>
                <m:e>
                  <m:r>
                    <m:t>)</m:t>
                  </m:r>
                </m:e>
                <m:sup>
                  <m:r>
                    <m:t>−</m:t>
                  </m:r>
                  <m:r>
                    <m:t>1</m:t>
                  </m:r>
                </m:sup>
              </m:sSup>
              <m:r>
                <m:t>S</m:t>
              </m:r>
              <m:sSub>
                <m:e>
                  <m:r>
                    <m:t>x</m:t>
                  </m:r>
                </m:e>
                <m:sub>
                  <m:r>
                    <m:t>0</m:t>
                  </m:r>
                </m:sub>
              </m:sSub>
              <m:r>
                <m:t>)</m:t>
              </m:r>
            </m:e>
          </m:rad>
        </m:oMath>
      </m:oMathPara>
    </w:p>
    <w:p>
      <w:pPr>
        <w:pStyle w:val="FirstParagraph"/>
      </w:pPr>
      <w:r>
        <w:t xml:space="preserve">coincide con el intervalo</w:t>
      </w:r>
    </w:p>
    <w:p>
      <w:pPr>
        <w:pStyle w:val="BodyText"/>
      </w:pPr>
      <m:oMathPara>
        <m:oMathParaPr>
          <m:jc m:val="center"/>
        </m:oMathParaPr>
        <m:oMath>
          <m:sSub>
            <m:e>
              <m:groupChr>
                <m:groupChrPr>
                  <m:chr m:val="^"/>
                  <m:pos m:val="top"/>
                  <m:vertJc m:val="bot"/>
                </m:groupChrPr>
                <m:e>
                  <m:r>
                    <m:t>β</m:t>
                  </m:r>
                </m:e>
              </m:groupChr>
            </m:e>
            <m:sub>
              <m:r>
                <m:t>0</m:t>
              </m:r>
            </m:sub>
          </m:sSub>
          <m:r>
            <m:t>+</m:t>
          </m:r>
          <m:sSub>
            <m:e>
              <m:groupChr>
                <m:groupChrPr>
                  <m:chr m:val="^"/>
                  <m:pos m:val="top"/>
                  <m:vertJc m:val="bot"/>
                </m:groupChrPr>
                <m:e>
                  <m:r>
                    <m:t>β</m:t>
                  </m:r>
                </m:e>
              </m:groupChr>
            </m:e>
            <m:sub>
              <m:r>
                <m:t>1</m:t>
              </m:r>
            </m:sub>
          </m:sSub>
          <m:sSub>
            <m:e>
              <m:r>
                <m:t>x</m:t>
              </m:r>
            </m:e>
            <m:sub>
              <m:r>
                <m:t>0</m:t>
              </m:r>
            </m:sub>
          </m:sSub>
          <m:r>
            <m:t>±</m:t>
          </m:r>
          <m:sSub>
            <m:e>
              <m:r>
                <m:t>τ</m:t>
              </m:r>
            </m:e>
            <m:sub>
              <m:r>
                <m:t>n</m:t>
              </m:r>
              <m:r>
                <m:t>−</m:t>
              </m:r>
              <m:r>
                <m:t>2</m:t>
              </m:r>
              <m:r>
                <m:t>,</m:t>
              </m:r>
              <m:f>
                <m:fPr>
                  <m:type m:val="bar"/>
                </m:fPr>
                <m:num>
                  <m:r>
                    <m:t>α</m:t>
                  </m:r>
                </m:num>
                <m:den>
                  <m:r>
                    <m:t>2</m:t>
                  </m:r>
                </m:den>
              </m:f>
            </m:sub>
          </m:sSub>
          <m:rad>
            <m:radPr>
              <m:degHide m:val="1"/>
            </m:radPr>
            <m:deg/>
            <m:e>
              <m:r>
                <m:t>M</m:t>
              </m:r>
              <m:sSub>
                <m:e>
                  <m:r>
                    <m:t>S</m:t>
                  </m:r>
                </m:e>
                <m:sub>
                  <m:r>
                    <m:t>r</m:t>
                  </m:r>
                  <m:r>
                    <m:t>e</m:t>
                  </m:r>
                  <m:r>
                    <m:t>s</m:t>
                  </m:r>
                </m:sub>
              </m:sSub>
              <m:r>
                <m:t>(</m:t>
              </m:r>
              <m:r>
                <m:t>1</m:t>
              </m:r>
              <m:r>
                <m:t>+</m:t>
              </m:r>
              <m:sSubSup>
                <m:e>
                  <m:r>
                    <m:t>x</m:t>
                  </m:r>
                </m:e>
                <m:sub>
                  <m:r>
                    <m:t>0</m:t>
                  </m:r>
                </m:sub>
                <m:sup>
                  <m:r>
                    <m:t>´</m:t>
                  </m:r>
                </m:sup>
              </m:sSubSup>
              <m:r>
                <m:t>(</m:t>
              </m:r>
              <m:sSup>
                <m:e>
                  <m:r>
                    <m:t>X</m:t>
                  </m:r>
                </m:e>
                <m:sup>
                  <m:r>
                    <m:t>´</m:t>
                  </m:r>
                </m:sup>
              </m:sSup>
              <m:r>
                <m:t>X</m:t>
              </m:r>
              <m:sSup>
                <m:e>
                  <m:r>
                    <m:t>)</m:t>
                  </m:r>
                </m:e>
                <m:sup>
                  <m:r>
                    <m:t>−</m:t>
                  </m:r>
                  <m:r>
                    <m:t>1</m:t>
                  </m:r>
                </m:sup>
              </m:sSup>
              <m:sSub>
                <m:e>
                  <m:r>
                    <m:t>x</m:t>
                  </m:r>
                </m:e>
                <m:sub>
                  <m:r>
                    <m:t>0</m:t>
                  </m:r>
                </m:sub>
              </m:sSub>
              <m:r>
                <m:t>)</m:t>
              </m:r>
            </m:e>
          </m:rad>
          <m:r>
            <m:t>.</m:t>
          </m:r>
        </m:oMath>
      </m:oMathPara>
    </w:p>
    <w:p>
      <w:pPr>
        <w:pStyle w:val="FirstParagraph"/>
      </w:pPr>
      <w:r>
        <w:t xml:space="preserve">Si se quiere que la variable regresora</w:t>
      </w:r>
      <w:r>
        <w:t xml:space="preserve"> </w:t>
      </w:r>
      <m:oMath>
        <m:r>
          <m:t>X</m:t>
        </m:r>
      </m:oMath>
      <w:r>
        <w:t xml:space="preserve"> </w:t>
      </w:r>
      <w:r>
        <w:t xml:space="preserve">ahora esté medida en centímetros (</w:t>
      </w:r>
      <m:oMath>
        <m:r>
          <m:t>c</m:t>
        </m:r>
        <m:r>
          <m:t>m</m:t>
        </m:r>
      </m:oMath>
      <w:r>
        <w:t xml:space="preserve">) en lugar de pulgadas (</w:t>
      </w:r>
      <m:oMath>
        <m:r>
          <m:t>″</m:t>
        </m:r>
      </m:oMath>
      <w:r>
        <w:t xml:space="preserve">), entonces la matriz no singular</w:t>
      </w:r>
      <w:r>
        <w:t xml:space="preserve"> </w:t>
      </w:r>
      <m:oMath>
        <m:r>
          <m:t>S</m:t>
        </m:r>
      </m:oMath>
      <w:r>
        <w:t xml:space="preserve"> </w:t>
      </w:r>
      <w:r>
        <w:t xml:space="preserve">tendría el siguiente aspecto:</w:t>
      </w:r>
    </w:p>
    <w:p>
      <w:pPr>
        <w:pStyle w:val="BodyText"/>
      </w:pPr>
      <m:oMathPara>
        <m:oMathParaPr>
          <m:jc m:val="center"/>
        </m:oMathParaPr>
        <m:oMath>
          <m:r>
            <m:t>S</m:t>
          </m:r>
          <m:r>
            <m:t>=</m:t>
          </m:r>
          <m:d>
            <m:dPr>
              <m:begChr m:val="["/>
              <m:endChr m:val="]"/>
              <m:grow/>
            </m:dPr>
            <m:e>
              <m:m>
                <m:mPr>
                  <m:baseJc m:val="center"/>
                  <m:plcHide m:val="1"/>
                  <m:mcs>
                    <m:mc>
                      <m:mcPr>
                        <m:mcJc m:val="center"/>
                        <m:count m:val="1"/>
                      </m:mcPr>
                    </m:mc>
                    <m:mc>
                      <m:mcPr>
                        <m:mcJc m:val="center"/>
                        <m:count m:val="1"/>
                      </m:mcPr>
                    </m:mc>
                  </m:mcs>
                </m:mPr>
                <m:mr>
                  <m:e>
                    <m:r>
                      <m:t>1</m:t>
                    </m:r>
                  </m:e>
                  <m:e>
                    <m:r>
                      <m:t>0</m:t>
                    </m:r>
                  </m:e>
                </m:mr>
                <m:mr>
                  <m:e>
                    <m:r>
                      <m:t>0</m:t>
                    </m:r>
                  </m:e>
                  <m:e>
                    <m:r>
                      <m:t>2.54</m:t>
                    </m:r>
                  </m:e>
                </m:mr>
              </m:m>
            </m:e>
          </m:d>
          <m:r>
            <m:t>.</m:t>
          </m:r>
          <m:r>
            <m:t>◼</m:t>
          </m:r>
        </m:oMath>
      </m:oMathPara>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e0fb95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1</dc:title>
  <dc:creator>Karen Delgado Curiel 142252, Bernardo Mondragón Brozon 143743, Juan Casas Alatriste Rion 141913, David Almog Salama Finkelstein 136731</dc:creator>
  <dcterms:created xsi:type="dcterms:W3CDTF">2018-02-22T05:31:50Z</dcterms:created>
  <dcterms:modified xsi:type="dcterms:W3CDTF">2018-02-22T05:31:50Z</dcterms:modified>
</cp:coreProperties>
</file>