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b/>
          <w:color w:val="06D6A0"/>
          <w:sz w:val="28"/>
        </w:rPr>
        <w:t>_______________________________________________</w:t>
      </w:r>
    </w:p>
    <w:p>
      <w:pPr>
        <w:spacing w:before="400"/>
        <w:jc w:val="center"/>
      </w:pPr>
      <w:r>
        <w:rPr>
          <w:b/>
          <w:color w:val="1E40AF"/>
          <w:sz w:val="72"/>
        </w:rPr>
        <w:t>OSINT &amp; DLP</w:t>
      </w:r>
    </w:p>
    <w:p>
      <w:pPr>
        <w:spacing w:before="80"/>
        <w:jc w:val="center"/>
      </w:pPr>
      <w:r>
        <w:rPr>
          <w:rFonts w:ascii="Calibri Light" w:hAnsi="Calibri Light"/>
          <w:color w:val="06D6A0"/>
          <w:sz w:val="36"/>
        </w:rPr>
        <w:t>DESKTOP APPLICATION</w:t>
      </w:r>
    </w:p>
    <w:p>
      <w:pPr>
        <w:spacing w:before="160"/>
        <w:jc w:val="center"/>
      </w:pPr>
      <w:r>
        <w:rPr>
          <w:b/>
          <w:color w:val="06D6A0"/>
          <w:sz w:val="28"/>
        </w:rPr>
        <w:t>_______________________________________________</w:t>
      </w: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color w:val="475569"/>
          <w:sz w:val="32"/>
        </w:rPr>
        <w:t>Roullier Group — Complete Desktop Application Guide</w:t>
      </w:r>
    </w:p>
    <w:p>
      <w:pPr>
        <w:spacing w:before="240"/>
        <w:jc w:val="center"/>
      </w:pPr>
      <w:r>
        <w:rPr>
          <w:color w:val="94A3B8"/>
          <w:sz w:val="22"/>
        </w:rPr>
        <w:t>Version 2.1  |  Confidential — Internal Use Only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i/>
          <w:color w:val="94A3B8"/>
          <w:sz w:val="18"/>
        </w:rPr>
        <w:t>Roullier Group Security Team · 2026</w:t>
      </w:r>
    </w:p>
    <w:p>
      <w:r>
        <w:br w:type="page"/>
      </w:r>
    </w:p>
    <w:p>
      <w:pPr>
        <w:pStyle w:val="Heading1"/>
        <w:spacing w:before="480" w:after="160"/>
      </w:pPr>
      <w:r>
        <w:rPr>
          <w:color w:val="1E40AF"/>
          <w:sz w:val="36"/>
        </w:rPr>
        <w:t>Table of Contents</w:t>
      </w:r>
    </w:p>
    <w:p>
      <w:pPr>
        <w:spacing w:before="0" w:after="200"/>
      </w:pPr>
      <w:r>
        <w:br/>
      </w:r>
    </w:p>
    <w:p>
      <w:pPr>
        <w:spacing w:after="80"/>
        <w:ind w:left="567"/>
      </w:pPr>
      <w:r>
        <w:rPr>
          <w:color w:val="1F2937"/>
          <w:sz w:val="22"/>
        </w:rPr>
        <w:t>01   What is the Desktop Version</w:t>
      </w:r>
    </w:p>
    <w:p>
      <w:pPr>
        <w:spacing w:after="80"/>
        <w:ind w:left="567"/>
      </w:pPr>
      <w:r>
        <w:rPr>
          <w:color w:val="1F2937"/>
          <w:sz w:val="22"/>
        </w:rPr>
        <w:t>02   Desktop vs. Server — Differences</w:t>
      </w:r>
    </w:p>
    <w:p>
      <w:pPr>
        <w:spacing w:after="80"/>
        <w:ind w:left="567"/>
      </w:pPr>
      <w:r>
        <w:rPr>
          <w:color w:val="1F2937"/>
          <w:sz w:val="22"/>
        </w:rPr>
        <w:t>03   System Requirements</w:t>
      </w:r>
    </w:p>
    <w:p>
      <w:pPr>
        <w:spacing w:after="80"/>
        <w:ind w:left="567"/>
      </w:pPr>
      <w:r>
        <w:rPr>
          <w:color w:val="1F2937"/>
          <w:sz w:val="22"/>
        </w:rPr>
        <w:t>04   Step-by-Step Installation</w:t>
      </w:r>
    </w:p>
    <w:p>
      <w:pPr>
        <w:spacing w:after="80"/>
        <w:ind w:left="567"/>
      </w:pPr>
      <w:r>
        <w:rPr>
          <w:color w:val="1F2937"/>
          <w:sz w:val="22"/>
        </w:rPr>
        <w:t>05   Graphical Interface — Complete Guide</w:t>
      </w:r>
    </w:p>
    <w:p>
      <w:pPr>
        <w:spacing w:after="80"/>
        <w:ind w:left="567"/>
      </w:pPr>
      <w:r>
        <w:rPr>
          <w:color w:val="1F2937"/>
          <w:sz w:val="22"/>
        </w:rPr>
        <w:t>06   How the Scan Works</w:t>
      </w:r>
    </w:p>
    <w:p>
      <w:pPr>
        <w:spacing w:after="80"/>
        <w:ind w:left="567"/>
      </w:pPr>
      <w:r>
        <w:rPr>
          <w:color w:val="1F2937"/>
          <w:sz w:val="22"/>
        </w:rPr>
        <w:t>07   Results Table — Columns Explained</w:t>
      </w:r>
    </w:p>
    <w:p>
      <w:pPr>
        <w:spacing w:after="80"/>
        <w:ind w:left="567"/>
      </w:pPr>
      <w:r>
        <w:rPr>
          <w:color w:val="1F2937"/>
          <w:sz w:val="22"/>
        </w:rPr>
        <w:t>08   Detail Panel</w:t>
      </w:r>
    </w:p>
    <w:p>
      <w:pPr>
        <w:spacing w:after="80"/>
        <w:ind w:left="567"/>
      </w:pPr>
      <w:r>
        <w:rPr>
          <w:color w:val="1F2937"/>
          <w:sz w:val="22"/>
        </w:rPr>
        <w:t>09   Exporting Results</w:t>
      </w:r>
    </w:p>
    <w:p>
      <w:pPr>
        <w:spacing w:after="80"/>
        <w:ind w:left="567"/>
      </w:pPr>
      <w:r>
        <w:rPr>
          <w:color w:val="1F2937"/>
          <w:sz w:val="22"/>
        </w:rPr>
        <w:t>10   Building the Executable (.exe)</w:t>
      </w:r>
    </w:p>
    <w:p>
      <w:pPr>
        <w:spacing w:after="80"/>
        <w:ind w:left="567"/>
      </w:pPr>
      <w:r>
        <w:rPr>
          <w:color w:val="1F2937"/>
          <w:sz w:val="22"/>
        </w:rPr>
        <w:t>11   Key Files</w:t>
      </w:r>
    </w:p>
    <w:p>
      <w:pPr>
        <w:spacing w:after="80"/>
        <w:ind w:left="567"/>
      </w:pPr>
      <w:r>
        <w:rPr>
          <w:color w:val="1F2937"/>
          <w:sz w:val="22"/>
        </w:rPr>
        <w:t>12   Troubleshooting</w:t>
      </w:r>
    </w:p>
    <w:p>
      <w:pPr>
        <w:spacing w:after="80"/>
        <w:ind w:left="567"/>
      </w:pPr>
      <w:r>
        <w:rPr>
          <w:color w:val="1F2937"/>
          <w:sz w:val="22"/>
        </w:rPr>
        <w:t>13   Security and Privacy</w:t>
      </w:r>
    </w:p>
    <w:p>
      <w:r>
        <w:br w:type="page"/>
      </w:r>
    </w:p>
    <w:p>
      <w:pPr>
        <w:pStyle w:val="Heading1"/>
        <w:spacing w:before="480" w:after="160"/>
      </w:pPr>
      <w:r>
        <w:rPr>
          <w:color w:val="1E40AF"/>
          <w:sz w:val="36"/>
        </w:rPr>
        <w:t>01. What is the Desktop Version</w:t>
      </w:r>
    </w:p>
    <w:p>
      <w:pPr>
        <w:spacing w:before="0" w:after="200"/>
      </w:pPr>
      <w:r>
        <w:br/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The Desktop version of the OSINT &amp; DLP System is a standalone graphical application (GUI) built with Tkinter, designed for on-demand queries without the need for a web server, persistent database, or network infrastructure.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The application runs the same intelligence pipeline as Server mode (dork generation, web search, in-memory download, text extraction, regex inspection, and risk classification), but in a visual and interactive format.</w:t>
      </w:r>
    </w:p>
    <w:p>
      <w:pPr>
        <w:spacing w:after="120" w:line="320" w:lineRule="exact"/>
      </w:pPr>
      <w:r>
        <w:rPr>
          <w:b/>
          <w:color w:val="1F2937"/>
          <w:sz w:val="22"/>
        </w:rPr>
        <w:t>Key features: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Professional dark mode interface inspired by cybersecurity tools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Fully local execution — no dependency on a web server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Real-time progress bar with percentage and current phase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Metric cards with risk-level counters (Critical/High/Medium/Low)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Interactive table with 12 data columns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Expandable detail panel when clicking on a finding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One-click CSV export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Fully in-memory operation — zero disk writes</w:t>
      </w:r>
    </w:p>
    <w:p>
      <w:pPr>
        <w:pStyle w:val="ListBullet"/>
        <w:spacing w:after="60"/>
        <w:ind w:left="850"/>
      </w:pPr>
      <w:r>
        <w:rPr>
          <w:color w:val="1F2937"/>
          <w:sz w:val="22"/>
        </w:rPr>
        <w:t>Compilable to standalone .exe via cx_Freeze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02. Desktop vs. Server — Differences</w:t>
      </w:r>
    </w:p>
    <w:p>
      <w:pPr>
        <w:spacing w:before="0" w:after="20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368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Desktop (GUI)</w:t>
            </w:r>
          </w:p>
        </w:tc>
        <w:tc>
          <w:tcPr>
            <w:tcW w:type="dxa" w:w="368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Server (Web)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Interface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Tkinter (native application)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Web dashboard (FastAPI + HTML)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Database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None — everything in memory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Persistent SQLite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Scan History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 history kept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Full history with deduplication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Scheduling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Manual scan only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3x/day automatic (APScheduler)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Telegram Alerts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Not sent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Startup + start + scan summary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REST API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None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Complete endpoints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SSE (Real-Time)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None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Server-Sent Events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Export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One-click CSV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Via API or dashboard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Deploy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Executable (.exe) or direct Python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Systemd service on server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Deduplication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Per session (URL set)</w:t>
            </w:r>
          </w:p>
        </w:tc>
        <w:tc>
          <w:tcPr>
            <w:tcW w:type="dxa" w:w="368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Full history (database)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Best For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Ad-hoc queries and audits</w:t>
            </w:r>
          </w:p>
        </w:tc>
        <w:tc>
          <w:tcPr>
            <w:tcW w:type="dxa" w:w="368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Continuous 24/7 monitoring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03. System Requirements</w:t>
      </w:r>
    </w:p>
    <w:p>
      <w:pPr>
        <w:spacing w:before="0" w:after="20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5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Requirement</w:t>
            </w:r>
          </w:p>
        </w:tc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Minimum</w:t>
            </w:r>
          </w:p>
        </w:tc>
        <w:tc>
          <w:tcPr>
            <w:tcW w:type="dxa" w:w="4252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Recommended</w:t>
            </w:r>
          </w:p>
        </w:tc>
      </w:tr>
      <w:tr>
        <w:tc>
          <w:tcPr>
            <w:tcW w:type="dxa" w:w="255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3.10 (if running via script)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3.12+</w:t>
            </w:r>
          </w:p>
        </w:tc>
      </w:tr>
      <w:tr>
        <w:tc>
          <w:tcPr>
            <w:tcW w:type="dxa" w:w="255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Operating System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Windows 10 / Linux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Windows 11</w:t>
            </w:r>
          </w:p>
        </w:tc>
      </w:tr>
      <w:tr>
        <w:tc>
          <w:tcPr>
            <w:tcW w:type="dxa" w:w="255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RAM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512 MB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 GB</w:t>
            </w:r>
          </w:p>
        </w:tc>
      </w:tr>
      <w:tr>
        <w:tc>
          <w:tcPr>
            <w:tcW w:type="dxa" w:w="255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Disk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50 MB (+ dependencies)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100 MB</w:t>
            </w:r>
          </w:p>
        </w:tc>
      </w:tr>
      <w:tr>
        <w:tc>
          <w:tcPr>
            <w:tcW w:type="dxa" w:w="255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Network</w:t>
            </w:r>
          </w:p>
        </w:tc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Internet access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 firewall blocking HTTPS</w:t>
            </w:r>
          </w:p>
        </w:tc>
      </w:tr>
      <w:tr>
        <w:tc>
          <w:tcPr>
            <w:tcW w:type="dxa" w:w="255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Minimum Resolution</w:t>
            </w:r>
          </w:p>
        </w:tc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1000 x 650 px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1300 x 780 px or higher</w:t>
            </w:r>
          </w:p>
        </w:tc>
      </w:tr>
    </w:tbl>
    <w:p>
      <w:pPr>
        <w:spacing w:after="160"/>
      </w:pPr>
    </w:p>
    <w:p>
      <w:pPr>
        <w:spacing w:after="120" w:line="320" w:lineRule="exact"/>
      </w:pPr>
      <w:r>
        <w:rPr>
          <w:b w:val="0"/>
          <w:color w:val="1F2937"/>
          <w:sz w:val="22"/>
        </w:rPr>
        <w:t>To run the compiled executable (.exe), Python is not required — all dependencies are bundled by cx_Freeze.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04. Step-by-Step Installation</w:t>
      </w:r>
    </w:p>
    <w:p>
      <w:pPr>
        <w:spacing w:before="0" w:after="200"/>
      </w:pPr>
      <w:r>
        <w:br/>
      </w:r>
    </w:p>
    <w:p>
      <w:pPr>
        <w:pStyle w:val="Heading2"/>
        <w:spacing w:before="320" w:after="120"/>
      </w:pPr>
      <w:r>
        <w:rPr>
          <w:color w:val="1E40AF"/>
          <w:sz w:val="28"/>
        </w:rPr>
        <w:t>4.1 Option A: Run via Python (Developer)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1. Clone the repository: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git clone &lt;repository-url&gt;</w:t>
        <w:br/>
        <w:t>cd Doc-Tracker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2. Create virtual environment: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Windows: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python -m venv venv</w:t>
        <w:br/>
        <w:t>venv\Scripts\activate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Linux / macOS: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python3 -m venv venv</w:t>
        <w:br/>
        <w:t>source venv/bin/activate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3. Install dependencies: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pip install -r requirements.txt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4. Configure environment variables (optional for desktop):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cp .env.example .env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For Desktop mode, the only relevant variable is DATABASE_URL (optionally). Telegram and scheduler variables are not used.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5. Run: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python desktop/run_desktop.py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4.2 Option B: Run via Executable (.exe)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1. Request the compiled executable from the system administrator.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2. Extract the OSINT_DLP_Desktop/ folder to any location on the computer.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3. Run the OSINT_DLP_Desktop.exe file directly (double-click).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No Python installation or additional configuration is required.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05. Graphical Interface — Complete Guide</w:t>
      </w:r>
    </w:p>
    <w:p>
      <w:pPr>
        <w:spacing w:before="0" w:after="200"/>
      </w:pPr>
      <w:r>
        <w:br/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The interface follows a professional dark mode design inspired by cybersecurity tools. The entire application is built in a single window with the following areas: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5.1 Header (Top Bar)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Element</w:t>
            </w:r>
          </w:p>
        </w:tc>
        <w:tc>
          <w:tcPr>
            <w:tcW w:type="dxa" w:w="7370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Title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'OSINT &amp; DLP — Desktop Query' in neon green (with shield icon)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Export CSV Button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Export CSV — saves all results to a CSV file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Query Button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Query Now — starts the scan (disabled during execution)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color w:val="1E40AF"/>
          <w:sz w:val="28"/>
        </w:rPr>
        <w:t>5.2 Progress Bar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Located below the header, it shows scan progress. The green bar fills from 0% to 100%. Left side shows the phase ("Searching... 5/80 dorks" or "Analyzing... 42/120 URLs"). Right side shows the numeric percentage.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Percentage</w:t>
            </w:r>
          </w:p>
        </w:tc>
        <w:tc>
          <w:tcPr>
            <w:tcW w:type="dxa" w:w="6236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What Happens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Searching...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0-50%</w:t>
            </w:r>
          </w:p>
        </w:tc>
        <w:tc>
          <w:tcPr>
            <w:tcW w:type="dxa" w:w="6236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Execution of ~80 dorks on DuckDuckGo with anti-blocking delays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Analyzing...</w:t>
            </w:r>
          </w:p>
        </w:tc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50-100%</w:t>
            </w:r>
          </w:p>
        </w:tc>
        <w:tc>
          <w:tcPr>
            <w:tcW w:type="dxa" w:w="6236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Download, extraction, inspection, and classification of each URL found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Completed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100%</w:t>
            </w:r>
          </w:p>
        </w:tc>
        <w:tc>
          <w:tcPr>
            <w:tcW w:type="dxa" w:w="6236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Scan finished — total findings displayed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color w:val="1E40AF"/>
          <w:sz w:val="28"/>
        </w:rPr>
        <w:t>5.3 Metric Cards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Five horizontal cards show real-time counters. Each card has a large number (JetBrains Mono 22pt bold) and a label below: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Card</w:t>
            </w:r>
          </w:p>
        </w:tc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Color</w:t>
            </w:r>
          </w:p>
        </w:tc>
        <w:tc>
          <w:tcPr>
            <w:tcW w:type="dxa" w:w="566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TOTAL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Green (#06D6A0)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Sum of all findings detected in this session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CRITICAL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Red (#FF3B5C)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Findings with score 80-100 (highly sensitive data)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HIGH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Orange (#FF9F43)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Findings with score 60-79 (moderate sensitive data)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MEDIUM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Yellow (#FECA57)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Findings with score 40-59 (relevant mentions)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LOW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Green (#06D6A0)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Findings with score 1-39 (generic mentions)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06. How the Scan Works</w:t>
      </w:r>
    </w:p>
    <w:p>
      <w:pPr>
        <w:spacing w:before="0" w:after="200"/>
      </w:pPr>
      <w:r>
        <w:br/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When clicking "Query Now", the system starts a full scan in a separate thread to keep the graphical interface responsive.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Step 1: Initialization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Loads the Intelligence Matrix (data/entities.json) with entities, CNPJs, CPFs, suppliers, and sensitive terms. Initializes modules: DorkGenerator, SearchEngine, URLFilter, Downloader, TextExtractor, RegexEngine, and RiskClassifier.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Step 2: Dork Generation (0-50%)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DorkGenerator creates ~80 advanced queries covering: company names, CNPJs in document bodies, administrator CPFs, suppliers, financial terms (revenue, balance, statement) and security terms (password, confidential). Official domains excluded with -site:.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Step 3: Web Search (0-50%)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Each dork is executed on DuckDuckGo with randomized 2-4 second delays. Progress bar fills from 0% to 50% during this phase.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Step 4: URL Deduplication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Duplicate URLs found across different dorks are removed using an in-memory set.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Step 5: URL Inspection (50-100%)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For each unique URL: BytesIO download (memory), type detection (PDF/DOCX/XLSX/TXT), text and metadata extraction, regex inspection (CPFs, CNPJs, financial, entities, sensitive terms), risk classification (score 1-100 + level + category), country (TLD) and language detection (text).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Step 6: Real-Time Display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Each detected finding is immediately inserted into the table and metric cards are updated. No need to wait for the scan to finish to see results.</w:t>
      </w:r>
    </w:p>
    <w:p>
      <w:pPr>
        <w:pStyle w:val="Heading3"/>
        <w:spacing w:before="240" w:after="80"/>
      </w:pPr>
      <w:r>
        <w:rPr>
          <w:color w:val="1E40AF"/>
          <w:sz w:val="24"/>
        </w:rPr>
        <w:t>Step 7: Finalization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Bar reaches 100%, button reactivates, status bar shows query date/time. Results remain in memory until the application is closed or a new scan starts.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07. Results Table — Columns Explained</w:t>
      </w:r>
    </w:p>
    <w:p>
      <w:pPr>
        <w:spacing w:before="0" w:after="20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396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4252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Example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SCORE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Numeric risk score (1-100)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85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RISK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Text risk level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CRITICAL, HIGH, MEDIUM, LOW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COUNTRY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Origin country detected by TLD + flag emoji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[BR]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LANGUAGE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Content language detected by text analysis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PT, EN, ES, FR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ENTITY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Group entity found (first 25 characters)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Timac Agro Brasil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SOURCE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Platform where the document was found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scribd, slideshare, web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TITLE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Document/page title (first 35 characters)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Balance Sheet 2024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TYPE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Detected file format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PDF, DOCX, XLSX, HTML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AUTHOR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Author from metadata (first 18 characters)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John Smith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CPFS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Number of CPFs detected in the document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3</w:t>
            </w:r>
          </w:p>
        </w:tc>
      </w:tr>
      <w:tr>
        <w:tc>
          <w:tcPr>
            <w:tcW w:type="dxa" w:w="1417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CNPJS</w:t>
            </w:r>
          </w:p>
        </w:tc>
        <w:tc>
          <w:tcPr>
            <w:tcW w:type="dxa" w:w="39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Number of CNPJs detected</w:t>
            </w:r>
          </w:p>
        </w:tc>
        <w:tc>
          <w:tcPr>
            <w:tcW w:type="dxa" w:w="4252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</w:t>
            </w:r>
          </w:p>
        </w:tc>
      </w:tr>
      <w:tr>
        <w:tc>
          <w:tcPr>
            <w:tcW w:type="dxa" w:w="1417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CATEGORY</w:t>
            </w:r>
          </w:p>
        </w:tc>
        <w:tc>
          <w:tcPr>
            <w:tcW w:type="dxa" w:w="39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Functional classification of the finding</w:t>
            </w:r>
          </w:p>
        </w:tc>
        <w:tc>
          <w:tcPr>
            <w:tcW w:type="dxa" w:w="4252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Financial, HR, IT/Sec</w:t>
            </w:r>
          </w:p>
        </w:tc>
      </w:tr>
    </w:tbl>
    <w:p>
      <w:pPr>
        <w:spacing w:after="160"/>
      </w:pPr>
    </w:p>
    <w:p>
      <w:pPr>
        <w:spacing w:after="120" w:line="320" w:lineRule="exact"/>
      </w:pPr>
      <w:r>
        <w:rPr>
          <w:b w:val="0"/>
          <w:color w:val="1F2937"/>
          <w:sz w:val="22"/>
        </w:rPr>
        <w:t>Rows are colored by risk level: red (Critical), orange (High), yellow (Medium), and green (Low). Most recent findings appear at the top.</w:t>
      </w:r>
    </w:p>
    <w:p>
      <w:pPr>
        <w:pStyle w:val="Heading1"/>
        <w:spacing w:before="480" w:after="160"/>
      </w:pPr>
      <w:r>
        <w:rPr>
          <w:color w:val="1E40AF"/>
          <w:sz w:val="36"/>
        </w:rPr>
        <w:t>08. Detail Panel</w:t>
      </w:r>
    </w:p>
    <w:p>
      <w:pPr>
        <w:spacing w:before="0" w:after="200"/>
      </w:pPr>
      <w:r>
        <w:br/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Clicking any table row expands a detail panel below showing complete finding information in monospaced font (JetBrains Mono 10pt) for technical reading.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6803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TITLE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Full document/page title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URL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Complete access link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SCORE / RISK / CATEGORY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Full finding classification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ENTITY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All group entities found (up to 5)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COUNTRY / LANGUAGE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Flag + country code and language in full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AUTHOR / PUBLISHER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Metadata extracted from document (when available)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CPFs / CNPJs / FINANCIAL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Detailed count of sensitive data found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PLATFORM / TYPE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Source and file format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REASONS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List of reasons that led to the risk classification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TERMS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Sensitive terms found in the document (up to 10)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09. Exporting Results</w:t>
      </w:r>
    </w:p>
    <w:p>
      <w:pPr>
        <w:spacing w:before="0" w:after="200"/>
      </w:pPr>
      <w:r>
        <w:br/>
      </w:r>
    </w:p>
    <w:p>
      <w:pPr>
        <w:pStyle w:val="Heading2"/>
        <w:spacing w:before="320" w:after="120"/>
      </w:pPr>
      <w:r>
        <w:rPr>
          <w:color w:val="1E40AF"/>
          <w:sz w:val="28"/>
        </w:rPr>
        <w:t>9.1 Export to CSV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1. Run a complete scan.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2. Click the "Export CSV" button in the top right corner.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3. Choose location and filename in the save dialog.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4. Suggested name: osint_findings_YYYYMMDD_HHMM.csv</w:t>
      </w:r>
    </w:p>
    <w:p>
      <w:pPr>
        <w:spacing w:after="120" w:line="320" w:lineRule="exact"/>
      </w:pPr>
      <w:r>
        <w:rPr>
          <w:b/>
          <w:color w:val="1F2937"/>
          <w:sz w:val="22"/>
        </w:rPr>
        <w:t>Exported CSV columns: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CSV Column</w:t>
            </w:r>
          </w:p>
        </w:tc>
        <w:tc>
          <w:tcPr>
            <w:tcW w:type="dxa" w:w="7370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risk_score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Numeric score (1-100)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risk_level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Level: critical, high, medium, low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country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Country code (BR, US, FR, etc.)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language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Language code (pt, en, es, fr)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entity_matched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Detected entities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source_platform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Source platform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title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Full title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file_type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File format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author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Metadata author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publisher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Document publisher/creator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cpf_count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Number of CPFs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cnpj_count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Number of CNPJs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financial_count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Number of financial terms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category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Functional category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url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Full access URL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10. Building the Executable (.exe)</w:t>
      </w:r>
    </w:p>
    <w:p>
      <w:pPr>
        <w:spacing w:before="0" w:after="200"/>
      </w:pPr>
      <w:r>
        <w:br/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To distribute the application without requiring Python, use cx_Freeze to generate a standalone executable.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10.1 Prerequisites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pip install cx_Freeze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10.2 Build</w:t>
      </w:r>
    </w:p>
    <w:p>
      <w:pPr>
        <w:spacing w:before="80" w:after="160"/>
        <w:ind w:left="567"/>
        <w:shd w:fill="F1F5F9"/>
      </w:pPr>
      <w:r>
        <w:rPr>
          <w:rFonts w:ascii="Consolas" w:hAnsi="Consolas"/>
          <w:color w:val="1E293B"/>
          <w:sz w:val="19"/>
        </w:rPr>
        <w:t>python setup_desktop.py build</w:t>
      </w:r>
    </w:p>
    <w:p>
      <w:pPr>
        <w:spacing w:after="120" w:line="320" w:lineRule="exact"/>
      </w:pPr>
      <w:r>
        <w:rPr>
          <w:b w:val="0"/>
          <w:color w:val="1F2937"/>
          <w:sz w:val="22"/>
        </w:rPr>
        <w:t>The script automatically cleans build/ and dist/ folders before compiling. Output is generated in dist/OSINT_DLP_Desktop/.</w:t>
      </w:r>
    </w:p>
    <w:p>
      <w:pPr>
        <w:pStyle w:val="Heading2"/>
        <w:spacing w:before="320" w:after="120"/>
      </w:pPr>
      <w:r>
        <w:rPr>
          <w:color w:val="1E40AF"/>
          <w:sz w:val="28"/>
        </w:rPr>
        <w:t>10.3 Generated Content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File/Folder</w:t>
            </w:r>
          </w:p>
        </w:tc>
        <w:tc>
          <w:tcPr>
            <w:tcW w:type="dxa" w:w="6803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OSINT_DLP_Desktop.exe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Main executable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data/entities.json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Group entity base (included automatically)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lib/</w:t>
            </w:r>
          </w:p>
        </w:tc>
        <w:tc>
          <w:tcPr>
            <w:tcW w:type="dxa" w:w="6803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Bundled Python libraries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python3XX.dll</w:t>
            </w:r>
          </w:p>
        </w:tc>
        <w:tc>
          <w:tcPr>
            <w:tcW w:type="dxa" w:w="6803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Embedded Python runtime</w:t>
            </w:r>
          </w:p>
        </w:tc>
      </w:tr>
    </w:tbl>
    <w:p>
      <w:pPr>
        <w:spacing w:after="160"/>
      </w:pPr>
    </w:p>
    <w:p>
      <w:pPr>
        <w:pStyle w:val="Heading2"/>
        <w:spacing w:before="320" w:after="120"/>
      </w:pPr>
      <w:r>
        <w:rPr>
          <w:color w:val="1E40AF"/>
          <w:sz w:val="28"/>
        </w:rPr>
        <w:t>10.4 Included vs. Excluded Packages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81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Included</w:t>
            </w:r>
          </w:p>
        </w:tc>
        <w:tc>
          <w:tcPr>
            <w:tcW w:type="dxa" w:w="481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Excluded (Server only)</w:t>
            </w:r>
          </w:p>
        </w:tc>
      </w:tr>
      <w:tr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asyncio, json, csv, logging, threading</w:t>
            </w:r>
          </w:p>
        </w:tc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fastapi</w:t>
            </w:r>
          </w:p>
        </w:tc>
      </w:tr>
      <w:tr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tkinter, tkinter.ttk</w:t>
            </w:r>
          </w:p>
        </w:tc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uvicorn, starlette</w:t>
            </w:r>
          </w:p>
        </w:tc>
      </w:tr>
      <w:tr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httpx, fitz (PyMuPDF)</w:t>
            </w:r>
          </w:p>
        </w:tc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jinja2</w:t>
            </w:r>
          </w:p>
        </w:tc>
      </w:tr>
      <w:tr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docx (python-docx), openpyxl</w:t>
            </w:r>
          </w:p>
        </w:tc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apscheduler</w:t>
            </w:r>
          </w:p>
        </w:tc>
      </w:tr>
      <w:tr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ddgs, pydantic, pydantic_settings</w:t>
            </w:r>
          </w:p>
        </w:tc>
        <w:tc>
          <w:tcPr>
            <w:tcW w:type="dxa" w:w="481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multipart</w:t>
            </w:r>
          </w:p>
        </w:tc>
      </w:tr>
      <w:tr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sqlalchemy, aiosqlite</w:t>
            </w:r>
          </w:p>
        </w:tc>
        <w:tc>
          <w:tcPr>
            <w:tcW w:type="dxa" w:w="481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test, unittest, pytest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11. Key Files</w:t>
      </w:r>
    </w:p>
    <w:p>
      <w:pPr>
        <w:spacing w:before="0" w:after="20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835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1134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Lines</w:t>
            </w:r>
          </w:p>
        </w:tc>
        <w:tc>
          <w:tcPr>
            <w:tcW w:type="dxa" w:w="566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Function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desktop/app.py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436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All GUI logic: interface, scan, export, details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desktop/run_desktop.py</w:t>
            </w:r>
          </w:p>
        </w:tc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10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Entry point: resolves paths and calls desktop.app.main()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setup_desktop.py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47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cx_Freeze build configuration for .exe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data/entities.json</w:t>
            </w:r>
          </w:p>
        </w:tc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~320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Entity base (shared with Server)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config/settings.py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~40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Environment settings (loads .env)</w:t>
            </w:r>
          </w:p>
        </w:tc>
      </w:tr>
      <w:tr>
        <w:tc>
          <w:tcPr>
            <w:tcW w:type="dxa" w:w="2835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config/intelligence_matrix.py</w:t>
            </w:r>
          </w:p>
        </w:tc>
        <w:tc>
          <w:tcPr>
            <w:tcW w:type="dxa" w:w="1134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~80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Loads entities.json and builds intelligence matrix</w:t>
            </w:r>
          </w:p>
        </w:tc>
      </w:tr>
      <w:tr>
        <w:tc>
          <w:tcPr>
            <w:tcW w:type="dxa" w:w="2835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requirements.txt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~15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 dependencies (shared)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12. Troubleshooting</w:t>
      </w:r>
    </w:p>
    <w:p>
      <w:pPr>
        <w:spacing w:before="0" w:after="20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5669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Window doesn't open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Python without Tkinter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Windows: reinstall Python with tkinter option. Linux: sudo apt install python3-tk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Few results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DuckDuckGo rate-limiting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Wait 5 minutes and try again. Consider using PROXY_URL in .env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Encoding error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Console with limited charset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Use terminal with UTF-8 support (Windows Terminal recommended)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Scan takes long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Many URLs to inspect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Normal — each URL takes 1-3 seconds. ~80 dorks + delays = ~5-10 min total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CSV button grayed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 results in table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Run a complete scan before exporting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.exe won't open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Antivirus blocking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Add exception in antivirus for the OSINT_DLP_Desktop directory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ModuleNotFoundError</w:t>
            </w:r>
          </w:p>
        </w:tc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Dependency not installed</w:t>
            </w:r>
          </w:p>
        </w:tc>
        <w:tc>
          <w:tcPr>
            <w:tcW w:type="dxa" w:w="5669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Run pip install -r requirements.txt in virtual environment</w:t>
            </w:r>
          </w:p>
        </w:tc>
      </w:tr>
      <w:tr>
        <w:tc>
          <w:tcPr>
            <w:tcW w:type="dxa" w:w="1701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entities.json not found</w:t>
            </w:r>
          </w:p>
        </w:tc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Wrong relative path</w:t>
            </w:r>
          </w:p>
        </w:tc>
        <w:tc>
          <w:tcPr>
            <w:tcW w:type="dxa" w:w="5669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Always run from project root (cd Doc-Tracker)</w:t>
            </w:r>
          </w:p>
        </w:tc>
      </w:tr>
    </w:tbl>
    <w:p>
      <w:pPr>
        <w:spacing w:after="160"/>
      </w:pPr>
    </w:p>
    <w:p>
      <w:pPr>
        <w:pStyle w:val="Heading1"/>
        <w:spacing w:before="480" w:after="160"/>
      </w:pPr>
      <w:r>
        <w:rPr>
          <w:color w:val="1E40AF"/>
          <w:sz w:val="36"/>
        </w:rPr>
        <w:t>13. Security and Privacy</w:t>
      </w:r>
    </w:p>
    <w:p>
      <w:pPr>
        <w:spacing w:before="0" w:after="200"/>
      </w:pPr>
      <w:r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Measure</w:t>
            </w:r>
          </w:p>
        </w:tc>
        <w:tc>
          <w:tcPr>
            <w:tcW w:type="dxa" w:w="7370"/>
            <w:vAlign w:val="center"/>
            <w:shd w:fill="0F172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Zero Disk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All documents downloaded into BytesIO (memory) and never written to filesystem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 Persistence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Results exist only in application memory, discarded on close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PII Masked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CPFs, CNPJs, and emails masked in snippets (e.g., ***.456.789-**)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Excluded Domains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Official group sites automatically excluded from scanning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Separate Thread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Scan runs in separate thread to keep interface responsive</w:t>
            </w:r>
          </w:p>
        </w:tc>
      </w:tr>
      <w:tr>
        <w:tc>
          <w:tcPr>
            <w:tcW w:type="dxa" w:w="2268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No Local Network</w:t>
            </w:r>
          </w:p>
        </w:tc>
        <w:tc>
          <w:tcPr>
            <w:tcW w:type="dxa" w:w="7370"/>
            <w:vAlign w:val="center"/>
            <w:shd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Application opens no network ports — zero attack surface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Anti-block Delays</w:t>
            </w:r>
          </w:p>
        </w:tc>
        <w:tc>
          <w:tcPr>
            <w:tcW w:type="dxa" w:w="7370"/>
            <w:vAlign w:val="center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/>
            <w:r>
              <w:rPr>
                <w:color w:val="1F2937"/>
                <w:sz w:val="19"/>
              </w:rPr>
              <w:t>Randomized intervals (2-4s) between queries to avoid rate-limiting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b/>
          <w:color w:val="06D6A0"/>
        </w:rPr>
        <w:t>_______________________________________________</w:t>
      </w:r>
    </w:p>
    <w:p>
      <w:pPr>
        <w:spacing w:before="320"/>
        <w:jc w:val="center"/>
      </w:pPr>
      <w:r>
        <w:rPr>
          <w:i/>
          <w:color w:val="94A3B8"/>
          <w:sz w:val="20"/>
        </w:rPr>
        <w:t>Confidential Document</w:t>
        <w:br/>
        <w:t>Roullier Group Security Team</w:t>
        <w:br/>
        <w:t>Version 2.1 — 2026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