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8"/>
        </w:rPr>
        <w:br/>
        <w:br/>
        <w:br/>
        <w:br/>
        <w:br/>
      </w:r>
      <w:r>
        <w:rPr>
          <w:b/>
          <w:color w:val="1E40AF"/>
          <w:sz w:val="56"/>
        </w:rPr>
        <w:t>OSINT &amp; DLP System</w:t>
      </w:r>
    </w:p>
    <w:p>
      <w:pPr>
        <w:jc w:val="center"/>
      </w:pPr>
      <w:r>
        <w:rPr>
          <w:color w:val="64748B"/>
          <w:sz w:val="32"/>
        </w:rPr>
        <w:t>Roullier Group — Technical Documentation</w:t>
      </w:r>
    </w:p>
    <w:p>
      <w:pPr>
        <w:jc w:val="center"/>
      </w:pPr>
      <w:r>
        <w:rPr>
          <w:color w:val="94A3B8"/>
          <w:sz w:val="24"/>
        </w:rPr>
        <w:t>Version 2.1 | Confidential — Internal Use Only</w:t>
      </w:r>
    </w:p>
    <w:p>
      <w:r>
        <w:br w:type="page"/>
      </w:r>
    </w:p>
    <w:p>
      <w:pPr>
        <w:pStyle w:val="Heading1"/>
      </w:pPr>
      <w:r>
        <w:rPr>
          <w:color w:val="1E40AF"/>
        </w:rPr>
        <w:t>1. Overview</w:t>
      </w:r>
    </w:p>
    <w:p>
      <w:pPr>
        <w:spacing w:after="120"/>
      </w:pPr>
      <w:r>
        <w:t>The OSINT &amp; DLP System is an automated open-source intelligence (OSINT) and data leak prevention (DLP) platform developed exclusively for the Roullier Group. The system performs continuous scans across the public internet searching for documents, spreadsheets, and files that may contain confidential information from the group's companies, including Timac Agro Brasil, Sulfabrás Sulfatos do Brasil, and Phosphea Brasil.</w:t>
      </w:r>
    </w:p>
    <w:p>
      <w:pPr>
        <w:spacing w:after="120"/>
      </w:pPr>
      <w:r>
        <w:t>The system operates in two independent modes: Server (web dashboard with continuous monitoring and automatic alerts) and Desktop (standalone application for ad-hoc queries). Both share the same core logic, ensuring consistent results.</w:t>
      </w:r>
    </w:p>
    <w:p>
      <w:pPr>
        <w:pStyle w:val="Heading2"/>
      </w:pPr>
      <w:r>
        <w:rPr>
          <w:color w:val="1E40AF"/>
        </w:rPr>
        <w:t>1.1 Objectives</w:t>
      </w:r>
    </w:p>
    <w:p>
      <w:pPr>
        <w:pStyle w:val="ListBullet"/>
      </w:pPr>
      <w:r>
        <w:t>Proactively detect sensitive data leaks in public sources</w:t>
      </w:r>
    </w:p>
    <w:p>
      <w:pPr>
        <w:pStyle w:val="ListBullet"/>
      </w:pPr>
      <w:r>
        <w:t>Identify exposure of CPFs (Brazilian SSN), CNPJs (company IDs), and financial data</w:t>
      </w:r>
    </w:p>
    <w:p>
      <w:pPr>
        <w:pStyle w:val="ListBullet"/>
      </w:pPr>
      <w:r>
        <w:t>Classify and prioritize risks by criticality level</w:t>
      </w:r>
    </w:p>
    <w:p>
      <w:pPr>
        <w:pStyle w:val="ListBullet"/>
      </w:pPr>
      <w:r>
        <w:t>Automatically notify the security team via Telegram</w:t>
      </w:r>
    </w:p>
    <w:p>
      <w:pPr>
        <w:pStyle w:val="ListBullet"/>
      </w:pPr>
      <w:r>
        <w:t>Provide an intuitive interface for incident triage and investigation</w:t>
      </w:r>
    </w:p>
    <w:p>
      <w:pPr>
        <w:pStyle w:val="ListBullet"/>
      </w:pPr>
      <w:r>
        <w:t>Maintain complete audit history for compliance purposes</w:t>
      </w:r>
    </w:p>
    <w:p>
      <w:pPr>
        <w:pStyle w:val="Heading1"/>
      </w:pPr>
      <w:r>
        <w:rPr>
          <w:color w:val="1E40AF"/>
        </w:rPr>
        <w:t>2. System Architecture</w:t>
      </w:r>
    </w:p>
    <w:p>
      <w:pPr>
        <w:spacing w:after="120"/>
      </w:pPr>
      <w:r>
        <w:t>The system is built with Python 3.10+ and follows a modular architecture organized in independent layers. The shared core (config, crawler, inspector) is used by both the Server and Desktop modes.</w:t>
      </w:r>
    </w:p>
    <w:p>
      <w:pPr>
        <w:pStyle w:val="Heading2"/>
      </w:pPr>
      <w:r>
        <w:rPr>
          <w:color w:val="1E40AF"/>
        </w:rPr>
        <w:t>2.1 Main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Component</w:t>
            </w:r>
          </w:p>
        </w:tc>
        <w:tc>
          <w:tcPr>
            <w:tcW w:type="dxa" w:w="2880"/>
          </w:tcPr>
          <w:p>
            <w:r>
              <w:rPr>
                <w:b/>
                <w:sz w:val="20"/>
              </w:rPr>
              <w:t>Description</w:t>
            </w:r>
          </w:p>
        </w:tc>
        <w:tc>
          <w:tcPr>
            <w:tcW w:type="dxa" w:w="2880"/>
          </w:tcPr>
          <w:p>
            <w:r>
              <w:rPr>
                <w:b/>
                <w:sz w:val="20"/>
              </w:rPr>
              <w:t>Technology</w:t>
            </w:r>
          </w:p>
        </w:tc>
      </w:tr>
      <w:tr>
        <w:tc>
          <w:tcPr>
            <w:tcW w:type="dxa" w:w="2880"/>
          </w:tcPr>
          <w:p>
            <w:r>
              <w:rPr>
                <w:sz w:val="20"/>
              </w:rPr>
              <w:t>config/</w:t>
            </w:r>
          </w:p>
        </w:tc>
        <w:tc>
          <w:tcPr>
            <w:tcW w:type="dxa" w:w="2880"/>
          </w:tcPr>
          <w:p>
            <w:r>
              <w:rPr>
                <w:sz w:val="20"/>
              </w:rPr>
              <w:t>Settings and intelligence matrix</w:t>
            </w:r>
          </w:p>
        </w:tc>
        <w:tc>
          <w:tcPr>
            <w:tcW w:type="dxa" w:w="2880"/>
          </w:tcPr>
          <w:p>
            <w:r>
              <w:rPr>
                <w:sz w:val="20"/>
              </w:rPr>
              <w:t>Pydantic Settings</w:t>
            </w:r>
          </w:p>
        </w:tc>
      </w:tr>
      <w:tr>
        <w:tc>
          <w:tcPr>
            <w:tcW w:type="dxa" w:w="2880"/>
          </w:tcPr>
          <w:p>
            <w:r>
              <w:rPr>
                <w:sz w:val="20"/>
              </w:rPr>
              <w:t>core/</w:t>
            </w:r>
          </w:p>
        </w:tc>
        <w:tc>
          <w:tcPr>
            <w:tcW w:type="dxa" w:w="2880"/>
          </w:tcPr>
          <w:p>
            <w:r>
              <w:rPr>
                <w:sz w:val="20"/>
              </w:rPr>
              <w:t>Data models and database engine</w:t>
            </w:r>
          </w:p>
        </w:tc>
        <w:tc>
          <w:tcPr>
            <w:tcW w:type="dxa" w:w="2880"/>
          </w:tcPr>
          <w:p>
            <w:r>
              <w:rPr>
                <w:sz w:val="20"/>
              </w:rPr>
              <w:t>SQLAlchemy Async + aiosqlite</w:t>
            </w:r>
          </w:p>
        </w:tc>
      </w:tr>
      <w:tr>
        <w:tc>
          <w:tcPr>
            <w:tcW w:type="dxa" w:w="2880"/>
          </w:tcPr>
          <w:p>
            <w:r>
              <w:rPr>
                <w:sz w:val="20"/>
              </w:rPr>
              <w:t>crawler/</w:t>
            </w:r>
          </w:p>
        </w:tc>
        <w:tc>
          <w:tcPr>
            <w:tcW w:type="dxa" w:w="2880"/>
          </w:tcPr>
          <w:p>
            <w:r>
              <w:rPr>
                <w:sz w:val="20"/>
              </w:rPr>
              <w:t>Dork generation and search engine</w:t>
            </w:r>
          </w:p>
        </w:tc>
        <w:tc>
          <w:tcPr>
            <w:tcW w:type="dxa" w:w="2880"/>
          </w:tcPr>
          <w:p>
            <w:r>
              <w:rPr>
                <w:sz w:val="20"/>
              </w:rPr>
              <w:t>DuckDuckGo Search (ddgs)</w:t>
            </w:r>
          </w:p>
        </w:tc>
      </w:tr>
      <w:tr>
        <w:tc>
          <w:tcPr>
            <w:tcW w:type="dxa" w:w="2880"/>
          </w:tcPr>
          <w:p>
            <w:r>
              <w:rPr>
                <w:sz w:val="20"/>
              </w:rPr>
              <w:t>inspector/</w:t>
            </w:r>
          </w:p>
        </w:tc>
        <w:tc>
          <w:tcPr>
            <w:tcW w:type="dxa" w:w="2880"/>
          </w:tcPr>
          <w:p>
            <w:r>
              <w:rPr>
                <w:sz w:val="20"/>
              </w:rPr>
              <w:t>Download, text extraction, regex, classification</w:t>
            </w:r>
          </w:p>
        </w:tc>
        <w:tc>
          <w:tcPr>
            <w:tcW w:type="dxa" w:w="2880"/>
          </w:tcPr>
          <w:p>
            <w:r>
              <w:rPr>
                <w:sz w:val="20"/>
              </w:rPr>
              <w:t>httpx, PyMuPDF, python-docx</w:t>
            </w:r>
          </w:p>
        </w:tc>
      </w:tr>
      <w:tr>
        <w:tc>
          <w:tcPr>
            <w:tcW w:type="dxa" w:w="2880"/>
          </w:tcPr>
          <w:p>
            <w:r>
              <w:rPr>
                <w:sz w:val="20"/>
              </w:rPr>
              <w:t>alerts/</w:t>
            </w:r>
          </w:p>
        </w:tc>
        <w:tc>
          <w:tcPr>
            <w:tcW w:type="dxa" w:w="2880"/>
          </w:tcPr>
          <w:p>
            <w:r>
              <w:rPr>
                <w:sz w:val="20"/>
              </w:rPr>
              <w:t>Telegram webhooks</w:t>
            </w:r>
          </w:p>
        </w:tc>
        <w:tc>
          <w:tcPr>
            <w:tcW w:type="dxa" w:w="2880"/>
          </w:tcPr>
          <w:p>
            <w:r>
              <w:rPr>
                <w:sz w:val="20"/>
              </w:rPr>
              <w:t>httpx</w:t>
            </w:r>
          </w:p>
        </w:tc>
      </w:tr>
      <w:tr>
        <w:tc>
          <w:tcPr>
            <w:tcW w:type="dxa" w:w="2880"/>
          </w:tcPr>
          <w:p>
            <w:r>
              <w:rPr>
                <w:sz w:val="20"/>
              </w:rPr>
              <w:t>api/</w:t>
            </w:r>
          </w:p>
        </w:tc>
        <w:tc>
          <w:tcPr>
            <w:tcW w:type="dxa" w:w="2880"/>
          </w:tcPr>
          <w:p>
            <w:r>
              <w:rPr>
                <w:sz w:val="20"/>
              </w:rPr>
              <w:t>Web dashboard and REST API</w:t>
            </w:r>
          </w:p>
        </w:tc>
        <w:tc>
          <w:tcPr>
            <w:tcW w:type="dxa" w:w="2880"/>
          </w:tcPr>
          <w:p>
            <w:r>
              <w:rPr>
                <w:sz w:val="20"/>
              </w:rPr>
              <w:t>FastAPI + Jinja2</w:t>
            </w:r>
          </w:p>
        </w:tc>
      </w:tr>
      <w:tr>
        <w:tc>
          <w:tcPr>
            <w:tcW w:type="dxa" w:w="2880"/>
          </w:tcPr>
          <w:p>
            <w:r>
              <w:rPr>
                <w:sz w:val="20"/>
              </w:rPr>
              <w:t>server/</w:t>
            </w:r>
          </w:p>
        </w:tc>
        <w:tc>
          <w:tcPr>
            <w:tcW w:type="dxa" w:w="2880"/>
          </w:tcPr>
          <w:p>
            <w:r>
              <w:rPr>
                <w:sz w:val="20"/>
              </w:rPr>
              <w:t>Server mode entry point</w:t>
            </w:r>
          </w:p>
        </w:tc>
        <w:tc>
          <w:tcPr>
            <w:tcW w:type="dxa" w:w="2880"/>
          </w:tcPr>
          <w:p>
            <w:r>
              <w:rPr>
                <w:sz w:val="20"/>
              </w:rPr>
              <w:t>Uvicorn + APScheduler</w:t>
            </w:r>
          </w:p>
        </w:tc>
      </w:tr>
      <w:tr>
        <w:tc>
          <w:tcPr>
            <w:tcW w:type="dxa" w:w="2880"/>
          </w:tcPr>
          <w:p>
            <w:r>
              <w:rPr>
                <w:sz w:val="20"/>
              </w:rPr>
              <w:t>desktop/</w:t>
            </w:r>
          </w:p>
        </w:tc>
        <w:tc>
          <w:tcPr>
            <w:tcW w:type="dxa" w:w="2880"/>
          </w:tcPr>
          <w:p>
            <w:r>
              <w:rPr>
                <w:sz w:val="20"/>
              </w:rPr>
              <w:t>Standalone GUI interface</w:t>
            </w:r>
          </w:p>
        </w:tc>
        <w:tc>
          <w:tcPr>
            <w:tcW w:type="dxa" w:w="2880"/>
          </w:tcPr>
          <w:p>
            <w:r>
              <w:rPr>
                <w:sz w:val="20"/>
              </w:rPr>
              <w:t>Tkinter</w:t>
            </w:r>
          </w:p>
        </w:tc>
      </w:tr>
    </w:tbl>
    <w:p>
      <w:pPr>
        <w:pStyle w:val="Heading2"/>
      </w:pPr>
      <w:r>
        <w:rPr>
          <w:color w:val="1E40AF"/>
        </w:rPr>
        <w:t>2.2 Operation Flow</w:t>
      </w:r>
    </w:p>
    <w:p>
      <w:pPr>
        <w:spacing w:after="120"/>
      </w:pPr>
      <w:r>
        <w:t>1. Dork Generation: The DorkGenerator creates ~80 optimized search queries based on the Intelligence Matrix, covering entities, CNPJs, CPFs, suppliers, and sensitive terms across multiple platforms.</w:t>
      </w:r>
    </w:p>
    <w:p>
      <w:pPr>
        <w:spacing w:after="120"/>
      </w:pPr>
      <w:r>
        <w:t>2. Web Crawling: The SearchEngine executes each dork via DuckDuckGo with randomized delays (2-4s) for rate-limiting evasion. Results are filtered by URLFilter to remove official domains.</w:t>
      </w:r>
    </w:p>
    <w:p>
      <w:pPr>
        <w:spacing w:after="120"/>
      </w:pPr>
      <w:r>
        <w:t>3. In-Memory Download: The Downloader fetches each document directly into memory (BytesIO), with zero disk writes, to minimize forensic footprint.</w:t>
      </w:r>
    </w:p>
    <w:p>
      <w:pPr>
        <w:spacing w:after="120"/>
      </w:pPr>
      <w:r>
        <w:t>4. Text Extraction: The TextExtractor processes PDF (PyMuPDF), DOCX (python-docx), XLSX (openpyxl), and TXT files, extracting full text and metadata (author, creator, date).</w:t>
      </w:r>
    </w:p>
    <w:p>
      <w:pPr>
        <w:spacing w:after="120"/>
      </w:pPr>
      <w:r>
        <w:t>5. Regex Inspection: The RegexEngine analyzes extracted text for CPFs, CNPJs, financial data, group entities, and sensitive terms. Snippets are masked to protect PII.</w:t>
      </w:r>
    </w:p>
    <w:p>
      <w:pPr>
        <w:spacing w:after="120"/>
      </w:pPr>
      <w:r>
        <w:t>6. Risk Classification: The RiskClassifier assigns a numeric score and level (Critical/High/Medium/Low) based on the quantity and type of sensitive data found.</w:t>
      </w:r>
    </w:p>
    <w:p>
      <w:pPr>
        <w:spacing w:after="120"/>
      </w:pPr>
      <w:r>
        <w:t>7. Persistence &amp; Alerts: Findings are saved to the SQLite database with URL-based deduplication. Alerts are sent via Telegram with a risk-grouped summary.</w:t>
      </w:r>
    </w:p>
    <w:p>
      <w:pPr>
        <w:pStyle w:val="Heading1"/>
      </w:pPr>
      <w:r>
        <w:rPr>
          <w:color w:val="1E40AF"/>
        </w:rPr>
        <w:t>3. Intelligence Matrix</w:t>
      </w:r>
    </w:p>
    <w:p>
      <w:pPr>
        <w:spacing w:after="120"/>
      </w:pPr>
      <w:r>
        <w:t>The Intelligence Matrix is the heart of the system's intelligence. It is dynamically loaded from the data/entities.json file, which contains entities extracted from the group's registration documents (corporate filings, articles of incorporation).</w:t>
      </w:r>
    </w:p>
    <w:p>
      <w:pPr>
        <w:pStyle w:val="Heading2"/>
      </w:pPr>
      <w:r>
        <w:rPr>
          <w:color w:val="1E40AF"/>
        </w:rPr>
        <w:t>3.1 Monitored Data Types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Data Type</w:t>
            </w:r>
          </w:p>
        </w:tc>
        <w:tc>
          <w:tcPr>
            <w:tcW w:type="dxa" w:w="2880"/>
          </w:tcPr>
          <w:p>
            <w:r>
              <w:rPr>
                <w:b/>
                <w:sz w:val="20"/>
              </w:rPr>
              <w:t>Examples</w:t>
            </w:r>
          </w:p>
        </w:tc>
        <w:tc>
          <w:tcPr>
            <w:tcW w:type="dxa" w:w="2880"/>
          </w:tcPr>
          <w:p>
            <w:r>
              <w:rPr>
                <w:b/>
                <w:sz w:val="20"/>
              </w:rPr>
              <w:t>Usage</w:t>
            </w:r>
          </w:p>
        </w:tc>
      </w:tr>
      <w:tr>
        <w:tc>
          <w:tcPr>
            <w:tcW w:type="dxa" w:w="2880"/>
          </w:tcPr>
          <w:p>
            <w:r>
              <w:rPr>
                <w:sz w:val="20"/>
              </w:rPr>
              <w:t>Company Names</w:t>
            </w:r>
          </w:p>
        </w:tc>
        <w:tc>
          <w:tcPr>
            <w:tcW w:type="dxa" w:w="2880"/>
          </w:tcPr>
          <w:p>
            <w:r>
              <w:rPr>
                <w:sz w:val="20"/>
              </w:rPr>
              <w:t>TIMAC AGRO INDÚSTRIA E COMÉRCIO DE FERTILIZANTES LTDA</w:t>
            </w:r>
          </w:p>
        </w:tc>
        <w:tc>
          <w:tcPr>
            <w:tcW w:type="dxa" w:w="2880"/>
          </w:tcPr>
          <w:p>
            <w:r>
              <w:rPr>
                <w:sz w:val="20"/>
              </w:rPr>
              <w:t>Search dorks</w:t>
            </w:r>
          </w:p>
        </w:tc>
      </w:tr>
      <w:tr>
        <w:tc>
          <w:tcPr>
            <w:tcW w:type="dxa" w:w="2880"/>
          </w:tcPr>
          <w:p>
            <w:r>
              <w:rPr>
                <w:sz w:val="20"/>
              </w:rPr>
              <w:t>CNPJs</w:t>
            </w:r>
          </w:p>
        </w:tc>
        <w:tc>
          <w:tcPr>
            <w:tcW w:type="dxa" w:w="2880"/>
          </w:tcPr>
          <w:p>
            <w:r>
              <w:rPr>
                <w:sz w:val="20"/>
              </w:rPr>
              <w:t>02.329.713/0001-29, 26.769.908/0001-58</w:t>
            </w:r>
          </w:p>
        </w:tc>
        <w:tc>
          <w:tcPr>
            <w:tcW w:type="dxa" w:w="2880"/>
          </w:tcPr>
          <w:p>
            <w:r>
              <w:rPr>
                <w:sz w:val="20"/>
              </w:rPr>
              <w:t>Detection regex</w:t>
            </w:r>
          </w:p>
        </w:tc>
      </w:tr>
      <w:tr>
        <w:tc>
          <w:tcPr>
            <w:tcW w:type="dxa" w:w="2880"/>
          </w:tcPr>
          <w:p>
            <w:r>
              <w:rPr>
                <w:sz w:val="20"/>
              </w:rPr>
              <w:t>CPFs</w:t>
            </w:r>
          </w:p>
        </w:tc>
        <w:tc>
          <w:tcPr>
            <w:tcW w:type="dxa" w:w="2880"/>
          </w:tcPr>
          <w:p>
            <w:r>
              <w:rPr>
                <w:sz w:val="20"/>
              </w:rPr>
              <w:t>Administrators and partners</w:t>
            </w:r>
          </w:p>
        </w:tc>
        <w:tc>
          <w:tcPr>
            <w:tcW w:type="dxa" w:w="2880"/>
          </w:tcPr>
          <w:p>
            <w:r>
              <w:rPr>
                <w:sz w:val="20"/>
              </w:rPr>
              <w:t>Detection regex</w:t>
            </w:r>
          </w:p>
        </w:tc>
      </w:tr>
      <w:tr>
        <w:tc>
          <w:tcPr>
            <w:tcW w:type="dxa" w:w="2880"/>
          </w:tcPr>
          <w:p>
            <w:r>
              <w:rPr>
                <w:sz w:val="20"/>
              </w:rPr>
              <w:t>Suppliers</w:t>
            </w:r>
          </w:p>
        </w:tc>
        <w:tc>
          <w:tcPr>
            <w:tcW w:type="dxa" w:w="2880"/>
          </w:tcPr>
          <w:p>
            <w:r>
              <w:rPr>
                <w:sz w:val="20"/>
              </w:rPr>
              <w:t>OCP Brasil, Pisani Plásticos</w:t>
            </w:r>
          </w:p>
        </w:tc>
        <w:tc>
          <w:tcPr>
            <w:tcW w:type="dxa" w:w="2880"/>
          </w:tcPr>
          <w:p>
            <w:r>
              <w:rPr>
                <w:sz w:val="20"/>
              </w:rPr>
              <w:t>Search terms</w:t>
            </w:r>
          </w:p>
        </w:tc>
      </w:tr>
      <w:tr>
        <w:tc>
          <w:tcPr>
            <w:tcW w:type="dxa" w:w="2880"/>
          </w:tcPr>
          <w:p>
            <w:r>
              <w:rPr>
                <w:sz w:val="20"/>
              </w:rPr>
              <w:t>Corporate Emails</w:t>
            </w:r>
          </w:p>
        </w:tc>
        <w:tc>
          <w:tcPr>
            <w:tcW w:type="dxa" w:w="2880"/>
          </w:tcPr>
          <w:p>
            <w:r>
              <w:rPr>
                <w:sz w:val="20"/>
              </w:rPr>
              <w:t>nfe1@timacagro.com.br</w:t>
            </w:r>
          </w:p>
        </w:tc>
        <w:tc>
          <w:tcPr>
            <w:tcW w:type="dxa" w:w="2880"/>
          </w:tcPr>
          <w:p>
            <w:r>
              <w:rPr>
                <w:sz w:val="20"/>
              </w:rPr>
              <w:t>Exposure detection</w:t>
            </w:r>
          </w:p>
        </w:tc>
      </w:tr>
      <w:tr>
        <w:tc>
          <w:tcPr>
            <w:tcW w:type="dxa" w:w="2880"/>
          </w:tcPr>
          <w:p>
            <w:r>
              <w:rPr>
                <w:sz w:val="20"/>
              </w:rPr>
              <w:t>Sensitive Terms</w:t>
            </w:r>
          </w:p>
        </w:tc>
        <w:tc>
          <w:tcPr>
            <w:tcW w:type="dxa" w:w="2880"/>
          </w:tcPr>
          <w:p>
            <w:r>
              <w:rPr>
                <w:sz w:val="20"/>
              </w:rPr>
              <w:t>confidential, internal use, password</w:t>
            </w:r>
          </w:p>
        </w:tc>
        <w:tc>
          <w:tcPr>
            <w:tcW w:type="dxa" w:w="2880"/>
          </w:tcPr>
          <w:p>
            <w:r>
              <w:rPr>
                <w:sz w:val="20"/>
              </w:rPr>
              <w:t>Advanced regex</w:t>
            </w:r>
          </w:p>
        </w:tc>
      </w:tr>
    </w:tbl>
    <w:p>
      <w:pPr>
        <w:pStyle w:val="Heading1"/>
      </w:pPr>
      <w:r>
        <w:rPr>
          <w:color w:val="1E40AF"/>
        </w:rPr>
        <w:t>4. Detection and Classification</w:t>
      </w:r>
    </w:p>
    <w:p>
      <w:pPr>
        <w:pStyle w:val="Heading2"/>
      </w:pPr>
      <w:r>
        <w:rPr>
          <w:color w:val="1E40AF"/>
        </w:rPr>
        <w:t>4.1 Risk Levels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Level</w:t>
            </w:r>
          </w:p>
        </w:tc>
        <w:tc>
          <w:tcPr>
            <w:tcW w:type="dxa" w:w="2880"/>
          </w:tcPr>
          <w:p>
            <w:r>
              <w:rPr>
                <w:b/>
                <w:sz w:val="20"/>
              </w:rPr>
              <w:t>Score</w:t>
            </w:r>
          </w:p>
        </w:tc>
        <w:tc>
          <w:tcPr>
            <w:tcW w:type="dxa" w:w="2880"/>
          </w:tcPr>
          <w:p>
            <w:r>
              <w:rPr>
                <w:b/>
                <w:sz w:val="20"/>
              </w:rPr>
              <w:t>Criteria</w:t>
            </w:r>
          </w:p>
        </w:tc>
      </w:tr>
      <w:tr>
        <w:tc>
          <w:tcPr>
            <w:tcW w:type="dxa" w:w="2880"/>
          </w:tcPr>
          <w:p>
            <w:r>
              <w:rPr>
                <w:sz w:val="20"/>
              </w:rPr>
              <w:t>🔴 Critical</w:t>
            </w:r>
          </w:p>
        </w:tc>
        <w:tc>
          <w:tcPr>
            <w:tcW w:type="dxa" w:w="2880"/>
          </w:tcPr>
          <w:p>
            <w:r>
              <w:rPr>
                <w:sz w:val="20"/>
              </w:rPr>
              <w:t>80-100</w:t>
            </w:r>
          </w:p>
        </w:tc>
        <w:tc>
          <w:tcPr>
            <w:tcW w:type="dxa" w:w="2880"/>
          </w:tcPr>
          <w:p>
            <w:r>
              <w:rPr>
                <w:sz w:val="20"/>
              </w:rPr>
              <w:t>Multiple CPFs + CNPJs + financial data, or exposed CPFs in sensitive context</w:t>
            </w:r>
          </w:p>
        </w:tc>
      </w:tr>
      <w:tr>
        <w:tc>
          <w:tcPr>
            <w:tcW w:type="dxa" w:w="2880"/>
          </w:tcPr>
          <w:p>
            <w:r>
              <w:rPr>
                <w:sz w:val="20"/>
              </w:rPr>
              <w:t>🟠 High</w:t>
            </w:r>
          </w:p>
        </w:tc>
        <w:tc>
          <w:tcPr>
            <w:tcW w:type="dxa" w:w="2880"/>
          </w:tcPr>
          <w:p>
            <w:r>
              <w:rPr>
                <w:sz w:val="20"/>
              </w:rPr>
              <w:t>60-79</w:t>
            </w:r>
          </w:p>
        </w:tc>
        <w:tc>
          <w:tcPr>
            <w:tcW w:type="dxa" w:w="2880"/>
          </w:tcPr>
          <w:p>
            <w:r>
              <w:rPr>
                <w:sz w:val="20"/>
              </w:rPr>
              <w:t>Group CPFs or CNPJs with financial terms</w:t>
            </w:r>
          </w:p>
        </w:tc>
      </w:tr>
      <w:tr>
        <w:tc>
          <w:tcPr>
            <w:tcW w:type="dxa" w:w="2880"/>
          </w:tcPr>
          <w:p>
            <w:r>
              <w:rPr>
                <w:sz w:val="20"/>
              </w:rPr>
              <w:t>🟡 Medium</w:t>
            </w:r>
          </w:p>
        </w:tc>
        <w:tc>
          <w:tcPr>
            <w:tcW w:type="dxa" w:w="2880"/>
          </w:tcPr>
          <w:p>
            <w:r>
              <w:rPr>
                <w:sz w:val="20"/>
              </w:rPr>
              <w:t>40-59</w:t>
            </w:r>
          </w:p>
        </w:tc>
        <w:tc>
          <w:tcPr>
            <w:tcW w:type="dxa" w:w="2880"/>
          </w:tcPr>
          <w:p>
            <w:r>
              <w:rPr>
                <w:sz w:val="20"/>
              </w:rPr>
              <w:t>Entity mentions with moderate sensitive terms</w:t>
            </w:r>
          </w:p>
        </w:tc>
      </w:tr>
      <w:tr>
        <w:tc>
          <w:tcPr>
            <w:tcW w:type="dxa" w:w="2880"/>
          </w:tcPr>
          <w:p>
            <w:r>
              <w:rPr>
                <w:sz w:val="20"/>
              </w:rPr>
              <w:t>🟢 Low</w:t>
            </w:r>
          </w:p>
        </w:tc>
        <w:tc>
          <w:tcPr>
            <w:tcW w:type="dxa" w:w="2880"/>
          </w:tcPr>
          <w:p>
            <w:r>
              <w:rPr>
                <w:sz w:val="20"/>
              </w:rPr>
              <w:t>1-39</w:t>
            </w:r>
          </w:p>
        </w:tc>
        <w:tc>
          <w:tcPr>
            <w:tcW w:type="dxa" w:w="2880"/>
          </w:tcPr>
          <w:p>
            <w:r>
              <w:rPr>
                <w:sz w:val="20"/>
              </w:rPr>
              <w:t>Generic entity mentions or isolated terms</w:t>
            </w:r>
          </w:p>
        </w:tc>
      </w:tr>
    </w:tbl>
    <w:p>
      <w:pPr>
        <w:pStyle w:val="Heading2"/>
      </w:pPr>
      <w:r>
        <w:rPr>
          <w:color w:val="1E40AF"/>
        </w:rPr>
        <w:t>4.2 Categories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Category</w:t>
            </w:r>
          </w:p>
        </w:tc>
        <w:tc>
          <w:tcPr>
            <w:tcW w:type="dxa" w:w="4320"/>
          </w:tcPr>
          <w:p>
            <w:r>
              <w:rPr>
                <w:b/>
                <w:sz w:val="20"/>
              </w:rPr>
              <w:t>Description</w:t>
            </w:r>
          </w:p>
        </w:tc>
      </w:tr>
      <w:tr>
        <w:tc>
          <w:tcPr>
            <w:tcW w:type="dxa" w:w="4320"/>
          </w:tcPr>
          <w:p>
            <w:r>
              <w:rPr>
                <w:sz w:val="20"/>
              </w:rPr>
              <w:t>HR</w:t>
            </w:r>
          </w:p>
        </w:tc>
        <w:tc>
          <w:tcPr>
            <w:tcW w:type="dxa" w:w="4320"/>
          </w:tcPr>
          <w:p>
            <w:r>
              <w:rPr>
                <w:sz w:val="20"/>
              </w:rPr>
              <w:t>Employee data, payroll, CPFs in employment context</w:t>
            </w:r>
          </w:p>
        </w:tc>
      </w:tr>
      <w:tr>
        <w:tc>
          <w:tcPr>
            <w:tcW w:type="dxa" w:w="4320"/>
          </w:tcPr>
          <w:p>
            <w:r>
              <w:rPr>
                <w:sz w:val="20"/>
              </w:rPr>
              <w:t>Financial</w:t>
            </w:r>
          </w:p>
        </w:tc>
        <w:tc>
          <w:tcPr>
            <w:tcW w:type="dxa" w:w="4320"/>
          </w:tcPr>
          <w:p>
            <w:r>
              <w:rPr>
                <w:sz w:val="20"/>
              </w:rPr>
              <w:t>Revenue, balance sheets, contracts, banking data</w:t>
            </w:r>
          </w:p>
        </w:tc>
      </w:tr>
      <w:tr>
        <w:tc>
          <w:tcPr>
            <w:tcW w:type="dxa" w:w="4320"/>
          </w:tcPr>
          <w:p>
            <w:r>
              <w:rPr>
                <w:sz w:val="20"/>
              </w:rPr>
              <w:t>IT</w:t>
            </w:r>
          </w:p>
        </w:tc>
        <w:tc>
          <w:tcPr>
            <w:tcW w:type="dxa" w:w="4320"/>
          </w:tcPr>
          <w:p>
            <w:r>
              <w:rPr>
                <w:sz w:val="20"/>
              </w:rPr>
              <w:t>Infrastructure, credentials, technical configurations</w:t>
            </w:r>
          </w:p>
        </w:tc>
      </w:tr>
      <w:tr>
        <w:tc>
          <w:tcPr>
            <w:tcW w:type="dxa" w:w="4320"/>
          </w:tcPr>
          <w:p>
            <w:r>
              <w:rPr>
                <w:sz w:val="20"/>
              </w:rPr>
              <w:t>IT/Security</w:t>
            </w:r>
          </w:p>
        </w:tc>
        <w:tc>
          <w:tcPr>
            <w:tcW w:type="dxa" w:w="4320"/>
          </w:tcPr>
          <w:p>
            <w:r>
              <w:rPr>
                <w:sz w:val="20"/>
              </w:rPr>
              <w:t>Passwords, tokens, API keys, VPN</w:t>
            </w:r>
          </w:p>
        </w:tc>
      </w:tr>
      <w:tr>
        <w:tc>
          <w:tcPr>
            <w:tcW w:type="dxa" w:w="4320"/>
          </w:tcPr>
          <w:p>
            <w:r>
              <w:rPr>
                <w:sz w:val="20"/>
              </w:rPr>
              <w:t>Personal Data</w:t>
            </w:r>
          </w:p>
        </w:tc>
        <w:tc>
          <w:tcPr>
            <w:tcW w:type="dxa" w:w="4320"/>
          </w:tcPr>
          <w:p>
            <w:r>
              <w:rPr>
                <w:sz w:val="20"/>
              </w:rPr>
              <w:t>CPFs, addresses, phone numbers without corporate context</w:t>
            </w:r>
          </w:p>
        </w:tc>
      </w:tr>
      <w:tr>
        <w:tc>
          <w:tcPr>
            <w:tcW w:type="dxa" w:w="4320"/>
          </w:tcPr>
          <w:p>
            <w:r>
              <w:rPr>
                <w:sz w:val="20"/>
              </w:rPr>
              <w:t>Corporate</w:t>
            </w:r>
          </w:p>
        </w:tc>
        <w:tc>
          <w:tcPr>
            <w:tcW w:type="dxa" w:w="4320"/>
          </w:tcPr>
          <w:p>
            <w:r>
              <w:rPr>
                <w:sz w:val="20"/>
              </w:rPr>
              <w:t>Strategic documents, commercial proposals</w:t>
            </w:r>
          </w:p>
        </w:tc>
      </w:tr>
    </w:tbl>
    <w:p>
      <w:pPr>
        <w:pStyle w:val="Heading2"/>
      </w:pPr>
      <w:r>
        <w:rPr>
          <w:color w:val="1E40AF"/>
        </w:rPr>
        <w:t>4.3 Regional Filters</w:t>
      </w:r>
    </w:p>
    <w:p>
      <w:pPr>
        <w:spacing w:after="120"/>
      </w:pPr>
      <w:r>
        <w:t>The system automatically detects the country of origin (by domain TLD) and content language (by text analysis), allowing findings to be filtered by region on the dashboard.</w:t>
      </w:r>
    </w:p>
    <w:p>
      <w:pPr>
        <w:pStyle w:val="Heading1"/>
      </w:pPr>
      <w:r>
        <w:rPr>
          <w:color w:val="1E40AF"/>
        </w:rPr>
        <w:t>5. Operation Modes</w:t>
      </w:r>
    </w:p>
    <w:p>
      <w:pPr>
        <w:pStyle w:val="Heading2"/>
      </w:pPr>
      <w:r>
        <w:rPr>
          <w:color w:val="1E40AF"/>
        </w:rPr>
        <w:t>5.1 Server Mode</w:t>
      </w:r>
    </w:p>
    <w:p>
      <w:pPr>
        <w:spacing w:after="120"/>
      </w:pPr>
      <w:r>
        <w:t>Server mode is the primary version for production environments. It includes a web dashboard, full REST API, automatic scan scheduling (3x/day via APScheduler), and Telegram integration for real-time alerts.</w:t>
      </w:r>
    </w:p>
    <w:p>
      <w:pPr>
        <w:spacing w:after="120"/>
      </w:pPr>
      <w:r>
        <w:t>Server-exclusive features:</w:t>
      </w:r>
    </w:p>
    <w:p>
      <w:pPr>
        <w:pStyle w:val="ListBullet"/>
      </w:pPr>
      <w:r>
        <w:t>Cybersecurity web dashboard with metrics, charts, and triage table</w:t>
      </w:r>
    </w:p>
    <w:p>
      <w:pPr>
        <w:pStyle w:val="ListBullet"/>
      </w:pPr>
      <w:r>
        <w:t>Real-time progress bar during scans</w:t>
      </w:r>
    </w:p>
    <w:p>
      <w:pPr>
        <w:pStyle w:val="ListBullet"/>
      </w:pPr>
      <w:r>
        <w:t>Configurable automatic scheduling (default: 08:00, 14:00, 22:00 BRT)</w:t>
      </w:r>
    </w:p>
    <w:p>
      <w:pPr>
        <w:pStyle w:val="ListBullet"/>
      </w:pPr>
      <w:r>
        <w:t>Telegram alerts: startup, scan start, and summary with new leak links</w:t>
      </w:r>
    </w:p>
    <w:p>
      <w:pPr>
        <w:pStyle w:val="ListBullet"/>
      </w:pPr>
      <w:r>
        <w:t>REST API for external tool integration</w:t>
      </w:r>
    </w:p>
    <w:p>
      <w:pPr>
        <w:pStyle w:val="ListBullet"/>
      </w:pPr>
      <w:r>
        <w:t>SSE (Server-Sent Events) for real-time dashboard push notifications</w:t>
      </w:r>
    </w:p>
    <w:p>
      <w:pPr>
        <w:pStyle w:val="ListBullet"/>
      </w:pPr>
      <w:r>
        <w:t>Systemd service for continuous operation on Linux servers</w:t>
      </w:r>
    </w:p>
    <w:p>
      <w:pPr>
        <w:pStyle w:val="Heading2"/>
      </w:pPr>
      <w:r>
        <w:rPr>
          <w:color w:val="1E40AF"/>
        </w:rPr>
        <w:t>5.2 Desktop Mode</w:t>
      </w:r>
    </w:p>
    <w:p>
      <w:pPr>
        <w:spacing w:after="120"/>
      </w:pPr>
      <w:r>
        <w:t>Desktop mode is a standalone GUI application built with Tkinter. Designed for ad-hoc queries without server or web infrastructure dependencies.</w:t>
      </w:r>
    </w:p>
    <w:p>
      <w:pPr>
        <w:spacing w:after="120"/>
      </w:pPr>
      <w:r>
        <w:t>Features:</w:t>
      </w:r>
    </w:p>
    <w:p>
      <w:pPr>
        <w:pStyle w:val="ListBullet"/>
      </w:pPr>
      <w:r>
        <w:t>Dark mode graphical interface with progress bar</w:t>
      </w:r>
    </w:p>
    <w:p>
      <w:pPr>
        <w:pStyle w:val="ListBullet"/>
      </w:pPr>
      <w:r>
        <w:t>Result export to CSV and JSON</w:t>
      </w:r>
    </w:p>
    <w:p>
      <w:pPr>
        <w:pStyle w:val="ListBullet"/>
      </w:pPr>
      <w:r>
        <w:t>Fully offline operation after the initial scan</w:t>
      </w:r>
    </w:p>
    <w:p>
      <w:pPr>
        <w:pStyle w:val="ListBullet"/>
      </w:pPr>
      <w:r>
        <w:t>Compilable to standalone .exe via cx_Freeze</w:t>
      </w:r>
    </w:p>
    <w:p>
      <w:pPr>
        <w:pStyle w:val="Heading1"/>
      </w:pPr>
      <w:r>
        <w:rPr>
          <w:color w:val="1E40AF"/>
        </w:rPr>
        <w:t>6. Installation and Configuration</w:t>
      </w:r>
    </w:p>
    <w:p>
      <w:pPr>
        <w:pStyle w:val="Heading2"/>
      </w:pPr>
      <w:r>
        <w:rPr>
          <w:color w:val="1E40AF"/>
        </w:rPr>
        <w:t>6.1 Requirements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Requirement</w:t>
            </w:r>
          </w:p>
        </w:tc>
        <w:tc>
          <w:tcPr>
            <w:tcW w:type="dxa" w:w="4320"/>
          </w:tcPr>
          <w:p>
            <w:r>
              <w:rPr>
                <w:b/>
                <w:sz w:val="20"/>
              </w:rPr>
              <w:t>Minimum</w:t>
            </w:r>
          </w:p>
        </w:tc>
      </w:tr>
      <w:tr>
        <w:tc>
          <w:tcPr>
            <w:tcW w:type="dxa" w:w="4320"/>
          </w:tcPr>
          <w:p>
            <w:r>
              <w:rPr>
                <w:sz w:val="20"/>
              </w:rPr>
              <w:t>Python</w:t>
            </w:r>
          </w:p>
        </w:tc>
        <w:tc>
          <w:tcPr>
            <w:tcW w:type="dxa" w:w="4320"/>
          </w:tcPr>
          <w:p>
            <w:r>
              <w:rPr>
                <w:sz w:val="20"/>
              </w:rPr>
              <w:t>3.10+</w:t>
            </w:r>
          </w:p>
        </w:tc>
      </w:tr>
      <w:tr>
        <w:tc>
          <w:tcPr>
            <w:tcW w:type="dxa" w:w="4320"/>
          </w:tcPr>
          <w:p>
            <w:r>
              <w:rPr>
                <w:sz w:val="20"/>
              </w:rPr>
              <w:t>Operating System</w:t>
            </w:r>
          </w:p>
        </w:tc>
        <w:tc>
          <w:tcPr>
            <w:tcW w:type="dxa" w:w="4320"/>
          </w:tcPr>
          <w:p>
            <w:r>
              <w:rPr>
                <w:sz w:val="20"/>
              </w:rPr>
              <w:t>Linux (Server) / Windows (Desktop/Server)</w:t>
            </w:r>
          </w:p>
        </w:tc>
      </w:tr>
      <w:tr>
        <w:tc>
          <w:tcPr>
            <w:tcW w:type="dxa" w:w="4320"/>
          </w:tcPr>
          <w:p>
            <w:r>
              <w:rPr>
                <w:sz w:val="20"/>
              </w:rPr>
              <w:t>RAM</w:t>
            </w:r>
          </w:p>
        </w:tc>
        <w:tc>
          <w:tcPr>
            <w:tcW w:type="dxa" w:w="4320"/>
          </w:tcPr>
          <w:p>
            <w:r>
              <w:rPr>
                <w:sz w:val="20"/>
              </w:rPr>
              <w:t>512 MB</w:t>
            </w:r>
          </w:p>
        </w:tc>
      </w:tr>
      <w:tr>
        <w:tc>
          <w:tcPr>
            <w:tcW w:type="dxa" w:w="4320"/>
          </w:tcPr>
          <w:p>
            <w:r>
              <w:rPr>
                <w:sz w:val="20"/>
              </w:rPr>
              <w:t>Disk</w:t>
            </w:r>
          </w:p>
        </w:tc>
        <w:tc>
          <w:tcPr>
            <w:tcW w:type="dxa" w:w="4320"/>
          </w:tcPr>
          <w:p>
            <w:r>
              <w:rPr>
                <w:sz w:val="20"/>
              </w:rPr>
              <w:t>100 MB + space for SQLite database</w:t>
            </w:r>
          </w:p>
        </w:tc>
      </w:tr>
      <w:tr>
        <w:tc>
          <w:tcPr>
            <w:tcW w:type="dxa" w:w="4320"/>
          </w:tcPr>
          <w:p>
            <w:r>
              <w:rPr>
                <w:sz w:val="20"/>
              </w:rPr>
              <w:t>Network</w:t>
            </w:r>
          </w:p>
        </w:tc>
        <w:tc>
          <w:tcPr>
            <w:tcW w:type="dxa" w:w="4320"/>
          </w:tcPr>
          <w:p>
            <w:r>
              <w:rPr>
                <w:sz w:val="20"/>
              </w:rPr>
              <w:t>Internet access for crawling</w:t>
            </w:r>
          </w:p>
        </w:tc>
      </w:tr>
    </w:tbl>
    <w:p>
      <w:pPr>
        <w:pStyle w:val="Heading2"/>
      </w:pPr>
      <w:r>
        <w:rPr>
          <w:color w:val="1E40AF"/>
        </w:rPr>
        <w:t>6.2 Installation</w:t>
      </w:r>
    </w:p>
    <w:p>
      <w:pPr>
        <w:spacing w:after="120"/>
      </w:pPr>
      <w:r>
        <w:t>1. Clone the repository:</w:t>
      </w:r>
    </w:p>
    <w:p>
      <w:pPr>
        <w:pStyle w:val="NoSpacing"/>
      </w:pPr>
      <w:r>
        <w:rPr>
          <w:rFonts w:ascii="Consolas" w:hAnsi="Consolas"/>
        </w:rPr>
        <w:t>git clone &lt;repo-url&gt;</w:t>
        <w:br/>
        <w:t>cd Doc-Tracker</w:t>
      </w:r>
    </w:p>
    <w:p>
      <w:pPr>
        <w:spacing w:after="120"/>
      </w:pPr>
      <w:r>
        <w:t>2. Create and activate virtual environment:</w:t>
      </w:r>
    </w:p>
    <w:p>
      <w:pPr>
        <w:pStyle w:val="NoSpacing"/>
      </w:pPr>
      <w:r>
        <w:rPr>
          <w:rFonts w:ascii="Consolas" w:hAnsi="Consolas"/>
        </w:rPr>
        <w:t>python3 -m venv venv</w:t>
        <w:br/>
        <w:t>source venv/bin/activate  # Linux</w:t>
        <w:br/>
        <w:t>venv\Scripts\activate     # Windows</w:t>
      </w:r>
    </w:p>
    <w:p>
      <w:pPr>
        <w:spacing w:after="120"/>
      </w:pPr>
      <w:r>
        <w:t>3. Install dependencies:</w:t>
      </w:r>
    </w:p>
    <w:p>
      <w:pPr>
        <w:pStyle w:val="NoSpacing"/>
      </w:pPr>
      <w:r>
        <w:rPr>
          <w:rFonts w:ascii="Consolas" w:hAnsi="Consolas"/>
        </w:rPr>
        <w:t>pip install -r requirements.txt</w:t>
      </w:r>
    </w:p>
    <w:p>
      <w:pPr>
        <w:spacing w:after="120"/>
      </w:pPr>
      <w:r>
        <w:t>4. Configure environment variables:</w:t>
      </w:r>
    </w:p>
    <w:p>
      <w:pPr>
        <w:pStyle w:val="NoSpacing"/>
      </w:pPr>
      <w:r>
        <w:rPr>
          <w:rFonts w:ascii="Consolas" w:hAnsi="Consolas"/>
        </w:rPr>
        <w:t>cp .env.example .env</w:t>
        <w:br/>
        <w:t>nano .env  # edit with actual values</w:t>
      </w:r>
    </w:p>
    <w:p>
      <w:pPr>
        <w:pStyle w:val="Heading2"/>
      </w:pPr>
      <w:r>
        <w:rPr>
          <w:color w:val="1E40AF"/>
        </w:rPr>
        <w:t>6.3 Environment Variables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Variable</w:t>
            </w:r>
          </w:p>
        </w:tc>
        <w:tc>
          <w:tcPr>
            <w:tcW w:type="dxa" w:w="2880"/>
          </w:tcPr>
          <w:p>
            <w:r>
              <w:rPr>
                <w:b/>
                <w:sz w:val="20"/>
              </w:rPr>
              <w:t>Description</w:t>
            </w:r>
          </w:p>
        </w:tc>
        <w:tc>
          <w:tcPr>
            <w:tcW w:type="dxa" w:w="2880"/>
          </w:tcPr>
          <w:p>
            <w:r>
              <w:rPr>
                <w:b/>
                <w:sz w:val="20"/>
              </w:rPr>
              <w:t>Required</w:t>
            </w:r>
          </w:p>
        </w:tc>
      </w:tr>
      <w:tr>
        <w:tc>
          <w:tcPr>
            <w:tcW w:type="dxa" w:w="2880"/>
          </w:tcPr>
          <w:p>
            <w:r>
              <w:rPr>
                <w:sz w:val="20"/>
              </w:rPr>
              <w:t>DATABASE_URL</w:t>
            </w:r>
          </w:p>
        </w:tc>
        <w:tc>
          <w:tcPr>
            <w:tcW w:type="dxa" w:w="2880"/>
          </w:tcPr>
          <w:p>
            <w:r>
              <w:rPr>
                <w:sz w:val="20"/>
              </w:rPr>
              <w:t>SQLite connection URL</w:t>
            </w:r>
          </w:p>
        </w:tc>
        <w:tc>
          <w:tcPr>
            <w:tcW w:type="dxa" w:w="2880"/>
          </w:tcPr>
          <w:p>
            <w:r>
              <w:rPr>
                <w:sz w:val="20"/>
              </w:rPr>
              <w:t>Yes</w:t>
            </w:r>
          </w:p>
        </w:tc>
      </w:tr>
      <w:tr>
        <w:tc>
          <w:tcPr>
            <w:tcW w:type="dxa" w:w="2880"/>
          </w:tcPr>
          <w:p>
            <w:r>
              <w:rPr>
                <w:sz w:val="20"/>
              </w:rPr>
              <w:t>API_HOST</w:t>
            </w:r>
          </w:p>
        </w:tc>
        <w:tc>
          <w:tcPr>
            <w:tcW w:type="dxa" w:w="2880"/>
          </w:tcPr>
          <w:p>
            <w:r>
              <w:rPr>
                <w:sz w:val="20"/>
              </w:rPr>
              <w:t>Server host (default: 0.0.0.0)</w:t>
            </w:r>
          </w:p>
        </w:tc>
        <w:tc>
          <w:tcPr>
            <w:tcW w:type="dxa" w:w="2880"/>
          </w:tcPr>
          <w:p>
            <w:r>
              <w:rPr>
                <w:sz w:val="20"/>
              </w:rPr>
              <w:t>No</w:t>
            </w:r>
          </w:p>
        </w:tc>
      </w:tr>
      <w:tr>
        <w:tc>
          <w:tcPr>
            <w:tcW w:type="dxa" w:w="2880"/>
          </w:tcPr>
          <w:p>
            <w:r>
              <w:rPr>
                <w:sz w:val="20"/>
              </w:rPr>
              <w:t>API_PORT</w:t>
            </w:r>
          </w:p>
        </w:tc>
        <w:tc>
          <w:tcPr>
            <w:tcW w:type="dxa" w:w="2880"/>
          </w:tcPr>
          <w:p>
            <w:r>
              <w:rPr>
                <w:sz w:val="20"/>
              </w:rPr>
              <w:t>Server port (default: 8443)</w:t>
            </w:r>
          </w:p>
        </w:tc>
        <w:tc>
          <w:tcPr>
            <w:tcW w:type="dxa" w:w="2880"/>
          </w:tcPr>
          <w:p>
            <w:r>
              <w:rPr>
                <w:sz w:val="20"/>
              </w:rPr>
              <w:t>No</w:t>
            </w:r>
          </w:p>
        </w:tc>
      </w:tr>
      <w:tr>
        <w:tc>
          <w:tcPr>
            <w:tcW w:type="dxa" w:w="2880"/>
          </w:tcPr>
          <w:p>
            <w:r>
              <w:rPr>
                <w:sz w:val="20"/>
              </w:rPr>
              <w:t>TELEGRAM_BOT_TOKEN</w:t>
            </w:r>
          </w:p>
        </w:tc>
        <w:tc>
          <w:tcPr>
            <w:tcW w:type="dxa" w:w="2880"/>
          </w:tcPr>
          <w:p>
            <w:r>
              <w:rPr>
                <w:sz w:val="20"/>
              </w:rPr>
              <w:t>Telegram bot token for alerts</w:t>
            </w:r>
          </w:p>
        </w:tc>
        <w:tc>
          <w:tcPr>
            <w:tcW w:type="dxa" w:w="2880"/>
          </w:tcPr>
          <w:p>
            <w:r>
              <w:rPr>
                <w:sz w:val="20"/>
              </w:rPr>
              <w:t>Yes*</w:t>
            </w:r>
          </w:p>
        </w:tc>
      </w:tr>
      <w:tr>
        <w:tc>
          <w:tcPr>
            <w:tcW w:type="dxa" w:w="2880"/>
          </w:tcPr>
          <w:p>
            <w:r>
              <w:rPr>
                <w:sz w:val="20"/>
              </w:rPr>
              <w:t>TELEGRAM_CHAT_ID</w:t>
            </w:r>
          </w:p>
        </w:tc>
        <w:tc>
          <w:tcPr>
            <w:tcW w:type="dxa" w:w="2880"/>
          </w:tcPr>
          <w:p>
            <w:r>
              <w:rPr>
                <w:sz w:val="20"/>
              </w:rPr>
              <w:t>Telegram chat ID</w:t>
            </w:r>
          </w:p>
        </w:tc>
        <w:tc>
          <w:tcPr>
            <w:tcW w:type="dxa" w:w="2880"/>
          </w:tcPr>
          <w:p>
            <w:r>
              <w:rPr>
                <w:sz w:val="20"/>
              </w:rPr>
              <w:t>Yes*</w:t>
            </w:r>
          </w:p>
        </w:tc>
      </w:tr>
      <w:tr>
        <w:tc>
          <w:tcPr>
            <w:tcW w:type="dxa" w:w="2880"/>
          </w:tcPr>
          <w:p>
            <w:r>
              <w:rPr>
                <w:sz w:val="20"/>
              </w:rPr>
              <w:t>SCAN_SCHEDULE_HOURS</w:t>
            </w:r>
          </w:p>
        </w:tc>
        <w:tc>
          <w:tcPr>
            <w:tcW w:type="dxa" w:w="2880"/>
          </w:tcPr>
          <w:p>
            <w:r>
              <w:rPr>
                <w:sz w:val="20"/>
              </w:rPr>
              <w:t>Auto-scan hours (e.g., 8,14,22)</w:t>
            </w:r>
          </w:p>
        </w:tc>
        <w:tc>
          <w:tcPr>
            <w:tcW w:type="dxa" w:w="2880"/>
          </w:tcPr>
          <w:p>
            <w:r>
              <w:rPr>
                <w:sz w:val="20"/>
              </w:rPr>
              <w:t>No</w:t>
            </w:r>
          </w:p>
        </w:tc>
      </w:tr>
      <w:tr>
        <w:tc>
          <w:tcPr>
            <w:tcW w:type="dxa" w:w="2880"/>
          </w:tcPr>
          <w:p>
            <w:r>
              <w:rPr>
                <w:sz w:val="20"/>
              </w:rPr>
              <w:t>SERVER_MODE</w:t>
            </w:r>
          </w:p>
        </w:tc>
        <w:tc>
          <w:tcPr>
            <w:tcW w:type="dxa" w:w="2880"/>
          </w:tcPr>
          <w:p>
            <w:r>
              <w:rPr>
                <w:sz w:val="20"/>
              </w:rPr>
              <w:t>Enable server mode (true/false)</w:t>
            </w:r>
          </w:p>
        </w:tc>
        <w:tc>
          <w:tcPr>
            <w:tcW w:type="dxa" w:w="2880"/>
          </w:tcPr>
          <w:p>
            <w:r>
              <w:rPr>
                <w:sz w:val="20"/>
              </w:rPr>
              <w:t>No</w:t>
            </w:r>
          </w:p>
        </w:tc>
      </w:tr>
      <w:tr>
        <w:tc>
          <w:tcPr>
            <w:tcW w:type="dxa" w:w="2880"/>
          </w:tcPr>
          <w:p>
            <w:r>
              <w:rPr>
                <w:sz w:val="20"/>
              </w:rPr>
              <w:t>DASHBOARD_URL</w:t>
            </w:r>
          </w:p>
        </w:tc>
        <w:tc>
          <w:tcPr>
            <w:tcW w:type="dxa" w:w="2880"/>
          </w:tcPr>
          <w:p>
            <w:r>
              <w:rPr>
                <w:sz w:val="20"/>
              </w:rPr>
              <w:t>Public dashboard URL</w:t>
            </w:r>
          </w:p>
        </w:tc>
        <w:tc>
          <w:tcPr>
            <w:tcW w:type="dxa" w:w="2880"/>
          </w:tcPr>
          <w:p>
            <w:r>
              <w:rPr>
                <w:sz w:val="20"/>
              </w:rPr>
              <w:t>No</w:t>
            </w:r>
          </w:p>
        </w:tc>
      </w:tr>
      <w:tr>
        <w:tc>
          <w:tcPr>
            <w:tcW w:type="dxa" w:w="2880"/>
          </w:tcPr>
          <w:p>
            <w:r>
              <w:rPr>
                <w:sz w:val="20"/>
              </w:rPr>
              <w:t>PROXY_URL</w:t>
            </w:r>
          </w:p>
        </w:tc>
        <w:tc>
          <w:tcPr>
            <w:tcW w:type="dxa" w:w="2880"/>
          </w:tcPr>
          <w:p>
            <w:r>
              <w:rPr>
                <w:sz w:val="20"/>
              </w:rPr>
              <w:t>SOCKS5 proxy for crawling</w:t>
            </w:r>
          </w:p>
        </w:tc>
        <w:tc>
          <w:tcPr>
            <w:tcW w:type="dxa" w:w="2880"/>
          </w:tcPr>
          <w:p>
            <w:r>
              <w:rPr>
                <w:sz w:val="20"/>
              </w:rPr>
              <w:t>No</w:t>
            </w:r>
          </w:p>
        </w:tc>
      </w:tr>
    </w:tbl>
    <w:p>
      <w:pPr>
        <w:spacing w:after="120"/>
      </w:pPr>
      <w:r>
        <w:t>* Required only to receive Telegram alerts.</w:t>
      </w:r>
    </w:p>
    <w:p>
      <w:pPr>
        <w:pStyle w:val="Heading2"/>
      </w:pPr>
      <w:r>
        <w:rPr>
          <w:color w:val="1E40AF"/>
        </w:rPr>
        <w:t>6.4 Execution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Mode</w:t>
            </w:r>
          </w:p>
        </w:tc>
        <w:tc>
          <w:tcPr>
            <w:tcW w:type="dxa" w:w="2880"/>
          </w:tcPr>
          <w:p>
            <w:r>
              <w:rPr>
                <w:b/>
                <w:sz w:val="20"/>
              </w:rPr>
              <w:t>Command</w:t>
            </w:r>
          </w:p>
        </w:tc>
        <w:tc>
          <w:tcPr>
            <w:tcW w:type="dxa" w:w="2880"/>
          </w:tcPr>
          <w:p>
            <w:r>
              <w:rPr>
                <w:b/>
                <w:sz w:val="20"/>
              </w:rPr>
              <w:t>Description</w:t>
            </w:r>
          </w:p>
        </w:tc>
      </w:tr>
      <w:tr>
        <w:tc>
          <w:tcPr>
            <w:tcW w:type="dxa" w:w="2880"/>
          </w:tcPr>
          <w:p>
            <w:r>
              <w:rPr>
                <w:sz w:val="20"/>
              </w:rPr>
              <w:t>Development</w:t>
            </w:r>
          </w:p>
        </w:tc>
        <w:tc>
          <w:tcPr>
            <w:tcW w:type="dxa" w:w="2880"/>
          </w:tcPr>
          <w:p>
            <w:r>
              <w:rPr>
                <w:sz w:val="20"/>
              </w:rPr>
              <w:t>python run.py</w:t>
            </w:r>
          </w:p>
        </w:tc>
        <w:tc>
          <w:tcPr>
            <w:tcW w:type="dxa" w:w="2880"/>
          </w:tcPr>
          <w:p>
            <w:r>
              <w:rPr>
                <w:sz w:val="20"/>
              </w:rPr>
              <w:t>Local server without scheduler</w:t>
            </w:r>
          </w:p>
        </w:tc>
      </w:tr>
      <w:tr>
        <w:tc>
          <w:tcPr>
            <w:tcW w:type="dxa" w:w="2880"/>
          </w:tcPr>
          <w:p>
            <w:r>
              <w:rPr>
                <w:sz w:val="20"/>
              </w:rPr>
              <w:t>Server</w:t>
            </w:r>
          </w:p>
        </w:tc>
        <w:tc>
          <w:tcPr>
            <w:tcW w:type="dxa" w:w="2880"/>
          </w:tcPr>
          <w:p>
            <w:r>
              <w:rPr>
                <w:sz w:val="20"/>
              </w:rPr>
              <w:t>python server/run_server.py</w:t>
            </w:r>
          </w:p>
        </w:tc>
        <w:tc>
          <w:tcPr>
            <w:tcW w:type="dxa" w:w="2880"/>
          </w:tcPr>
          <w:p>
            <w:r>
              <w:rPr>
                <w:sz w:val="20"/>
              </w:rPr>
              <w:t>Dashboard + Telegram + Auto-scan</w:t>
            </w:r>
          </w:p>
        </w:tc>
      </w:tr>
      <w:tr>
        <w:tc>
          <w:tcPr>
            <w:tcW w:type="dxa" w:w="2880"/>
          </w:tcPr>
          <w:p>
            <w:r>
              <w:rPr>
                <w:sz w:val="20"/>
              </w:rPr>
              <w:t>Desktop</w:t>
            </w:r>
          </w:p>
        </w:tc>
        <w:tc>
          <w:tcPr>
            <w:tcW w:type="dxa" w:w="2880"/>
          </w:tcPr>
          <w:p>
            <w:r>
              <w:rPr>
                <w:sz w:val="20"/>
              </w:rPr>
              <w:t>python desktop/run_desktop.py</w:t>
            </w:r>
          </w:p>
        </w:tc>
        <w:tc>
          <w:tcPr>
            <w:tcW w:type="dxa" w:w="2880"/>
          </w:tcPr>
          <w:p>
            <w:r>
              <w:rPr>
                <w:sz w:val="20"/>
              </w:rPr>
              <w:t>Standalone GUI</w:t>
            </w:r>
          </w:p>
        </w:tc>
      </w:tr>
      <w:tr>
        <w:tc>
          <w:tcPr>
            <w:tcW w:type="dxa" w:w="2880"/>
          </w:tcPr>
          <w:p>
            <w:r>
              <w:rPr>
                <w:sz w:val="20"/>
              </w:rPr>
              <w:t>Build Desktop</w:t>
            </w:r>
          </w:p>
        </w:tc>
        <w:tc>
          <w:tcPr>
            <w:tcW w:type="dxa" w:w="2880"/>
          </w:tcPr>
          <w:p>
            <w:r>
              <w:rPr>
                <w:sz w:val="20"/>
              </w:rPr>
              <w:t>python setup_desktop.py build</w:t>
            </w:r>
          </w:p>
        </w:tc>
        <w:tc>
          <w:tcPr>
            <w:tcW w:type="dxa" w:w="2880"/>
          </w:tcPr>
          <w:p>
            <w:r>
              <w:rPr>
                <w:sz w:val="20"/>
              </w:rPr>
              <w:t>Generate .exe executable</w:t>
            </w:r>
          </w:p>
        </w:tc>
      </w:tr>
    </w:tbl>
    <w:p>
      <w:pPr>
        <w:pStyle w:val="Heading2"/>
      </w:pPr>
      <w:r>
        <w:rPr>
          <w:color w:val="1E40AF"/>
        </w:rPr>
        <w:t>6.5 Service Installation (Linux)</w:t>
      </w:r>
    </w:p>
    <w:p>
      <w:pPr>
        <w:spacing w:after="120"/>
      </w:pPr>
      <w:r>
        <w:t>To keep the system running continuously on a Linux server, use the systemd service file included in the repository (server/osint-dlp.service). Edit the file to adjust paths and user according to your environment.</w:t>
      </w:r>
    </w:p>
    <w:p>
      <w:pPr>
        <w:spacing w:after="120"/>
      </w:pPr>
      <w:r>
        <w:t>Management commands:</w:t>
      </w:r>
    </w:p>
    <w:p>
      <w:pPr>
        <w:pStyle w:val="NoSpacing"/>
      </w:pPr>
      <w:r>
        <w:rPr>
          <w:rFonts w:ascii="Consolas" w:hAnsi="Consolas"/>
        </w:rPr>
        <w:t>sudo cp server/osint-dlp.service /etc/systemd/system/</w:t>
        <w:br/>
        <w:t>sudo systemctl daemon-reload</w:t>
        <w:br/>
        <w:t>sudo systemctl enable osint-dlp</w:t>
        <w:br/>
        <w:t>sudo systemctl start osint-dlp</w:t>
        <w:br/>
        <w:t>sudo systemctl status osint-dlp</w:t>
        <w:br/>
        <w:t>sudo journalctl -u osint-dlp -f</w:t>
      </w:r>
    </w:p>
    <w:p>
      <w:pPr>
        <w:pStyle w:val="Heading1"/>
      </w:pPr>
      <w:r>
        <w:rPr>
          <w:color w:val="1E40AF"/>
        </w:rPr>
        <w:t>7. REST API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Endpoint</w:t>
            </w:r>
          </w:p>
        </w:tc>
        <w:tc>
          <w:tcPr>
            <w:tcW w:type="dxa" w:w="2880"/>
          </w:tcPr>
          <w:p>
            <w:r>
              <w:rPr>
                <w:b/>
                <w:sz w:val="20"/>
              </w:rPr>
              <w:t>Description</w:t>
            </w:r>
          </w:p>
        </w:tc>
      </w:tr>
      <w:tr>
        <w:tc>
          <w:tcPr>
            <w:tcW w:type="dxa" w:w="2880"/>
          </w:tcPr>
          <w:p>
            <w:r>
              <w:rPr>
                <w:sz w:val="20"/>
              </w:rPr>
              <w:t>GET</w:t>
            </w:r>
          </w:p>
        </w:tc>
        <w:tc>
          <w:tcPr>
            <w:tcW w:type="dxa" w:w="2880"/>
          </w:tcPr>
          <w:p>
            <w:r>
              <w:rPr>
                <w:sz w:val="20"/>
              </w:rPr>
              <w:t>/</w:t>
            </w:r>
          </w:p>
        </w:tc>
        <w:tc>
          <w:tcPr>
            <w:tcW w:type="dxa" w:w="2880"/>
          </w:tcPr>
          <w:p>
            <w:r>
              <w:rPr>
                <w:sz w:val="20"/>
              </w:rPr>
              <w:t>Dashboard HTML</w:t>
            </w:r>
          </w:p>
        </w:tc>
      </w:tr>
      <w:tr>
        <w:tc>
          <w:tcPr>
            <w:tcW w:type="dxa" w:w="2880"/>
          </w:tcPr>
          <w:p>
            <w:r>
              <w:rPr>
                <w:sz w:val="20"/>
              </w:rPr>
              <w:t>GET</w:t>
            </w:r>
          </w:p>
        </w:tc>
        <w:tc>
          <w:tcPr>
            <w:tcW w:type="dxa" w:w="2880"/>
          </w:tcPr>
          <w:p>
            <w:r>
              <w:rPr>
                <w:sz w:val="20"/>
              </w:rPr>
              <w:t>/api/dashboard</w:t>
            </w:r>
          </w:p>
        </w:tc>
        <w:tc>
          <w:tcPr>
            <w:tcW w:type="dxa" w:w="2880"/>
          </w:tcPr>
          <w:p>
            <w:r>
              <w:rPr>
                <w:sz w:val="20"/>
              </w:rPr>
              <w:t>Aggregated metrics (totals, by risk, by platform)</w:t>
            </w:r>
          </w:p>
        </w:tc>
      </w:tr>
      <w:tr>
        <w:tc>
          <w:tcPr>
            <w:tcW w:type="dxa" w:w="2880"/>
          </w:tcPr>
          <w:p>
            <w:r>
              <w:rPr>
                <w:sz w:val="20"/>
              </w:rPr>
              <w:t>GET</w:t>
            </w:r>
          </w:p>
        </w:tc>
        <w:tc>
          <w:tcPr>
            <w:tcW w:type="dxa" w:w="2880"/>
          </w:tcPr>
          <w:p>
            <w:r>
              <w:rPr>
                <w:sz w:val="20"/>
              </w:rPr>
              <w:t>/api/findings</w:t>
            </w:r>
          </w:p>
        </w:tc>
        <w:tc>
          <w:tcPr>
            <w:tcW w:type="dxa" w:w="2880"/>
          </w:tcPr>
          <w:p>
            <w:r>
              <w:rPr>
                <w:sz w:val="20"/>
              </w:rPr>
              <w:t>List findings (paginated, filterable by risk/status/category/country/language)</w:t>
            </w:r>
          </w:p>
        </w:tc>
      </w:tr>
      <w:tr>
        <w:tc>
          <w:tcPr>
            <w:tcW w:type="dxa" w:w="2880"/>
          </w:tcPr>
          <w:p>
            <w:r>
              <w:rPr>
                <w:sz w:val="20"/>
              </w:rPr>
              <w:t>PATCH</w:t>
            </w:r>
          </w:p>
        </w:tc>
        <w:tc>
          <w:tcPr>
            <w:tcW w:type="dxa" w:w="2880"/>
          </w:tcPr>
          <w:p>
            <w:r>
              <w:rPr>
                <w:sz w:val="20"/>
              </w:rPr>
              <w:t>/api/findings/{id}/status</w:t>
            </w:r>
          </w:p>
        </w:tc>
        <w:tc>
          <w:tcPr>
            <w:tcW w:type="dxa" w:w="2880"/>
          </w:tcPr>
          <w:p>
            <w:r>
              <w:rPr>
                <w:sz w:val="20"/>
              </w:rPr>
              <w:t>Update finding status (investigating/resolved/false_positive)</w:t>
            </w:r>
          </w:p>
        </w:tc>
      </w:tr>
      <w:tr>
        <w:tc>
          <w:tcPr>
            <w:tcW w:type="dxa" w:w="2880"/>
          </w:tcPr>
          <w:p>
            <w:r>
              <w:rPr>
                <w:sz w:val="20"/>
              </w:rPr>
              <w:t>DELETE</w:t>
            </w:r>
          </w:p>
        </w:tc>
        <w:tc>
          <w:tcPr>
            <w:tcW w:type="dxa" w:w="2880"/>
          </w:tcPr>
          <w:p>
            <w:r>
              <w:rPr>
                <w:sz w:val="20"/>
              </w:rPr>
              <w:t>/api/findings/{id}</w:t>
            </w:r>
          </w:p>
        </w:tc>
        <w:tc>
          <w:tcPr>
            <w:tcW w:type="dxa" w:w="2880"/>
          </w:tcPr>
          <w:p>
            <w:r>
              <w:rPr>
                <w:sz w:val="20"/>
              </w:rPr>
              <w:t>Soft delete finding</w:t>
            </w:r>
          </w:p>
        </w:tc>
      </w:tr>
      <w:tr>
        <w:tc>
          <w:tcPr>
            <w:tcW w:type="dxa" w:w="2880"/>
          </w:tcPr>
          <w:p>
            <w:r>
              <w:rPr>
                <w:sz w:val="20"/>
              </w:rPr>
              <w:t>GET</w:t>
            </w:r>
          </w:p>
        </w:tc>
        <w:tc>
          <w:tcPr>
            <w:tcW w:type="dxa" w:w="2880"/>
          </w:tcPr>
          <w:p>
            <w:r>
              <w:rPr>
                <w:sz w:val="20"/>
              </w:rPr>
              <w:t>/api/scans</w:t>
            </w:r>
          </w:p>
        </w:tc>
        <w:tc>
          <w:tcPr>
            <w:tcW w:type="dxa" w:w="2880"/>
          </w:tcPr>
          <w:p>
            <w:r>
              <w:rPr>
                <w:sz w:val="20"/>
              </w:rPr>
              <w:t>Scan history</w:t>
            </w:r>
          </w:p>
        </w:tc>
      </w:tr>
      <w:tr>
        <w:tc>
          <w:tcPr>
            <w:tcW w:type="dxa" w:w="2880"/>
          </w:tcPr>
          <w:p>
            <w:r>
              <w:rPr>
                <w:sz w:val="20"/>
              </w:rPr>
              <w:t>POST</w:t>
            </w:r>
          </w:p>
        </w:tc>
        <w:tc>
          <w:tcPr>
            <w:tcW w:type="dxa" w:w="2880"/>
          </w:tcPr>
          <w:p>
            <w:r>
              <w:rPr>
                <w:sz w:val="20"/>
              </w:rPr>
              <w:t>/api/scans/trigger</w:t>
            </w:r>
          </w:p>
        </w:tc>
        <w:tc>
          <w:tcPr>
            <w:tcW w:type="dxa" w:w="2880"/>
          </w:tcPr>
          <w:p>
            <w:r>
              <w:rPr>
                <w:sz w:val="20"/>
              </w:rPr>
              <w:t>Trigger manual scan</w:t>
            </w:r>
          </w:p>
        </w:tc>
      </w:tr>
      <w:tr>
        <w:tc>
          <w:tcPr>
            <w:tcW w:type="dxa" w:w="2880"/>
          </w:tcPr>
          <w:p>
            <w:r>
              <w:rPr>
                <w:sz w:val="20"/>
              </w:rPr>
              <w:t>GET</w:t>
            </w:r>
          </w:p>
        </w:tc>
        <w:tc>
          <w:tcPr>
            <w:tcW w:type="dxa" w:w="2880"/>
          </w:tcPr>
          <w:p>
            <w:r>
              <w:rPr>
                <w:sz w:val="20"/>
              </w:rPr>
              <w:t>/api/scans/progress</w:t>
            </w:r>
          </w:p>
        </w:tc>
        <w:tc>
          <w:tcPr>
            <w:tcW w:type="dxa" w:w="2880"/>
          </w:tcPr>
          <w:p>
            <w:r>
              <w:rPr>
                <w:sz w:val="20"/>
              </w:rPr>
              <w:t>Current scan progress</w:t>
            </w:r>
          </w:p>
        </w:tc>
      </w:tr>
      <w:tr>
        <w:tc>
          <w:tcPr>
            <w:tcW w:type="dxa" w:w="2880"/>
          </w:tcPr>
          <w:p>
            <w:r>
              <w:rPr>
                <w:sz w:val="20"/>
              </w:rPr>
              <w:t>GET</w:t>
            </w:r>
          </w:p>
        </w:tc>
        <w:tc>
          <w:tcPr>
            <w:tcW w:type="dxa" w:w="2880"/>
          </w:tcPr>
          <w:p>
            <w:r>
              <w:rPr>
                <w:sz w:val="20"/>
              </w:rPr>
              <w:t>/api/stream</w:t>
            </w:r>
          </w:p>
        </w:tc>
        <w:tc>
          <w:tcPr>
            <w:tcW w:type="dxa" w:w="2880"/>
          </w:tcPr>
          <w:p>
            <w:r>
              <w:rPr>
                <w:sz w:val="20"/>
              </w:rPr>
              <w:t>Real-time SSE event stream</w:t>
            </w:r>
          </w:p>
        </w:tc>
      </w:tr>
    </w:tbl>
    <w:p>
      <w:pPr>
        <w:pStyle w:val="Heading1"/>
      </w:pPr>
      <w:r>
        <w:rPr>
          <w:color w:val="1E40AF"/>
        </w:rPr>
        <w:t>8. Web Dashboard</w:t>
      </w:r>
    </w:p>
    <w:p>
      <w:pPr>
        <w:spacing w:after="120"/>
      </w:pPr>
      <w:r>
        <w:t>The web dashboard features a modern interface with dark mode theme, following cybersecurity tool design patterns (glassmorphism, neon colors, gradients).</w:t>
      </w:r>
    </w:p>
    <w:p>
      <w:pPr>
        <w:spacing w:after="120"/>
      </w:pPr>
      <w:r>
        <w:t>Dashboard sections:</w:t>
      </w:r>
    </w:p>
    <w:p>
      <w:pPr>
        <w:pStyle w:val="ListBullet"/>
      </w:pPr>
      <w:r>
        <w:t>Header: System status (Idle/Scanning), manual scan button</w:t>
      </w:r>
    </w:p>
    <w:p>
      <w:pPr>
        <w:pStyle w:val="ListBullet"/>
      </w:pPr>
      <w:r>
        <w:t>Metrics: Cards with risk-level counters</w:t>
      </w:r>
    </w:p>
    <w:p>
      <w:pPr>
        <w:pStyle w:val="ListBullet"/>
      </w:pPr>
      <w:r>
        <w:t>Charts: Risk distribution (doughnut) and leak sources (horizontal bars)</w:t>
      </w:r>
    </w:p>
    <w:p>
      <w:pPr>
        <w:pStyle w:val="ListBullet"/>
      </w:pPr>
      <w:r>
        <w:t>Triage Table: Filterable finding list with risk, date, country, entity, source, type, author, CPFs, CNPJs, category, and status columns</w:t>
      </w:r>
    </w:p>
    <w:p>
      <w:pPr>
        <w:pStyle w:val="ListBullet"/>
      </w:pPr>
      <w:r>
        <w:t>Detail Panel: Slide-in panel with complete finding information</w:t>
      </w:r>
    </w:p>
    <w:p>
      <w:pPr>
        <w:pStyle w:val="ListBullet"/>
      </w:pPr>
      <w:r>
        <w:t>Actions: Buttons to classify each finding as Investigating, False Positive, Resolved, or Notified</w:t>
      </w:r>
    </w:p>
    <w:p>
      <w:pPr>
        <w:pStyle w:val="Heading1"/>
      </w:pPr>
      <w:r>
        <w:rPr>
          <w:color w:val="1E40AF"/>
        </w:rPr>
        <w:t>9. Security and Privacy</w:t>
      </w:r>
    </w:p>
    <w:p>
      <w:pPr>
        <w:pStyle w:val="ListBullet"/>
      </w:pPr>
      <w:r>
        <w:t>In-memory download (zero disk): Documents are downloaded into BytesIO and processed without touching the filesystem</w:t>
      </w:r>
    </w:p>
    <w:p>
      <w:pPr>
        <w:pStyle w:val="ListBullet"/>
      </w:pPr>
      <w:r>
        <w:t>PII Masking: CPFs, CNPJs, and emails in snippets are masked before display (e.g., ***.456.789-**)</w:t>
      </w:r>
    </w:p>
    <w:p>
      <w:pPr>
        <w:pStyle w:val="ListBullet"/>
      </w:pPr>
      <w:r>
        <w:t>Excluded domains: Official group sites (timacagro.com.br, phosphea.com, roullier.com) are automatically excluded from scanning</w:t>
      </w:r>
    </w:p>
    <w:p>
      <w:pPr>
        <w:pStyle w:val="ListBullet"/>
      </w:pPr>
      <w:r>
        <w:t>Soft Delete: Data is never physically removed from the database, only marked as inactive</w:t>
      </w:r>
    </w:p>
    <w:p>
      <w:pPr>
        <w:pStyle w:val="ListBullet"/>
      </w:pPr>
      <w:r>
        <w:t>.env file: Sensitive credentials are kept out of the repository via .gitignore</w:t>
      </w:r>
    </w:p>
    <w:p>
      <w:pPr>
        <w:pStyle w:val="ListBullet"/>
      </w:pPr>
      <w:r>
        <w:t>Evasion delays: Randomized intervals between requests to avoid rate-limiting blocks</w:t>
      </w:r>
    </w:p>
    <w:p>
      <w:pPr>
        <w:pStyle w:val="Heading1"/>
      </w:pPr>
      <w:r>
        <w:rPr>
          <w:color w:val="1E40AF"/>
        </w:rPr>
        <w:t>10. Maintenance and Data Ingestion</w:t>
      </w:r>
    </w:p>
    <w:p>
      <w:pPr>
        <w:spacing w:after="120"/>
      </w:pPr>
      <w:r>
        <w:t>To update the monitored entity base, use the ingestion script (tools/ingest_anexos.py). Place the registration PDFs in the anexos/ folder at the project root and run:</w:t>
      </w:r>
    </w:p>
    <w:p>
      <w:pPr>
        <w:pStyle w:val="NoSpacing"/>
      </w:pPr>
      <w:r>
        <w:rPr>
          <w:rFonts w:ascii="Consolas" w:hAnsi="Consolas"/>
        </w:rPr>
        <w:t>python tools/ingest_anexos.py</w:t>
      </w:r>
    </w:p>
    <w:p>
      <w:pPr>
        <w:spacing w:after="120"/>
      </w:pPr>
      <w:r>
        <w:t>The script automatically extracts company names, CNPJs, CPFs, partners, administrators, branches, suppliers, and banking references from the documents, generating the data/entities.json file. PDFs are deleted after processing.</w:t>
      </w:r>
    </w:p>
    <w:p>
      <w:pPr>
        <w:jc w:val="center"/>
      </w:pPr>
      <w:r>
        <w:rPr>
          <w:color w:val="94A3B8"/>
          <w:sz w:val="18"/>
        </w:rPr>
        <w:br/>
        <w:br/>
        <w:t>— Confidential Document — Roullier Group Security Team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