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jc w:val="center"/>
      </w:pPr>
      <w:r>
        <w:rPr>
          <w:b/>
          <w:color w:val="06D6A0"/>
          <w:sz w:val="28"/>
        </w:rPr>
        <w:t>_______________________________________________</w:t>
      </w:r>
    </w:p>
    <w:p>
      <w:pPr>
        <w:spacing w:before="400"/>
        <w:jc w:val="center"/>
      </w:pPr>
      <w:r>
        <w:rPr>
          <w:b/>
          <w:color w:val="1E40AF"/>
          <w:sz w:val="72"/>
        </w:rPr>
        <w:t>OSINT &amp; DLP</w:t>
      </w:r>
    </w:p>
    <w:p>
      <w:pPr>
        <w:spacing w:before="80"/>
        <w:jc w:val="center"/>
      </w:pPr>
      <w:r>
        <w:rPr>
          <w:rFonts w:ascii="Calibri Light" w:hAnsi="Calibri Light"/>
          <w:color w:val="06D6A0"/>
          <w:sz w:val="40"/>
        </w:rPr>
        <w:t>SYSTEM</w:t>
      </w:r>
    </w:p>
    <w:p>
      <w:pPr>
        <w:spacing w:before="160"/>
        <w:jc w:val="center"/>
      </w:pPr>
      <w:r>
        <w:rPr>
          <w:b/>
          <w:color w:val="06D6A0"/>
          <w:sz w:val="28"/>
        </w:rPr>
        <w:t>_______________________________________________</w:t>
      </w:r>
    </w:p>
    <w:p>
      <w:pPr>
        <w:spacing w:after="0"/>
      </w:pPr>
    </w:p>
    <w:p>
      <w:pPr>
        <w:spacing w:after="0"/>
      </w:pPr>
    </w:p>
    <w:p>
      <w:pPr>
        <w:jc w:val="center"/>
      </w:pPr>
      <w:r>
        <w:rPr>
          <w:color w:val="475569"/>
          <w:sz w:val="32"/>
        </w:rPr>
        <w:t>Roullier Group — Complete Technical Documentation</w:t>
      </w:r>
    </w:p>
    <w:p>
      <w:pPr>
        <w:spacing w:before="240"/>
        <w:jc w:val="center"/>
      </w:pPr>
      <w:r>
        <w:rPr>
          <w:color w:val="94A3B8"/>
          <w:sz w:val="22"/>
        </w:rPr>
        <w:t>Version 2.1  |  Confidential — Internal Use Only</w:t>
      </w:r>
    </w:p>
    <w:p>
      <w:pPr>
        <w:spacing w:after="0"/>
      </w:pPr>
    </w:p>
    <w:p>
      <w:pPr>
        <w:spacing w:after="0"/>
      </w:pPr>
    </w:p>
    <w:p>
      <w:pPr>
        <w:spacing w:after="0"/>
      </w:pPr>
    </w:p>
    <w:p>
      <w:pPr>
        <w:spacing w:after="0"/>
      </w:pPr>
    </w:p>
    <w:p>
      <w:pPr>
        <w:spacing w:after="0"/>
      </w:pPr>
    </w:p>
    <w:p>
      <w:pPr>
        <w:spacing w:after="0"/>
      </w:pPr>
    </w:p>
    <w:p>
      <w:pPr>
        <w:jc w:val="center"/>
      </w:pPr>
      <w:r>
        <w:rPr>
          <w:i/>
          <w:color w:val="94A3B8"/>
          <w:sz w:val="18"/>
        </w:rPr>
        <w:t>Roullier Group Security Team  ·  2026</w:t>
      </w:r>
    </w:p>
    <w:p>
      <w:r>
        <w:br w:type="page"/>
      </w:r>
    </w:p>
    <w:p>
      <w:pPr>
        <w:pStyle w:val="Heading1"/>
        <w:spacing w:before="480" w:after="160"/>
      </w:pPr>
      <w:r>
        <w:rPr>
          <w:color w:val="1E40AF"/>
          <w:sz w:val="36"/>
        </w:rPr>
        <w:t>Table of Contents</w:t>
      </w:r>
    </w:p>
    <w:p>
      <w:pPr>
        <w:spacing w:before="0" w:after="240"/>
      </w:pPr>
      <w:r>
        <w:br/>
      </w:r>
    </w:p>
    <w:p>
      <w:pPr>
        <w:spacing w:after="80"/>
        <w:ind w:left="567"/>
      </w:pPr>
      <w:r>
        <w:rPr>
          <w:color w:val="1F2937"/>
          <w:sz w:val="22"/>
        </w:rPr>
        <w:t>01   What is the OSINT &amp; DLP System</w:t>
      </w:r>
    </w:p>
    <w:p>
      <w:pPr>
        <w:spacing w:after="80"/>
        <w:ind w:left="567"/>
      </w:pPr>
      <w:r>
        <w:rPr>
          <w:color w:val="475569"/>
          <w:sz w:val="22"/>
        </w:rPr>
        <w:t>02   Glossary of Terms</w:t>
      </w:r>
    </w:p>
    <w:p>
      <w:pPr>
        <w:spacing w:after="80"/>
        <w:ind w:left="567"/>
      </w:pPr>
      <w:r>
        <w:rPr>
          <w:color w:val="1F2937"/>
          <w:sz w:val="22"/>
        </w:rPr>
        <w:t>03   Architecture and Components</w:t>
      </w:r>
    </w:p>
    <w:p>
      <w:pPr>
        <w:spacing w:after="80"/>
        <w:ind w:left="567"/>
      </w:pPr>
      <w:r>
        <w:rPr>
          <w:color w:val="475569"/>
          <w:sz w:val="22"/>
        </w:rPr>
        <w:t>04   Detailed Operation Flow</w:t>
      </w:r>
    </w:p>
    <w:p>
      <w:pPr>
        <w:spacing w:after="80"/>
        <w:ind w:left="567"/>
      </w:pPr>
      <w:r>
        <w:rPr>
          <w:color w:val="1F2937"/>
          <w:sz w:val="22"/>
        </w:rPr>
        <w:t>05   Intelligence Matrix</w:t>
      </w:r>
    </w:p>
    <w:p>
      <w:pPr>
        <w:spacing w:after="80"/>
        <w:ind w:left="567"/>
      </w:pPr>
      <w:r>
        <w:rPr>
          <w:color w:val="475569"/>
          <w:sz w:val="22"/>
        </w:rPr>
        <w:t>06   Detection, Classification and Categorization</w:t>
      </w:r>
    </w:p>
    <w:p>
      <w:pPr>
        <w:spacing w:after="80"/>
        <w:ind w:left="567"/>
      </w:pPr>
      <w:r>
        <w:rPr>
          <w:color w:val="1F2937"/>
          <w:sz w:val="22"/>
        </w:rPr>
        <w:t>07   Operation Modes</w:t>
      </w:r>
    </w:p>
    <w:p>
      <w:pPr>
        <w:spacing w:after="80"/>
        <w:ind w:left="567"/>
      </w:pPr>
      <w:r>
        <w:rPr>
          <w:color w:val="475569"/>
          <w:sz w:val="22"/>
        </w:rPr>
        <w:t>08   Step-by-Step Installation</w:t>
      </w:r>
    </w:p>
    <w:p>
      <w:pPr>
        <w:spacing w:after="80"/>
        <w:ind w:left="567"/>
      </w:pPr>
      <w:r>
        <w:rPr>
          <w:color w:val="1F2937"/>
          <w:sz w:val="22"/>
        </w:rPr>
        <w:t>09   Environment Variables Configuration</w:t>
      </w:r>
    </w:p>
    <w:p>
      <w:pPr>
        <w:spacing w:after="80"/>
        <w:ind w:left="567"/>
      </w:pPr>
      <w:r>
        <w:rPr>
          <w:color w:val="475569"/>
          <w:sz w:val="22"/>
        </w:rPr>
        <w:t>10   Execution and Commands</w:t>
      </w:r>
    </w:p>
    <w:p>
      <w:pPr>
        <w:spacing w:after="80"/>
        <w:ind w:left="567"/>
      </w:pPr>
      <w:r>
        <w:rPr>
          <w:color w:val="1F2937"/>
          <w:sz w:val="22"/>
        </w:rPr>
        <w:t>11   Web Dashboard — Visual Guide</w:t>
      </w:r>
    </w:p>
    <w:p>
      <w:pPr>
        <w:spacing w:after="80"/>
        <w:ind w:left="567"/>
      </w:pPr>
      <w:r>
        <w:rPr>
          <w:color w:val="475569"/>
          <w:sz w:val="22"/>
        </w:rPr>
        <w:t>12   Telegram Alerts</w:t>
      </w:r>
    </w:p>
    <w:p>
      <w:pPr>
        <w:spacing w:after="80"/>
        <w:ind w:left="567"/>
      </w:pPr>
      <w:r>
        <w:rPr>
          <w:color w:val="1F2937"/>
          <w:sz w:val="22"/>
        </w:rPr>
        <w:t>13   REST API — Complete Reference</w:t>
      </w:r>
    </w:p>
    <w:p>
      <w:pPr>
        <w:spacing w:after="80"/>
        <w:ind w:left="567"/>
      </w:pPr>
      <w:r>
        <w:rPr>
          <w:color w:val="475569"/>
          <w:sz w:val="22"/>
        </w:rPr>
        <w:t>14   Security and Privacy</w:t>
      </w:r>
    </w:p>
    <w:p>
      <w:pPr>
        <w:spacing w:after="80"/>
        <w:ind w:left="567"/>
      </w:pPr>
      <w:r>
        <w:rPr>
          <w:color w:val="1F2937"/>
          <w:sz w:val="22"/>
        </w:rPr>
        <w:t>15   Maintenance and Data Ingestion</w:t>
      </w:r>
    </w:p>
    <w:p>
      <w:r>
        <w:br w:type="page"/>
      </w:r>
    </w:p>
    <w:p>
      <w:pPr>
        <w:pStyle w:val="Heading1"/>
        <w:spacing w:before="480" w:after="160"/>
      </w:pPr>
      <w:r>
        <w:rPr>
          <w:color w:val="1E40AF"/>
          <w:sz w:val="36"/>
        </w:rPr>
        <w:t>01. What is the OSINT &amp; DLP System</w:t>
      </w:r>
    </w:p>
    <w:p>
      <w:pPr>
        <w:spacing w:before="0" w:after="240"/>
      </w:pPr>
      <w:r>
        <w:br/>
      </w:r>
    </w:p>
    <w:p>
      <w:pPr>
        <w:spacing w:after="120" w:line="320" w:lineRule="exact"/>
      </w:pPr>
      <w:r>
        <w:rPr>
          <w:b w:val="0"/>
          <w:i w:val="0"/>
          <w:color w:val="1F2937"/>
          <w:sz w:val="22"/>
        </w:rPr>
        <w:t>The system name is composed of two widely recognized acronyms in information security:</w:t>
      </w:r>
    </w:p>
    <w:p>
      <w:pPr>
        <w:pStyle w:val="ListBullet"/>
        <w:spacing w:after="60"/>
        <w:ind w:left="850"/>
      </w:pPr>
      <w:r>
        <w:rPr>
          <w:color w:val="1F2937"/>
          <w:sz w:val="22"/>
        </w:rPr>
        <w:t>OSINT (Open Source Intelligence) — The practice of collecting and analyzing publicly available information from the internet.</w:t>
      </w:r>
    </w:p>
    <w:p>
      <w:pPr>
        <w:pStyle w:val="ListBullet"/>
        <w:spacing w:after="60"/>
        <w:ind w:left="850"/>
      </w:pPr>
      <w:r>
        <w:rPr>
          <w:color w:val="1F2937"/>
          <w:sz w:val="22"/>
        </w:rPr>
        <w:t>DLP (Data Leak Prevention) — A set of techniques to detect and prevent unauthorized exposure of sensitive information.</w:t>
      </w:r>
    </w:p>
    <w:p>
      <w:pPr>
        <w:spacing w:after="120" w:line="320" w:lineRule="exact"/>
      </w:pPr>
      <w:r>
        <w:rPr>
          <w:b w:val="0"/>
          <w:i w:val="0"/>
          <w:color w:val="1F2937"/>
          <w:sz w:val="22"/>
        </w:rPr>
        <w:t>Combined, the OSINT &amp; DLP System is an automated platform that continuously scans the public internet for documents, spreadsheets, and files that may contain confidential information from the Roullier Group. The system monitors the three main group companies in Brazil:</w:t>
      </w:r>
    </w:p>
    <w:p>
      <w:pPr>
        <w:pStyle w:val="ListBullet"/>
        <w:spacing w:after="60"/>
        <w:ind w:left="850"/>
      </w:pPr>
      <w:r>
        <w:rPr>
          <w:color w:val="1F2937"/>
          <w:sz w:val="22"/>
        </w:rPr>
        <w:t>Timac Agro Brasil — Fertilizer Industry and Commerce</w:t>
      </w:r>
    </w:p>
    <w:p>
      <w:pPr>
        <w:pStyle w:val="ListBullet"/>
        <w:spacing w:after="60"/>
        <w:ind w:left="850"/>
      </w:pPr>
      <w:r>
        <w:rPr>
          <w:color w:val="1F2937"/>
          <w:sz w:val="22"/>
        </w:rPr>
        <w:t>Sulfabrás Sulfatos do Brasil — Sulfate and Chemical Manufacturing</w:t>
      </w:r>
    </w:p>
    <w:p>
      <w:pPr>
        <w:pStyle w:val="ListBullet"/>
        <w:spacing w:after="60"/>
        <w:ind w:left="850"/>
      </w:pPr>
      <w:r>
        <w:rPr>
          <w:color w:val="1F2937"/>
          <w:sz w:val="22"/>
        </w:rPr>
        <w:t>Phosphea Brasil — Phosphate Commerce</w:t>
      </w:r>
    </w:p>
    <w:p>
      <w:pPr>
        <w:spacing w:after="120" w:line="320" w:lineRule="exact"/>
      </w:pPr>
      <w:r>
        <w:rPr>
          <w:b w:val="0"/>
          <w:i w:val="0"/>
          <w:color w:val="1F2937"/>
          <w:sz w:val="22"/>
        </w:rPr>
        <w:t>When the system finds a suspicious document, it downloads it directly into server memory (no disk writes), extracts the text, analyzes it with regular expressions, classifies the risk level, and notifies the security team. All of this fully automated, running 24/7.</w:t>
      </w:r>
    </w:p>
    <w:p>
      <w:pPr>
        <w:pStyle w:val="Heading1"/>
        <w:spacing w:before="480" w:after="160"/>
      </w:pPr>
      <w:r>
        <w:rPr>
          <w:color w:val="1E40AF"/>
          <w:sz w:val="36"/>
        </w:rPr>
        <w:t>02. Glossary of Terms</w:t>
      </w:r>
    </w:p>
    <w:p>
      <w:pPr>
        <w:spacing w:before="0" w:after="240"/>
      </w:pPr>
      <w:r>
        <w:br/>
      </w:r>
    </w:p>
    <w:tbl>
      <w:tblPr>
        <w:tblW w:type="auto" w:w="0"/>
        <w:jc w:val="center"/>
        <w:tblLook w:firstColumn="1" w:firstRow="1" w:lastColumn="0" w:lastRow="0" w:noHBand="0" w:noVBand="1" w:val="04A0"/>
      </w:tblPr>
      <w:tblGrid>
        <w:gridCol w:w="4703"/>
        <w:gridCol w:w="4703"/>
      </w:tblGrid>
      <w:tr>
        <w:tc>
          <w:tcPr>
            <w:tcW w:type="dxa" w:w="2268"/>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Term</w:t>
            </w:r>
          </w:p>
        </w:tc>
        <w:tc>
          <w:tcPr>
            <w:tcW w:type="dxa" w:w="7370"/>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Meaning</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Dork</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Advanced search query (Google Dork) using special operators to find specific results</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Finding</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 scan result — a document or web page containing detected sensitive data</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Scan</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A complete scan execution: dork generation → search → download → inspection → classification</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Score</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Numeric score (1-100) assigned to each finding indicating risk severity</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Snippet</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Masked text excerpt where sensitive data was found</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Triage</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Process of analyzing and classifying each finding as legitimate, false positive, or resolved</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Intelligence Matrix</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Knowledge base with all monitored entities, CNPJs, CPFs, and terms</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Crawler</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Automated search engine that executes queries and collects URLs</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Inspector</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Module that downloads, extracts text, inspects, and classifies documents</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Soft Delete</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Deletion method that marks records as inactive without physically removing them</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SSE</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Server-Sent Events — technology for sending real-time notifications from server to browser</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TLD</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Top-Level Domain — domain suffix (.com.br, .pt, .fr) used to detect country of origin</w:t>
            </w:r>
          </w:p>
        </w:tc>
      </w:tr>
    </w:tbl>
    <w:p>
      <w:pPr>
        <w:spacing w:after="160"/>
      </w:pPr>
    </w:p>
    <w:p>
      <w:pPr>
        <w:pStyle w:val="Heading1"/>
        <w:spacing w:before="480" w:after="160"/>
      </w:pPr>
      <w:r>
        <w:rPr>
          <w:color w:val="1E40AF"/>
          <w:sz w:val="36"/>
        </w:rPr>
        <w:t>03. Architecture and Components</w:t>
      </w:r>
    </w:p>
    <w:p>
      <w:pPr>
        <w:spacing w:before="0" w:after="240"/>
      </w:pPr>
      <w:r>
        <w:br/>
      </w:r>
    </w:p>
    <w:p>
      <w:pPr>
        <w:spacing w:after="120" w:line="320" w:lineRule="exact"/>
      </w:pPr>
      <w:r>
        <w:rPr>
          <w:b w:val="0"/>
          <w:i w:val="0"/>
          <w:color w:val="1F2937"/>
          <w:sz w:val="22"/>
        </w:rPr>
        <w:t>The system is built with Python 3.10+ and follows a modular architecture in independent layers. Two operation modes (Server and Desktop) share the same core logic, ensuring identical results.</w:t>
      </w:r>
    </w:p>
    <w:p>
      <w:pPr>
        <w:pStyle w:val="Heading2"/>
        <w:spacing w:before="320" w:after="120"/>
      </w:pPr>
      <w:r>
        <w:rPr>
          <w:color w:val="1E40AF"/>
          <w:sz w:val="28"/>
        </w:rPr>
        <w:t>3.1 Component Map</w:t>
      </w:r>
    </w:p>
    <w:tbl>
      <w:tblPr>
        <w:tblW w:type="auto" w:w="0"/>
        <w:jc w:val="center"/>
        <w:tblLook w:firstColumn="1" w:firstRow="1" w:lastColumn="0" w:lastRow="0" w:noHBand="0" w:noVBand="1" w:val="04A0"/>
      </w:tblPr>
      <w:tblGrid>
        <w:gridCol w:w="2351"/>
        <w:gridCol w:w="2351"/>
        <w:gridCol w:w="2351"/>
        <w:gridCol w:w="2351"/>
      </w:tblGrid>
      <w:tr>
        <w:tc>
          <w:tcPr>
            <w:tcW w:type="dxa" w:w="1701"/>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Module</w:t>
            </w:r>
          </w:p>
        </w:tc>
        <w:tc>
          <w:tcPr>
            <w:tcW w:type="dxa" w:w="1417"/>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Folder</w:t>
            </w:r>
          </w:p>
        </w:tc>
        <w:tc>
          <w:tcPr>
            <w:tcW w:type="dxa" w:w="3685"/>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Function</w:t>
            </w:r>
          </w:p>
        </w:tc>
        <w:tc>
          <w:tcPr>
            <w:tcW w:type="dxa" w:w="2835"/>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Technology</w:t>
            </w:r>
          </w:p>
        </w:tc>
      </w:tr>
      <w:tr>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Configuration</w:t>
            </w:r>
          </w:p>
        </w:tc>
        <w:tc>
          <w:tcPr>
            <w:tcW w:type="dxa" w:w="1417"/>
            <w:vAlign w:val="center"/>
            <w:tcBorders>
              <w:top w:val="single" w:sz="4" w:space="0" w:color="CBD5E1"/>
              <w:bottom w:val="single" w:sz="4" w:space="0" w:color="CBD5E1"/>
              <w:left w:val="single" w:sz="4" w:space="0" w:color="CBD5E1"/>
              <w:right w:val="single" w:sz="4" w:space="0" w:color="CBD5E1"/>
            </w:tcBorders>
          </w:tcPr>
          <w:p>
            <w:r/>
            <w:r>
              <w:rPr>
                <w:color w:val="1F2937"/>
                <w:sz w:val="19"/>
              </w:rPr>
              <w:t>config/</w:t>
            </w:r>
          </w:p>
        </w:tc>
        <w:tc>
          <w:tcPr>
            <w:tcW w:type="dxa" w:w="3685"/>
            <w:vAlign w:val="center"/>
            <w:tcBorders>
              <w:top w:val="single" w:sz="4" w:space="0" w:color="CBD5E1"/>
              <w:bottom w:val="single" w:sz="4" w:space="0" w:color="CBD5E1"/>
              <w:left w:val="single" w:sz="4" w:space="0" w:color="CBD5E1"/>
              <w:right w:val="single" w:sz="4" w:space="0" w:color="CBD5E1"/>
            </w:tcBorders>
          </w:tcPr>
          <w:p>
            <w:r/>
            <w:r>
              <w:rPr>
                <w:color w:val="1F2937"/>
                <w:sz w:val="19"/>
              </w:rPr>
              <w:t>Global settings and Intelligence Matrix</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Pydantic Settings</w:t>
            </w:r>
          </w:p>
        </w:tc>
      </w:tr>
      <w:tr>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Core</w:t>
            </w:r>
          </w:p>
        </w:tc>
        <w:tc>
          <w:tcPr>
            <w:tcW w:type="dxa" w:w="1417"/>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core/</w:t>
            </w:r>
          </w:p>
        </w:tc>
        <w:tc>
          <w:tcPr>
            <w:tcW w:type="dxa" w:w="368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Data models and database engine</w:t>
            </w:r>
          </w:p>
        </w:tc>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SQLAlchemy Async + aiosqlite</w:t>
            </w:r>
          </w:p>
        </w:tc>
      </w:tr>
      <w:tr>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Crawler</w:t>
            </w:r>
          </w:p>
        </w:tc>
        <w:tc>
          <w:tcPr>
            <w:tcW w:type="dxa" w:w="1417"/>
            <w:vAlign w:val="center"/>
            <w:tcBorders>
              <w:top w:val="single" w:sz="4" w:space="0" w:color="CBD5E1"/>
              <w:bottom w:val="single" w:sz="4" w:space="0" w:color="CBD5E1"/>
              <w:left w:val="single" w:sz="4" w:space="0" w:color="CBD5E1"/>
              <w:right w:val="single" w:sz="4" w:space="0" w:color="CBD5E1"/>
            </w:tcBorders>
          </w:tcPr>
          <w:p>
            <w:r/>
            <w:r>
              <w:rPr>
                <w:color w:val="1F2937"/>
                <w:sz w:val="19"/>
              </w:rPr>
              <w:t>crawler/</w:t>
            </w:r>
          </w:p>
        </w:tc>
        <w:tc>
          <w:tcPr>
            <w:tcW w:type="dxa" w:w="3685"/>
            <w:vAlign w:val="center"/>
            <w:tcBorders>
              <w:top w:val="single" w:sz="4" w:space="0" w:color="CBD5E1"/>
              <w:bottom w:val="single" w:sz="4" w:space="0" w:color="CBD5E1"/>
              <w:left w:val="single" w:sz="4" w:space="0" w:color="CBD5E1"/>
              <w:right w:val="single" w:sz="4" w:space="0" w:color="CBD5E1"/>
            </w:tcBorders>
          </w:tcPr>
          <w:p>
            <w:r/>
            <w:r>
              <w:rPr>
                <w:color w:val="1F2937"/>
                <w:sz w:val="19"/>
              </w:rPr>
              <w:t>Dork generation and search engine</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DuckDuckGo Search (ddgs)</w:t>
            </w:r>
          </w:p>
        </w:tc>
      </w:tr>
      <w:tr>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Inspector</w:t>
            </w:r>
          </w:p>
        </w:tc>
        <w:tc>
          <w:tcPr>
            <w:tcW w:type="dxa" w:w="1417"/>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inspector/</w:t>
            </w:r>
          </w:p>
        </w:tc>
        <w:tc>
          <w:tcPr>
            <w:tcW w:type="dxa" w:w="368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Download, text extraction, regex, risk</w:t>
            </w:r>
          </w:p>
        </w:tc>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httpx, PyMuPDF, python-docx, openpyxl</w:t>
            </w:r>
          </w:p>
        </w:tc>
      </w:tr>
      <w:tr>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Alerts</w:t>
            </w:r>
          </w:p>
        </w:tc>
        <w:tc>
          <w:tcPr>
            <w:tcW w:type="dxa" w:w="1417"/>
            <w:vAlign w:val="center"/>
            <w:tcBorders>
              <w:top w:val="single" w:sz="4" w:space="0" w:color="CBD5E1"/>
              <w:bottom w:val="single" w:sz="4" w:space="0" w:color="CBD5E1"/>
              <w:left w:val="single" w:sz="4" w:space="0" w:color="CBD5E1"/>
              <w:right w:val="single" w:sz="4" w:space="0" w:color="CBD5E1"/>
            </w:tcBorders>
          </w:tcPr>
          <w:p>
            <w:r/>
            <w:r>
              <w:rPr>
                <w:color w:val="1F2937"/>
                <w:sz w:val="19"/>
              </w:rPr>
              <w:t>alerts/</w:t>
            </w:r>
          </w:p>
        </w:tc>
        <w:tc>
          <w:tcPr>
            <w:tcW w:type="dxa" w:w="3685"/>
            <w:vAlign w:val="center"/>
            <w:tcBorders>
              <w:top w:val="single" w:sz="4" w:space="0" w:color="CBD5E1"/>
              <w:bottom w:val="single" w:sz="4" w:space="0" w:color="CBD5E1"/>
              <w:left w:val="single" w:sz="4" w:space="0" w:color="CBD5E1"/>
              <w:right w:val="single" w:sz="4" w:space="0" w:color="CBD5E1"/>
            </w:tcBorders>
          </w:tcPr>
          <w:p>
            <w:r/>
            <w:r>
              <w:rPr>
                <w:color w:val="1F2937"/>
                <w:sz w:val="19"/>
              </w:rPr>
              <w:t>Telegram notifications</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httpx</w:t>
            </w:r>
          </w:p>
        </w:tc>
      </w:tr>
      <w:tr>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API</w:t>
            </w:r>
          </w:p>
        </w:tc>
        <w:tc>
          <w:tcPr>
            <w:tcW w:type="dxa" w:w="1417"/>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api/</w:t>
            </w:r>
          </w:p>
        </w:tc>
        <w:tc>
          <w:tcPr>
            <w:tcW w:type="dxa" w:w="368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Web dashboard and REST API</w:t>
            </w:r>
          </w:p>
        </w:tc>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FastAPI + Jinja2 + Chart.js</w:t>
            </w:r>
          </w:p>
        </w:tc>
      </w:tr>
      <w:tr>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Server</w:t>
            </w:r>
          </w:p>
        </w:tc>
        <w:tc>
          <w:tcPr>
            <w:tcW w:type="dxa" w:w="1417"/>
            <w:vAlign w:val="center"/>
            <w:tcBorders>
              <w:top w:val="single" w:sz="4" w:space="0" w:color="CBD5E1"/>
              <w:bottom w:val="single" w:sz="4" w:space="0" w:color="CBD5E1"/>
              <w:left w:val="single" w:sz="4" w:space="0" w:color="CBD5E1"/>
              <w:right w:val="single" w:sz="4" w:space="0" w:color="CBD5E1"/>
            </w:tcBorders>
          </w:tcPr>
          <w:p>
            <w:r/>
            <w:r>
              <w:rPr>
                <w:color w:val="1F2937"/>
                <w:sz w:val="19"/>
              </w:rPr>
              <w:t>server/</w:t>
            </w:r>
          </w:p>
        </w:tc>
        <w:tc>
          <w:tcPr>
            <w:tcW w:type="dxa" w:w="3685"/>
            <w:vAlign w:val="center"/>
            <w:tcBorders>
              <w:top w:val="single" w:sz="4" w:space="0" w:color="CBD5E1"/>
              <w:bottom w:val="single" w:sz="4" w:space="0" w:color="CBD5E1"/>
              <w:left w:val="single" w:sz="4" w:space="0" w:color="CBD5E1"/>
              <w:right w:val="single" w:sz="4" w:space="0" w:color="CBD5E1"/>
            </w:tcBorders>
          </w:tcPr>
          <w:p>
            <w:r/>
            <w:r>
              <w:rPr>
                <w:color w:val="1F2937"/>
                <w:sz w:val="19"/>
              </w:rPr>
              <w:t>Server mode entry point</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Uvicorn + APScheduler</w:t>
            </w:r>
          </w:p>
        </w:tc>
      </w:tr>
      <w:tr>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Desktop</w:t>
            </w:r>
          </w:p>
        </w:tc>
        <w:tc>
          <w:tcPr>
            <w:tcW w:type="dxa" w:w="1417"/>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desktop/</w:t>
            </w:r>
          </w:p>
        </w:tc>
        <w:tc>
          <w:tcPr>
            <w:tcW w:type="dxa" w:w="368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Standalone GUI interface</w:t>
            </w:r>
          </w:p>
        </w:tc>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Tkinter</w:t>
            </w:r>
          </w:p>
        </w:tc>
      </w:tr>
      <w:tr>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Tools</w:t>
            </w:r>
          </w:p>
        </w:tc>
        <w:tc>
          <w:tcPr>
            <w:tcW w:type="dxa" w:w="1417"/>
            <w:vAlign w:val="center"/>
            <w:tcBorders>
              <w:top w:val="single" w:sz="4" w:space="0" w:color="CBD5E1"/>
              <w:bottom w:val="single" w:sz="4" w:space="0" w:color="CBD5E1"/>
              <w:left w:val="single" w:sz="4" w:space="0" w:color="CBD5E1"/>
              <w:right w:val="single" w:sz="4" w:space="0" w:color="CBD5E1"/>
            </w:tcBorders>
          </w:tcPr>
          <w:p>
            <w:r/>
            <w:r>
              <w:rPr>
                <w:color w:val="1F2937"/>
                <w:sz w:val="19"/>
              </w:rPr>
              <w:t>tools/</w:t>
            </w:r>
          </w:p>
        </w:tc>
        <w:tc>
          <w:tcPr>
            <w:tcW w:type="dxa" w:w="3685"/>
            <w:vAlign w:val="center"/>
            <w:tcBorders>
              <w:top w:val="single" w:sz="4" w:space="0" w:color="CBD5E1"/>
              <w:bottom w:val="single" w:sz="4" w:space="0" w:color="CBD5E1"/>
              <w:left w:val="single" w:sz="4" w:space="0" w:color="CBD5E1"/>
              <w:right w:val="single" w:sz="4" w:space="0" w:color="CBD5E1"/>
            </w:tcBorders>
          </w:tcPr>
          <w:p>
            <w:r/>
            <w:r>
              <w:rPr>
                <w:color w:val="1F2937"/>
                <w:sz w:val="19"/>
              </w:rPr>
              <w:t>Utility scripts (ingestion, documentation)</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Python stdlib</w:t>
            </w:r>
          </w:p>
        </w:tc>
      </w:tr>
      <w:tr>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Data</w:t>
            </w:r>
          </w:p>
        </w:tc>
        <w:tc>
          <w:tcPr>
            <w:tcW w:type="dxa" w:w="1417"/>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data/</w:t>
            </w:r>
          </w:p>
        </w:tc>
        <w:tc>
          <w:tcPr>
            <w:tcW w:type="dxa" w:w="368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Entities extracted from registrations</w:t>
            </w:r>
          </w:p>
        </w:tc>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JSON</w:t>
            </w:r>
          </w:p>
        </w:tc>
      </w:tr>
    </w:tbl>
    <w:p>
      <w:pPr>
        <w:spacing w:after="160"/>
      </w:pPr>
    </w:p>
    <w:p>
      <w:pPr>
        <w:pStyle w:val="Heading1"/>
        <w:spacing w:before="480" w:after="160"/>
      </w:pPr>
      <w:r>
        <w:rPr>
          <w:color w:val="1E40AF"/>
          <w:sz w:val="36"/>
        </w:rPr>
        <w:t>04. Detailed Operation Flow</w:t>
      </w:r>
    </w:p>
    <w:p>
      <w:pPr>
        <w:spacing w:before="0" w:after="240"/>
      </w:pPr>
      <w:r>
        <w:br/>
      </w:r>
    </w:p>
    <w:p>
      <w:pPr>
        <w:spacing w:after="120" w:line="320" w:lineRule="exact"/>
      </w:pPr>
      <w:r>
        <w:rPr>
          <w:b w:val="0"/>
          <w:i w:val="0"/>
          <w:color w:val="1F2937"/>
          <w:sz w:val="22"/>
        </w:rPr>
        <w:t>Each complete scan follows this 7-step sequence:</w:t>
      </w:r>
    </w:p>
    <w:p>
      <w:pPr>
        <w:pStyle w:val="Heading3"/>
        <w:spacing w:before="240" w:after="80"/>
      </w:pPr>
      <w:r>
        <w:rPr>
          <w:color w:val="1E40AF"/>
          <w:sz w:val="24"/>
        </w:rPr>
        <w:t>STEP 1 — Dork Generation</w:t>
      </w:r>
    </w:p>
    <w:p>
      <w:pPr>
        <w:spacing w:after="120" w:line="320" w:lineRule="exact"/>
      </w:pPr>
      <w:r>
        <w:rPr>
          <w:b w:val="0"/>
          <w:i w:val="0"/>
          <w:color w:val="1F2937"/>
          <w:sz w:val="22"/>
        </w:rPr>
        <w:t>The DorkGenerator creates approximately 80 advanced search queries. Each dork combines company names, CNPJs, CPFs, suppliers, and sensitive terms with search operators for specific platforms (Scribd, SlideShare, Issuu, GitHub, GitLab, Google Drive). Official group domains are automatically excluded using the -site: operator.</w:t>
      </w:r>
    </w:p>
    <w:p>
      <w:pPr>
        <w:pStyle w:val="Heading3"/>
        <w:spacing w:before="240" w:after="80"/>
      </w:pPr>
      <w:r>
        <w:rPr>
          <w:color w:val="1E40AF"/>
          <w:sz w:val="24"/>
        </w:rPr>
        <w:t>STEP 2 — Web Crawling</w:t>
      </w:r>
    </w:p>
    <w:p>
      <w:pPr>
        <w:spacing w:after="120" w:line="320" w:lineRule="exact"/>
      </w:pPr>
      <w:r>
        <w:rPr>
          <w:b w:val="0"/>
          <w:i w:val="0"/>
          <w:color w:val="1F2937"/>
          <w:sz w:val="22"/>
        </w:rPr>
        <w:t>The SearchEngine executes each dork via DuckDuckGo with randomized delays of 2 to 4 seconds between queries, avoiding rate-limiting blocks. Each result returns title, URL, and snippet.</w:t>
      </w:r>
    </w:p>
    <w:p>
      <w:pPr>
        <w:pStyle w:val="Heading3"/>
        <w:spacing w:before="240" w:after="80"/>
      </w:pPr>
      <w:r>
        <w:rPr>
          <w:color w:val="1E40AF"/>
          <w:sz w:val="24"/>
        </w:rPr>
        <w:t>STEP 3 — Deduplication</w:t>
      </w:r>
    </w:p>
    <w:p>
      <w:pPr>
        <w:spacing w:after="120" w:line="320" w:lineRule="exact"/>
      </w:pPr>
      <w:r>
        <w:rPr>
          <w:b w:val="0"/>
          <w:i w:val="0"/>
          <w:color w:val="1F2937"/>
          <w:sz w:val="22"/>
        </w:rPr>
        <w:t>Before processing each URL, the system checks the database to see if it was previously analyzed. Already-known URLs are skipped, ensuring only new documents are processed.</w:t>
      </w:r>
    </w:p>
    <w:p>
      <w:pPr>
        <w:pStyle w:val="Heading3"/>
        <w:spacing w:before="240" w:after="80"/>
      </w:pPr>
      <w:r>
        <w:rPr>
          <w:color w:val="1E40AF"/>
          <w:sz w:val="24"/>
        </w:rPr>
        <w:t>STEP 4 — In-Memory Download</w:t>
      </w:r>
    </w:p>
    <w:p>
      <w:pPr>
        <w:spacing w:after="120" w:line="320" w:lineRule="exact"/>
      </w:pPr>
      <w:r>
        <w:rPr>
          <w:b w:val="0"/>
          <w:i w:val="0"/>
          <w:color w:val="1F2937"/>
          <w:sz w:val="22"/>
        </w:rPr>
        <w:t>The Downloader fetches each document directly into memory (BytesIO) via httpx, without writing any files to disk. This minimizes forensic footprint and speeds up processing.</w:t>
      </w:r>
    </w:p>
    <w:p>
      <w:pPr>
        <w:pStyle w:val="Heading3"/>
        <w:spacing w:before="240" w:after="80"/>
      </w:pPr>
      <w:r>
        <w:rPr>
          <w:color w:val="1E40AF"/>
          <w:sz w:val="24"/>
        </w:rPr>
        <w:t>STEP 5 — Text and Metadata Extraction</w:t>
      </w:r>
    </w:p>
    <w:p>
      <w:pPr>
        <w:spacing w:after="120" w:line="320" w:lineRule="exact"/>
      </w:pPr>
      <w:r>
        <w:rPr>
          <w:b w:val="0"/>
          <w:i w:val="0"/>
          <w:color w:val="1F2937"/>
          <w:sz w:val="22"/>
        </w:rPr>
        <w:t>The TextExtractor identifies the file type and processes: PDF via PyMuPDF, DOCX via python-docx, XLSX via openpyxl, and plain text. Beyond content, it extracts metadata such as author, creator software, and creation date, filtering out technical artifacts.</w:t>
      </w:r>
    </w:p>
    <w:p>
      <w:pPr>
        <w:pStyle w:val="Heading3"/>
        <w:spacing w:before="240" w:after="80"/>
      </w:pPr>
      <w:r>
        <w:rPr>
          <w:color w:val="1E40AF"/>
          <w:sz w:val="24"/>
        </w:rPr>
        <w:t>STEP 6 — Regex Inspection and Classification</w:t>
      </w:r>
    </w:p>
    <w:p>
      <w:pPr>
        <w:spacing w:after="120" w:line="320" w:lineRule="exact"/>
      </w:pPr>
      <w:r>
        <w:rPr>
          <w:b w:val="0"/>
          <w:i w:val="0"/>
          <w:color w:val="1F2937"/>
          <w:sz w:val="22"/>
        </w:rPr>
        <w:t>The RegexEngine analyzes the text for CPFs, CNPJs, financial data, group entities, and sensitive terms. Snippets are masked to protect PII. The RiskClassifier then assigns a numeric score (1-100) and level (Critical/High/Medium/Low).</w:t>
      </w:r>
    </w:p>
    <w:p>
      <w:pPr>
        <w:pStyle w:val="Heading3"/>
        <w:spacing w:before="240" w:after="80"/>
      </w:pPr>
      <w:r>
        <w:rPr>
          <w:color w:val="1E40AF"/>
          <w:sz w:val="24"/>
        </w:rPr>
        <w:t>STEP 7 — Persistence and Alerts</w:t>
      </w:r>
    </w:p>
    <w:p>
      <w:pPr>
        <w:spacing w:after="120" w:line="320" w:lineRule="exact"/>
      </w:pPr>
      <w:r>
        <w:rPr>
          <w:b w:val="0"/>
          <w:i w:val="0"/>
          <w:color w:val="1F2937"/>
          <w:sz w:val="22"/>
        </w:rPr>
        <w:t>Findings are saved to the SQLite database. Country of origin is detected by domain TLD and language by text analysis. At the end of the scan, a summary with all new links is sent via Telegram, grouped by risk level.</w:t>
      </w:r>
    </w:p>
    <w:p>
      <w:pPr>
        <w:pStyle w:val="Heading1"/>
        <w:spacing w:before="480" w:after="160"/>
      </w:pPr>
      <w:r>
        <w:rPr>
          <w:color w:val="1E40AF"/>
          <w:sz w:val="36"/>
        </w:rPr>
        <w:t>05. Intelligence Matrix</w:t>
      </w:r>
    </w:p>
    <w:p>
      <w:pPr>
        <w:spacing w:before="0" w:after="240"/>
      </w:pPr>
      <w:r>
        <w:br/>
      </w:r>
    </w:p>
    <w:p>
      <w:pPr>
        <w:spacing w:after="120" w:line="320" w:lineRule="exact"/>
      </w:pPr>
      <w:r>
        <w:rPr>
          <w:b w:val="0"/>
          <w:i w:val="0"/>
          <w:color w:val="1F2937"/>
          <w:sz w:val="22"/>
        </w:rPr>
        <w:t>The Intelligence Matrix is the central knowledge base of the system. It is dynamically loaded from the data/entities.json file, containing data extracted from the group's registration documents.</w:t>
      </w:r>
    </w:p>
    <w:tbl>
      <w:tblPr>
        <w:tblW w:type="auto" w:w="0"/>
        <w:jc w:val="center"/>
        <w:tblLook w:firstColumn="1" w:firstRow="1" w:lastColumn="0" w:lastRow="0" w:noHBand="0" w:noVBand="1" w:val="04A0"/>
      </w:tblPr>
      <w:tblGrid>
        <w:gridCol w:w="3135"/>
        <w:gridCol w:w="3135"/>
        <w:gridCol w:w="3135"/>
      </w:tblGrid>
      <w:tr>
        <w:tc>
          <w:tcPr>
            <w:tcW w:type="dxa" w:w="2835"/>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Category</w:t>
            </w:r>
          </w:p>
        </w:tc>
        <w:tc>
          <w:tcPr>
            <w:tcW w:type="dxa" w:w="1701"/>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Quantity</w:t>
            </w:r>
          </w:p>
        </w:tc>
        <w:tc>
          <w:tcPr>
            <w:tcW w:type="dxa" w:w="5102"/>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Examples</w:t>
            </w:r>
          </w:p>
        </w:tc>
      </w:tr>
      <w:tr>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Entities (Company Names)</w:t>
            </w:r>
          </w:p>
        </w:tc>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19 names</w:t>
            </w:r>
          </w:p>
        </w:tc>
        <w:tc>
          <w:tcPr>
            <w:tcW w:type="dxa" w:w="5102"/>
            <w:vAlign w:val="center"/>
            <w:tcBorders>
              <w:top w:val="single" w:sz="4" w:space="0" w:color="CBD5E1"/>
              <w:bottom w:val="single" w:sz="4" w:space="0" w:color="CBD5E1"/>
              <w:left w:val="single" w:sz="4" w:space="0" w:color="CBD5E1"/>
              <w:right w:val="single" w:sz="4" w:space="0" w:color="CBD5E1"/>
            </w:tcBorders>
          </w:tcPr>
          <w:p>
            <w:r/>
            <w:r>
              <w:rPr>
                <w:color w:val="1F2937"/>
                <w:sz w:val="19"/>
              </w:rPr>
              <w:t>TIMAC AGRO INDÚTRIA E COMÉRCIO DE FERTILIZANTES LTDA</w:t>
            </w:r>
          </w:p>
        </w:tc>
      </w:tr>
      <w:tr>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CNPJs</w:t>
            </w:r>
          </w:p>
        </w:tc>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24 numbers</w:t>
            </w:r>
          </w:p>
        </w:tc>
        <w:tc>
          <w:tcPr>
            <w:tcW w:type="dxa" w:w="510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02.329.713/0001-29, 26.769.908/0001-58</w:t>
            </w:r>
          </w:p>
        </w:tc>
      </w:tr>
      <w:tr>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CPFs</w:t>
            </w:r>
          </w:p>
        </w:tc>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Administrators</w:t>
            </w:r>
          </w:p>
        </w:tc>
        <w:tc>
          <w:tcPr>
            <w:tcW w:type="dxa" w:w="5102"/>
            <w:vAlign w:val="center"/>
            <w:tcBorders>
              <w:top w:val="single" w:sz="4" w:space="0" w:color="CBD5E1"/>
              <w:bottom w:val="single" w:sz="4" w:space="0" w:color="CBD5E1"/>
              <w:left w:val="single" w:sz="4" w:space="0" w:color="CBD5E1"/>
              <w:right w:val="single" w:sz="4" w:space="0" w:color="CBD5E1"/>
            </w:tcBorders>
          </w:tcPr>
          <w:p>
            <w:r/>
            <w:r>
              <w:rPr>
                <w:color w:val="1F2937"/>
                <w:sz w:val="19"/>
              </w:rPr>
              <w:t>Group partners and directors</w:t>
            </w:r>
          </w:p>
        </w:tc>
      </w:tr>
      <w:tr>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Suppliers</w:t>
            </w:r>
          </w:p>
        </w:tc>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21 companies</w:t>
            </w:r>
          </w:p>
        </w:tc>
        <w:tc>
          <w:tcPr>
            <w:tcW w:type="dxa" w:w="510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OCP Brasil, Pisani Plásticos, MOVIDA</w:t>
            </w:r>
          </w:p>
        </w:tc>
      </w:tr>
      <w:tr>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Key People</w:t>
            </w:r>
          </w:p>
        </w:tc>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4 names</w:t>
            </w:r>
          </w:p>
        </w:tc>
        <w:tc>
          <w:tcPr>
            <w:tcW w:type="dxa" w:w="5102"/>
            <w:vAlign w:val="center"/>
            <w:tcBorders>
              <w:top w:val="single" w:sz="4" w:space="0" w:color="CBD5E1"/>
              <w:bottom w:val="single" w:sz="4" w:space="0" w:color="CBD5E1"/>
              <w:left w:val="single" w:sz="4" w:space="0" w:color="CBD5E1"/>
              <w:right w:val="single" w:sz="4" w:space="0" w:color="CBD5E1"/>
            </w:tcBorders>
          </w:tcPr>
          <w:p>
            <w:r/>
            <w:r>
              <w:rPr>
                <w:color w:val="1F2937"/>
                <w:sz w:val="19"/>
              </w:rPr>
              <w:t>Registered administrators and partners</w:t>
            </w:r>
          </w:p>
        </w:tc>
      </w:tr>
      <w:tr>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Corporate Emails</w:t>
            </w:r>
          </w:p>
        </w:tc>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9 addresses</w:t>
            </w:r>
          </w:p>
        </w:tc>
        <w:tc>
          <w:tcPr>
            <w:tcW w:type="dxa" w:w="510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nfe1@timacagro.com.br</w:t>
            </w:r>
          </w:p>
        </w:tc>
      </w:tr>
      <w:tr>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Sensitive Terms</w:t>
            </w:r>
          </w:p>
        </w:tc>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15+ terms</w:t>
            </w:r>
          </w:p>
        </w:tc>
        <w:tc>
          <w:tcPr>
            <w:tcW w:type="dxa" w:w="5102"/>
            <w:vAlign w:val="center"/>
            <w:tcBorders>
              <w:top w:val="single" w:sz="4" w:space="0" w:color="CBD5E1"/>
              <w:bottom w:val="single" w:sz="4" w:space="0" w:color="CBD5E1"/>
              <w:left w:val="single" w:sz="4" w:space="0" w:color="CBD5E1"/>
              <w:right w:val="single" w:sz="4" w:space="0" w:color="CBD5E1"/>
            </w:tcBorders>
          </w:tcPr>
          <w:p>
            <w:r/>
            <w:r>
              <w:rPr>
                <w:color w:val="1F2937"/>
                <w:sz w:val="19"/>
              </w:rPr>
              <w:t>confidential, internal use, password, senha</w:t>
            </w:r>
          </w:p>
        </w:tc>
      </w:tr>
    </w:tbl>
    <w:p>
      <w:pPr>
        <w:spacing w:after="160"/>
      </w:pPr>
    </w:p>
    <w:p>
      <w:pPr>
        <w:pStyle w:val="Heading1"/>
        <w:spacing w:before="480" w:after="160"/>
      </w:pPr>
      <w:r>
        <w:rPr>
          <w:color w:val="1E40AF"/>
          <w:sz w:val="36"/>
        </w:rPr>
        <w:t>06. Detection, Classification and Categorization</w:t>
      </w:r>
    </w:p>
    <w:p>
      <w:pPr>
        <w:spacing w:before="0" w:after="240"/>
      </w:pPr>
      <w:r>
        <w:br/>
      </w:r>
    </w:p>
    <w:p>
      <w:pPr>
        <w:pStyle w:val="Heading2"/>
        <w:spacing w:before="320" w:after="120"/>
      </w:pPr>
      <w:r>
        <w:rPr>
          <w:color w:val="1E40AF"/>
          <w:sz w:val="28"/>
        </w:rPr>
        <w:t>6.1 Risk Levels</w:t>
      </w:r>
    </w:p>
    <w:tbl>
      <w:tblPr>
        <w:tblW w:type="auto" w:w="0"/>
        <w:jc w:val="center"/>
        <w:tblLook w:firstColumn="1" w:firstRow="1" w:lastColumn="0" w:lastRow="0" w:noHBand="0" w:noVBand="1" w:val="04A0"/>
      </w:tblPr>
      <w:tblGrid>
        <w:gridCol w:w="2351"/>
        <w:gridCol w:w="2351"/>
        <w:gridCol w:w="2351"/>
        <w:gridCol w:w="2351"/>
      </w:tblGrid>
      <w:tr>
        <w:tc>
          <w:tcPr>
            <w:tcW w:type="dxa" w:w="1134"/>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Level</w:t>
            </w:r>
          </w:p>
        </w:tc>
        <w:tc>
          <w:tcPr>
            <w:tcW w:type="dxa" w:w="1134"/>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Indicator</w:t>
            </w:r>
          </w:p>
        </w:tc>
        <w:tc>
          <w:tcPr>
            <w:tcW w:type="dxa" w:w="1134"/>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Score</w:t>
            </w:r>
          </w:p>
        </w:tc>
        <w:tc>
          <w:tcPr>
            <w:tcW w:type="dxa" w:w="6236"/>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Classification Criteria</w:t>
            </w:r>
          </w:p>
        </w:tc>
      </w:tr>
      <w:tr>
        <w:tc>
          <w:tcPr>
            <w:tcW w:type="dxa" w:w="1134"/>
            <w:vAlign w:val="center"/>
            <w:tcBorders>
              <w:top w:val="single" w:sz="4" w:space="0" w:color="CBD5E1"/>
              <w:bottom w:val="single" w:sz="4" w:space="0" w:color="CBD5E1"/>
              <w:left w:val="single" w:sz="4" w:space="0" w:color="CBD5E1"/>
              <w:right w:val="single" w:sz="4" w:space="0" w:color="CBD5E1"/>
            </w:tcBorders>
          </w:tcPr>
          <w:p>
            <w:r/>
            <w:r>
              <w:rPr>
                <w:color w:val="1F2937"/>
                <w:sz w:val="19"/>
              </w:rPr>
              <w:t>Critical</w:t>
            </w:r>
          </w:p>
        </w:tc>
        <w:tc>
          <w:tcPr>
            <w:tcW w:type="dxa" w:w="1134"/>
            <w:vAlign w:val="center"/>
            <w:tcBorders>
              <w:top w:val="single" w:sz="4" w:space="0" w:color="CBD5E1"/>
              <w:bottom w:val="single" w:sz="4" w:space="0" w:color="CBD5E1"/>
              <w:left w:val="single" w:sz="4" w:space="0" w:color="CBD5E1"/>
              <w:right w:val="single" w:sz="4" w:space="0" w:color="CBD5E1"/>
            </w:tcBorders>
          </w:tcPr>
          <w:p>
            <w:r/>
            <w:r>
              <w:rPr>
                <w:color w:val="1F2937"/>
                <w:sz w:val="19"/>
              </w:rPr>
              <w:t>Red</w:t>
            </w:r>
          </w:p>
        </w:tc>
        <w:tc>
          <w:tcPr>
            <w:tcW w:type="dxa" w:w="1134"/>
            <w:vAlign w:val="center"/>
            <w:tcBorders>
              <w:top w:val="single" w:sz="4" w:space="0" w:color="CBD5E1"/>
              <w:bottom w:val="single" w:sz="4" w:space="0" w:color="CBD5E1"/>
              <w:left w:val="single" w:sz="4" w:space="0" w:color="CBD5E1"/>
              <w:right w:val="single" w:sz="4" w:space="0" w:color="CBD5E1"/>
            </w:tcBorders>
          </w:tcPr>
          <w:p>
            <w:r/>
            <w:r>
              <w:rPr>
                <w:color w:val="1F2937"/>
                <w:sz w:val="19"/>
              </w:rPr>
              <w:t>80-100</w:t>
            </w:r>
          </w:p>
        </w:tc>
        <w:tc>
          <w:tcPr>
            <w:tcW w:type="dxa" w:w="6236"/>
            <w:vAlign w:val="center"/>
            <w:tcBorders>
              <w:top w:val="single" w:sz="4" w:space="0" w:color="CBD5E1"/>
              <w:bottom w:val="single" w:sz="4" w:space="0" w:color="CBD5E1"/>
              <w:left w:val="single" w:sz="4" w:space="0" w:color="CBD5E1"/>
              <w:right w:val="single" w:sz="4" w:space="0" w:color="CBD5E1"/>
            </w:tcBorders>
          </w:tcPr>
          <w:p>
            <w:r/>
            <w:r>
              <w:rPr>
                <w:color w:val="1F2937"/>
                <w:sz w:val="19"/>
              </w:rPr>
              <w:t>Multiple CPFs + CNPJs + financial data, or exposed CPFs in highly sensitive context</w:t>
            </w:r>
          </w:p>
        </w:tc>
      </w:tr>
      <w:tr>
        <w:tc>
          <w:tcPr>
            <w:tcW w:type="dxa" w:w="1134"/>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High</w:t>
            </w:r>
          </w:p>
        </w:tc>
        <w:tc>
          <w:tcPr>
            <w:tcW w:type="dxa" w:w="1134"/>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Orange</w:t>
            </w:r>
          </w:p>
        </w:tc>
        <w:tc>
          <w:tcPr>
            <w:tcW w:type="dxa" w:w="1134"/>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60-79</w:t>
            </w:r>
          </w:p>
        </w:tc>
        <w:tc>
          <w:tcPr>
            <w:tcW w:type="dxa" w:w="6236"/>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Group CPFs or CNPJs combined with financial terms</w:t>
            </w:r>
          </w:p>
        </w:tc>
      </w:tr>
      <w:tr>
        <w:tc>
          <w:tcPr>
            <w:tcW w:type="dxa" w:w="1134"/>
            <w:vAlign w:val="center"/>
            <w:tcBorders>
              <w:top w:val="single" w:sz="4" w:space="0" w:color="CBD5E1"/>
              <w:bottom w:val="single" w:sz="4" w:space="0" w:color="CBD5E1"/>
              <w:left w:val="single" w:sz="4" w:space="0" w:color="CBD5E1"/>
              <w:right w:val="single" w:sz="4" w:space="0" w:color="CBD5E1"/>
            </w:tcBorders>
          </w:tcPr>
          <w:p>
            <w:r/>
            <w:r>
              <w:rPr>
                <w:color w:val="1F2937"/>
                <w:sz w:val="19"/>
              </w:rPr>
              <w:t>Medium</w:t>
            </w:r>
          </w:p>
        </w:tc>
        <w:tc>
          <w:tcPr>
            <w:tcW w:type="dxa" w:w="1134"/>
            <w:vAlign w:val="center"/>
            <w:tcBorders>
              <w:top w:val="single" w:sz="4" w:space="0" w:color="CBD5E1"/>
              <w:bottom w:val="single" w:sz="4" w:space="0" w:color="CBD5E1"/>
              <w:left w:val="single" w:sz="4" w:space="0" w:color="CBD5E1"/>
              <w:right w:val="single" w:sz="4" w:space="0" w:color="CBD5E1"/>
            </w:tcBorders>
          </w:tcPr>
          <w:p>
            <w:r/>
            <w:r>
              <w:rPr>
                <w:color w:val="1F2937"/>
                <w:sz w:val="19"/>
              </w:rPr>
              <w:t>Yellow</w:t>
            </w:r>
          </w:p>
        </w:tc>
        <w:tc>
          <w:tcPr>
            <w:tcW w:type="dxa" w:w="1134"/>
            <w:vAlign w:val="center"/>
            <w:tcBorders>
              <w:top w:val="single" w:sz="4" w:space="0" w:color="CBD5E1"/>
              <w:bottom w:val="single" w:sz="4" w:space="0" w:color="CBD5E1"/>
              <w:left w:val="single" w:sz="4" w:space="0" w:color="CBD5E1"/>
              <w:right w:val="single" w:sz="4" w:space="0" w:color="CBD5E1"/>
            </w:tcBorders>
          </w:tcPr>
          <w:p>
            <w:r/>
            <w:r>
              <w:rPr>
                <w:color w:val="1F2937"/>
                <w:sz w:val="19"/>
              </w:rPr>
              <w:t>40-59</w:t>
            </w:r>
          </w:p>
        </w:tc>
        <w:tc>
          <w:tcPr>
            <w:tcW w:type="dxa" w:w="6236"/>
            <w:vAlign w:val="center"/>
            <w:tcBorders>
              <w:top w:val="single" w:sz="4" w:space="0" w:color="CBD5E1"/>
              <w:bottom w:val="single" w:sz="4" w:space="0" w:color="CBD5E1"/>
              <w:left w:val="single" w:sz="4" w:space="0" w:color="CBD5E1"/>
              <w:right w:val="single" w:sz="4" w:space="0" w:color="CBD5E1"/>
            </w:tcBorders>
          </w:tcPr>
          <w:p>
            <w:r/>
            <w:r>
              <w:rPr>
                <w:color w:val="1F2937"/>
                <w:sz w:val="19"/>
              </w:rPr>
              <w:t>Group entity mentions with moderate sensitive terms</w:t>
            </w:r>
          </w:p>
        </w:tc>
      </w:tr>
      <w:tr>
        <w:tc>
          <w:tcPr>
            <w:tcW w:type="dxa" w:w="1134"/>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Low</w:t>
            </w:r>
          </w:p>
        </w:tc>
        <w:tc>
          <w:tcPr>
            <w:tcW w:type="dxa" w:w="1134"/>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Green</w:t>
            </w:r>
          </w:p>
        </w:tc>
        <w:tc>
          <w:tcPr>
            <w:tcW w:type="dxa" w:w="1134"/>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1-39</w:t>
            </w:r>
          </w:p>
        </w:tc>
        <w:tc>
          <w:tcPr>
            <w:tcW w:type="dxa" w:w="6236"/>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Generic entity mentions or isolated terms without critical context</w:t>
            </w:r>
          </w:p>
        </w:tc>
      </w:tr>
    </w:tbl>
    <w:p>
      <w:pPr>
        <w:spacing w:after="160"/>
      </w:pPr>
    </w:p>
    <w:p>
      <w:pPr>
        <w:pStyle w:val="Heading2"/>
        <w:spacing w:before="320" w:after="120"/>
      </w:pPr>
      <w:r>
        <w:rPr>
          <w:color w:val="1E40AF"/>
          <w:sz w:val="28"/>
        </w:rPr>
        <w:t>6.2 Finding Categories</w:t>
      </w:r>
    </w:p>
    <w:tbl>
      <w:tblPr>
        <w:tblW w:type="auto" w:w="0"/>
        <w:jc w:val="center"/>
        <w:tblLook w:firstColumn="1" w:firstRow="1" w:lastColumn="0" w:lastRow="0" w:noHBand="0" w:noVBand="1" w:val="04A0"/>
      </w:tblPr>
      <w:tblGrid>
        <w:gridCol w:w="3135"/>
        <w:gridCol w:w="3135"/>
        <w:gridCol w:w="3135"/>
      </w:tblGrid>
      <w:tr>
        <w:tc>
          <w:tcPr>
            <w:tcW w:type="dxa" w:w="1701"/>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Category</w:t>
            </w:r>
          </w:p>
        </w:tc>
        <w:tc>
          <w:tcPr>
            <w:tcW w:type="dxa" w:w="2835"/>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Description</w:t>
            </w:r>
          </w:p>
        </w:tc>
        <w:tc>
          <w:tcPr>
            <w:tcW w:type="dxa" w:w="5102"/>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Detection Example</w:t>
            </w:r>
          </w:p>
        </w:tc>
      </w:tr>
      <w:tr>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HR</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Employee and labor data</w:t>
            </w:r>
          </w:p>
        </w:tc>
        <w:tc>
          <w:tcPr>
            <w:tcW w:type="dxa" w:w="5102"/>
            <w:vAlign w:val="center"/>
            <w:tcBorders>
              <w:top w:val="single" w:sz="4" w:space="0" w:color="CBD5E1"/>
              <w:bottom w:val="single" w:sz="4" w:space="0" w:color="CBD5E1"/>
              <w:left w:val="single" w:sz="4" w:space="0" w:color="CBD5E1"/>
              <w:right w:val="single" w:sz="4" w:space="0" w:color="CBD5E1"/>
            </w:tcBorders>
          </w:tcPr>
          <w:p>
            <w:r/>
            <w:r>
              <w:rPr>
                <w:color w:val="1F2937"/>
                <w:sz w:val="19"/>
              </w:rPr>
              <w:t>Payroll with employee CPFs</w:t>
            </w:r>
          </w:p>
        </w:tc>
      </w:tr>
      <w:tr>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Financial</w:t>
            </w:r>
          </w:p>
        </w:tc>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Monetary and accounting data</w:t>
            </w:r>
          </w:p>
        </w:tc>
        <w:tc>
          <w:tcPr>
            <w:tcW w:type="dxa" w:w="510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Balance sheets, revenue, contracts</w:t>
            </w:r>
          </w:p>
        </w:tc>
      </w:tr>
      <w:tr>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IT</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Technology infrastructure</w:t>
            </w:r>
          </w:p>
        </w:tc>
        <w:tc>
          <w:tcPr>
            <w:tcW w:type="dxa" w:w="5102"/>
            <w:vAlign w:val="center"/>
            <w:tcBorders>
              <w:top w:val="single" w:sz="4" w:space="0" w:color="CBD5E1"/>
              <w:bottom w:val="single" w:sz="4" w:space="0" w:color="CBD5E1"/>
              <w:left w:val="single" w:sz="4" w:space="0" w:color="CBD5E1"/>
              <w:right w:val="single" w:sz="4" w:space="0" w:color="CBD5E1"/>
            </w:tcBorders>
          </w:tcPr>
          <w:p>
            <w:r/>
            <w:r>
              <w:rPr>
                <w:color w:val="1F2937"/>
                <w:sz w:val="19"/>
              </w:rPr>
              <w:t>Network configs, system diagrams</w:t>
            </w:r>
          </w:p>
        </w:tc>
      </w:tr>
      <w:tr>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IT/Security</w:t>
            </w:r>
          </w:p>
        </w:tc>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Credentials and access</w:t>
            </w:r>
          </w:p>
        </w:tc>
        <w:tc>
          <w:tcPr>
            <w:tcW w:type="dxa" w:w="510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Passwords, API tokens, VPN keys</w:t>
            </w:r>
          </w:p>
        </w:tc>
      </w:tr>
      <w:tr>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Personal Data</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PII without corporate context</w:t>
            </w:r>
          </w:p>
        </w:tc>
        <w:tc>
          <w:tcPr>
            <w:tcW w:type="dxa" w:w="5102"/>
            <w:vAlign w:val="center"/>
            <w:tcBorders>
              <w:top w:val="single" w:sz="4" w:space="0" w:color="CBD5E1"/>
              <w:bottom w:val="single" w:sz="4" w:space="0" w:color="CBD5E1"/>
              <w:left w:val="single" w:sz="4" w:space="0" w:color="CBD5E1"/>
              <w:right w:val="single" w:sz="4" w:space="0" w:color="CBD5E1"/>
            </w:tcBorders>
          </w:tcPr>
          <w:p>
            <w:r/>
            <w:r>
              <w:rPr>
                <w:color w:val="1F2937"/>
                <w:sz w:val="19"/>
              </w:rPr>
              <w:t>CPFs and addresses in public listings</w:t>
            </w:r>
          </w:p>
        </w:tc>
      </w:tr>
      <w:tr>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Corporate</w:t>
            </w:r>
          </w:p>
        </w:tc>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Strategic documents</w:t>
            </w:r>
          </w:p>
        </w:tc>
        <w:tc>
          <w:tcPr>
            <w:tcW w:type="dxa" w:w="510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Commercial proposals, supply contracts</w:t>
            </w:r>
          </w:p>
        </w:tc>
      </w:tr>
    </w:tbl>
    <w:p>
      <w:pPr>
        <w:spacing w:after="160"/>
      </w:pPr>
    </w:p>
    <w:p>
      <w:pPr>
        <w:pStyle w:val="Heading1"/>
        <w:spacing w:before="480" w:after="160"/>
      </w:pPr>
      <w:r>
        <w:rPr>
          <w:color w:val="1E40AF"/>
          <w:sz w:val="36"/>
        </w:rPr>
        <w:t>07. Operation Modes</w:t>
      </w:r>
    </w:p>
    <w:p>
      <w:pPr>
        <w:spacing w:before="0" w:after="240"/>
      </w:pPr>
      <w:r>
        <w:br/>
      </w:r>
    </w:p>
    <w:p>
      <w:pPr>
        <w:pStyle w:val="Heading2"/>
        <w:spacing w:before="320" w:after="120"/>
      </w:pPr>
      <w:r>
        <w:rPr>
          <w:color w:val="1E40AF"/>
          <w:sz w:val="28"/>
        </w:rPr>
        <w:t>7.1 Server Mode (Production)</w:t>
      </w:r>
    </w:p>
    <w:p>
      <w:pPr>
        <w:spacing w:after="120" w:line="320" w:lineRule="exact"/>
      </w:pPr>
      <w:r>
        <w:rPr>
          <w:b w:val="0"/>
          <w:i w:val="0"/>
          <w:color w:val="1F2937"/>
          <w:sz w:val="22"/>
        </w:rPr>
        <w:t>Server mode is the primary version, designed for 24/7 production monitoring.</w:t>
      </w:r>
    </w:p>
    <w:p>
      <w:pPr>
        <w:spacing w:after="120" w:line="320" w:lineRule="exact"/>
      </w:pPr>
      <w:r>
        <w:rPr>
          <w:b/>
          <w:i w:val="0"/>
          <w:color w:val="1F2937"/>
          <w:sz w:val="22"/>
        </w:rPr>
        <w:t>Exclusive features:</w:t>
      </w:r>
    </w:p>
    <w:p>
      <w:pPr>
        <w:pStyle w:val="ListBullet"/>
        <w:spacing w:after="60"/>
        <w:ind w:left="850"/>
      </w:pPr>
      <w:r>
        <w:rPr>
          <w:color w:val="1F2937"/>
          <w:sz w:val="22"/>
        </w:rPr>
        <w:t>Cybersecurity dark mode web dashboard (glassmorphism, neon, gradients)</w:t>
      </w:r>
    </w:p>
    <w:p>
      <w:pPr>
        <w:pStyle w:val="ListBullet"/>
        <w:spacing w:after="60"/>
        <w:ind w:left="850"/>
      </w:pPr>
      <w:r>
        <w:rPr>
          <w:color w:val="1F2937"/>
          <w:sz w:val="22"/>
        </w:rPr>
        <w:t>Interactive charts: risk distribution (doughnut) and leak sources (bars)</w:t>
      </w:r>
    </w:p>
    <w:p>
      <w:pPr>
        <w:pStyle w:val="ListBullet"/>
        <w:spacing w:after="60"/>
        <w:ind w:left="850"/>
      </w:pPr>
      <w:r>
        <w:rPr>
          <w:color w:val="1F2937"/>
          <w:sz w:val="22"/>
        </w:rPr>
        <w:t>Triage table with filters for risk, status, category, country, and language</w:t>
      </w:r>
    </w:p>
    <w:p>
      <w:pPr>
        <w:pStyle w:val="ListBullet"/>
        <w:spacing w:after="60"/>
        <w:ind w:left="850"/>
      </w:pPr>
      <w:r>
        <w:rPr>
          <w:color w:val="1F2937"/>
          <w:sz w:val="22"/>
        </w:rPr>
        <w:t>Real-time progress bar with percentage during scans</w:t>
      </w:r>
    </w:p>
    <w:p>
      <w:pPr>
        <w:pStyle w:val="ListBullet"/>
        <w:spacing w:after="60"/>
        <w:ind w:left="850"/>
      </w:pPr>
      <w:r>
        <w:rPr>
          <w:color w:val="1F2937"/>
          <w:sz w:val="22"/>
        </w:rPr>
        <w:t>Automatic scheduling via APScheduler (default: 08:00, 14:00, 22:00 BRT)</w:t>
      </w:r>
    </w:p>
    <w:p>
      <w:pPr>
        <w:pStyle w:val="ListBullet"/>
        <w:spacing w:after="60"/>
        <w:ind w:left="850"/>
      </w:pPr>
      <w:r>
        <w:rPr>
          <w:color w:val="1F2937"/>
          <w:sz w:val="22"/>
        </w:rPr>
        <w:t>Telegram alerts: system startup, scan start, and summary with new links</w:t>
      </w:r>
    </w:p>
    <w:p>
      <w:pPr>
        <w:pStyle w:val="ListBullet"/>
        <w:spacing w:after="60"/>
        <w:ind w:left="850"/>
      </w:pPr>
      <w:r>
        <w:rPr>
          <w:color w:val="1F2937"/>
          <w:sz w:val="22"/>
        </w:rPr>
        <w:t>SSE (Server-Sent Events) for real-time dashboard push notifications</w:t>
      </w:r>
    </w:p>
    <w:p>
      <w:pPr>
        <w:pStyle w:val="ListBullet"/>
        <w:spacing w:after="60"/>
        <w:ind w:left="850"/>
      </w:pPr>
      <w:r>
        <w:rPr>
          <w:color w:val="1F2937"/>
          <w:sz w:val="22"/>
        </w:rPr>
        <w:t>Complete REST API for external integrations</w:t>
      </w:r>
    </w:p>
    <w:p>
      <w:pPr>
        <w:pStyle w:val="ListBullet"/>
        <w:spacing w:after="60"/>
        <w:ind w:left="850"/>
      </w:pPr>
      <w:r>
        <w:rPr>
          <w:color w:val="1F2937"/>
          <w:sz w:val="22"/>
        </w:rPr>
        <w:t>Systemd service for continuous operation without login (Linux)</w:t>
      </w:r>
    </w:p>
    <w:p>
      <w:pPr>
        <w:pStyle w:val="Heading2"/>
        <w:spacing w:before="320" w:after="120"/>
      </w:pPr>
      <w:r>
        <w:rPr>
          <w:color w:val="1E40AF"/>
          <w:sz w:val="28"/>
        </w:rPr>
        <w:t>7.2 Desktop Mode (Ad-hoc Query)</w:t>
      </w:r>
    </w:p>
    <w:p>
      <w:pPr>
        <w:spacing w:after="120" w:line="320" w:lineRule="exact"/>
      </w:pPr>
      <w:r>
        <w:rPr>
          <w:b w:val="0"/>
          <w:i w:val="0"/>
          <w:color w:val="1F2937"/>
          <w:sz w:val="22"/>
        </w:rPr>
        <w:t>Desktop mode is a standalone GUI built with Tkinter for on-demand queries.</w:t>
      </w:r>
    </w:p>
    <w:p>
      <w:pPr>
        <w:pStyle w:val="ListBullet"/>
        <w:spacing w:after="60"/>
        <w:ind w:left="850"/>
      </w:pPr>
      <w:r>
        <w:rPr>
          <w:color w:val="1F2937"/>
          <w:sz w:val="22"/>
        </w:rPr>
        <w:t>Dark mode graphical interface with progress bar and metrics</w:t>
      </w:r>
    </w:p>
    <w:p>
      <w:pPr>
        <w:pStyle w:val="ListBullet"/>
        <w:spacing w:after="60"/>
        <w:ind w:left="850"/>
      </w:pPr>
      <w:r>
        <w:rPr>
          <w:color w:val="1F2937"/>
          <w:sz w:val="22"/>
        </w:rPr>
        <w:t>Result export to CSV and JSON</w:t>
      </w:r>
    </w:p>
    <w:p>
      <w:pPr>
        <w:pStyle w:val="ListBullet"/>
        <w:spacing w:after="60"/>
        <w:ind w:left="850"/>
      </w:pPr>
      <w:r>
        <w:rPr>
          <w:color w:val="1F2937"/>
          <w:sz w:val="22"/>
        </w:rPr>
        <w:t>Independent operation — no web server needed</w:t>
      </w:r>
    </w:p>
    <w:p>
      <w:pPr>
        <w:pStyle w:val="ListBullet"/>
        <w:spacing w:after="60"/>
        <w:ind w:left="850"/>
      </w:pPr>
      <w:r>
        <w:rPr>
          <w:color w:val="1F2937"/>
          <w:sz w:val="22"/>
        </w:rPr>
        <w:t>Compilable to standalone .exe via cx_Freeze</w:t>
      </w:r>
    </w:p>
    <w:p>
      <w:pPr>
        <w:pStyle w:val="Heading1"/>
        <w:spacing w:before="480" w:after="160"/>
      </w:pPr>
      <w:r>
        <w:rPr>
          <w:color w:val="1E40AF"/>
          <w:sz w:val="36"/>
        </w:rPr>
        <w:t>08. Step-by-Step Installation</w:t>
      </w:r>
    </w:p>
    <w:p>
      <w:pPr>
        <w:spacing w:before="0" w:after="240"/>
      </w:pPr>
      <w:r>
        <w:br/>
      </w:r>
    </w:p>
    <w:p>
      <w:pPr>
        <w:pStyle w:val="Heading2"/>
        <w:spacing w:before="320" w:after="120"/>
      </w:pPr>
      <w:r>
        <w:rPr>
          <w:color w:val="1E40AF"/>
          <w:sz w:val="28"/>
        </w:rPr>
        <w:t>8.1 System Requirements</w:t>
      </w:r>
    </w:p>
    <w:tbl>
      <w:tblPr>
        <w:tblW w:type="auto" w:w="0"/>
        <w:jc w:val="center"/>
        <w:tblLook w:firstColumn="1" w:firstRow="1" w:lastColumn="0" w:lastRow="0" w:noHBand="0" w:noVBand="1" w:val="04A0"/>
      </w:tblPr>
      <w:tblGrid>
        <w:gridCol w:w="3135"/>
        <w:gridCol w:w="3135"/>
        <w:gridCol w:w="3135"/>
      </w:tblGrid>
      <w:tr>
        <w:tc>
          <w:tcPr>
            <w:tcW w:type="dxa" w:w="2268"/>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Requirement</w:t>
            </w:r>
          </w:p>
        </w:tc>
        <w:tc>
          <w:tcPr>
            <w:tcW w:type="dxa" w:w="2835"/>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Minimum</w:t>
            </w:r>
          </w:p>
        </w:tc>
        <w:tc>
          <w:tcPr>
            <w:tcW w:type="dxa" w:w="4535"/>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Recommended</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Python</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3.10</w:t>
            </w:r>
          </w:p>
        </w:tc>
        <w:tc>
          <w:tcPr>
            <w:tcW w:type="dxa" w:w="4535"/>
            <w:vAlign w:val="center"/>
            <w:tcBorders>
              <w:top w:val="single" w:sz="4" w:space="0" w:color="CBD5E1"/>
              <w:bottom w:val="single" w:sz="4" w:space="0" w:color="CBD5E1"/>
              <w:left w:val="single" w:sz="4" w:space="0" w:color="CBD5E1"/>
              <w:right w:val="single" w:sz="4" w:space="0" w:color="CBD5E1"/>
            </w:tcBorders>
          </w:tcPr>
          <w:p>
            <w:r/>
            <w:r>
              <w:rPr>
                <w:color w:val="1F2937"/>
                <w:sz w:val="19"/>
              </w:rPr>
              <w:t>3.12+</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Operating System</w:t>
            </w:r>
          </w:p>
        </w:tc>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Linux or Windows</w:t>
            </w:r>
          </w:p>
        </w:tc>
        <w:tc>
          <w:tcPr>
            <w:tcW w:type="dxa" w:w="45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Ubuntu 22.04 LTS (Server)</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RAM</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512 MB</w:t>
            </w:r>
          </w:p>
        </w:tc>
        <w:tc>
          <w:tcPr>
            <w:tcW w:type="dxa" w:w="4535"/>
            <w:vAlign w:val="center"/>
            <w:tcBorders>
              <w:top w:val="single" w:sz="4" w:space="0" w:color="CBD5E1"/>
              <w:bottom w:val="single" w:sz="4" w:space="0" w:color="CBD5E1"/>
              <w:left w:val="single" w:sz="4" w:space="0" w:color="CBD5E1"/>
              <w:right w:val="single" w:sz="4" w:space="0" w:color="CBD5E1"/>
            </w:tcBorders>
          </w:tcPr>
          <w:p>
            <w:r/>
            <w:r>
              <w:rPr>
                <w:color w:val="1F2937"/>
                <w:sz w:val="19"/>
              </w:rPr>
              <w:t>1 GB</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Disk</w:t>
            </w:r>
          </w:p>
        </w:tc>
        <w:tc>
          <w:tcPr>
            <w:tcW w:type="dxa" w:w="28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100 MB</w:t>
            </w:r>
          </w:p>
        </w:tc>
        <w:tc>
          <w:tcPr>
            <w:tcW w:type="dxa" w:w="45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500 MB (database can grow)</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Network</w:t>
            </w:r>
          </w:p>
        </w:tc>
        <w:tc>
          <w:tcPr>
            <w:tcW w:type="dxa" w:w="2835"/>
            <w:vAlign w:val="center"/>
            <w:tcBorders>
              <w:top w:val="single" w:sz="4" w:space="0" w:color="CBD5E1"/>
              <w:bottom w:val="single" w:sz="4" w:space="0" w:color="CBD5E1"/>
              <w:left w:val="single" w:sz="4" w:space="0" w:color="CBD5E1"/>
              <w:right w:val="single" w:sz="4" w:space="0" w:color="CBD5E1"/>
            </w:tcBorders>
          </w:tcPr>
          <w:p>
            <w:r/>
            <w:r>
              <w:rPr>
                <w:color w:val="1F2937"/>
                <w:sz w:val="19"/>
              </w:rPr>
              <w:t>Internet access</w:t>
            </w:r>
          </w:p>
        </w:tc>
        <w:tc>
          <w:tcPr>
            <w:tcW w:type="dxa" w:w="4535"/>
            <w:vAlign w:val="center"/>
            <w:tcBorders>
              <w:top w:val="single" w:sz="4" w:space="0" w:color="CBD5E1"/>
              <w:bottom w:val="single" w:sz="4" w:space="0" w:color="CBD5E1"/>
              <w:left w:val="single" w:sz="4" w:space="0" w:color="CBD5E1"/>
              <w:right w:val="single" w:sz="4" w:space="0" w:color="CBD5E1"/>
            </w:tcBorders>
          </w:tcPr>
          <w:p>
            <w:r/>
            <w:r>
              <w:rPr>
                <w:color w:val="1F2937"/>
                <w:sz w:val="19"/>
              </w:rPr>
              <w:t>No firewall restrictions for HTTPS</w:t>
            </w:r>
          </w:p>
        </w:tc>
      </w:tr>
    </w:tbl>
    <w:p>
      <w:pPr>
        <w:spacing w:after="160"/>
      </w:pPr>
    </w:p>
    <w:p>
      <w:pPr>
        <w:pStyle w:val="Heading2"/>
        <w:spacing w:before="320" w:after="120"/>
      </w:pPr>
      <w:r>
        <w:rPr>
          <w:color w:val="1E40AF"/>
          <w:sz w:val="28"/>
        </w:rPr>
        <w:t>8.2 Step 1: Clone the Repository</w:t>
      </w:r>
    </w:p>
    <w:p>
      <w:pPr>
        <w:spacing w:before="80" w:after="160"/>
        <w:ind w:left="567"/>
        <w:shd w:fill="F1F5F9"/>
      </w:pPr>
      <w:r>
        <w:rPr>
          <w:rFonts w:ascii="Consolas" w:hAnsi="Consolas"/>
          <w:color w:val="1E293B"/>
          <w:sz w:val="19"/>
        </w:rPr>
        <w:t>git clone &lt;repository-url&gt;</w:t>
        <w:br/>
        <w:t>cd Doc-Tracker</w:t>
      </w:r>
    </w:p>
    <w:p>
      <w:pPr>
        <w:pStyle w:val="Heading2"/>
        <w:spacing w:before="320" w:after="120"/>
      </w:pPr>
      <w:r>
        <w:rPr>
          <w:color w:val="1E40AF"/>
          <w:sz w:val="28"/>
        </w:rPr>
        <w:t>8.3 Step 2: Create Virtual Environment</w:t>
      </w:r>
    </w:p>
    <w:p>
      <w:pPr>
        <w:spacing w:after="120" w:line="320" w:lineRule="exact"/>
      </w:pPr>
      <w:r>
        <w:rPr>
          <w:b w:val="0"/>
          <w:i w:val="0"/>
          <w:color w:val="1F2937"/>
          <w:sz w:val="22"/>
        </w:rPr>
        <w:t>Linux / macOS:</w:t>
      </w:r>
    </w:p>
    <w:p>
      <w:pPr>
        <w:spacing w:before="80" w:after="160"/>
        <w:ind w:left="567"/>
        <w:shd w:fill="F1F5F9"/>
      </w:pPr>
      <w:r>
        <w:rPr>
          <w:rFonts w:ascii="Consolas" w:hAnsi="Consolas"/>
          <w:color w:val="1E293B"/>
          <w:sz w:val="19"/>
        </w:rPr>
        <w:t>python3 -m venv venv</w:t>
        <w:br/>
        <w:t>source venv/bin/activate</w:t>
      </w:r>
    </w:p>
    <w:p>
      <w:pPr>
        <w:spacing w:after="120" w:line="320" w:lineRule="exact"/>
      </w:pPr>
      <w:r>
        <w:rPr>
          <w:b w:val="0"/>
          <w:i w:val="0"/>
          <w:color w:val="1F2937"/>
          <w:sz w:val="22"/>
        </w:rPr>
        <w:t>Windows:</w:t>
      </w:r>
    </w:p>
    <w:p>
      <w:pPr>
        <w:spacing w:before="80" w:after="160"/>
        <w:ind w:left="567"/>
        <w:shd w:fill="F1F5F9"/>
      </w:pPr>
      <w:r>
        <w:rPr>
          <w:rFonts w:ascii="Consolas" w:hAnsi="Consolas"/>
          <w:color w:val="1E293B"/>
          <w:sz w:val="19"/>
        </w:rPr>
        <w:t>python -m venv venv</w:t>
        <w:br/>
        <w:t>venv\Scripts\activate</w:t>
      </w:r>
    </w:p>
    <w:p>
      <w:pPr>
        <w:pStyle w:val="Heading2"/>
        <w:spacing w:before="320" w:after="120"/>
      </w:pPr>
      <w:r>
        <w:rPr>
          <w:color w:val="1E40AF"/>
          <w:sz w:val="28"/>
        </w:rPr>
        <w:t>8.4 Step 3: Install Dependencies</w:t>
      </w:r>
    </w:p>
    <w:p>
      <w:pPr>
        <w:spacing w:before="80" w:after="160"/>
        <w:ind w:left="567"/>
        <w:shd w:fill="F1F5F9"/>
      </w:pPr>
      <w:r>
        <w:rPr>
          <w:rFonts w:ascii="Consolas" w:hAnsi="Consolas"/>
          <w:color w:val="1E293B"/>
          <w:sz w:val="19"/>
        </w:rPr>
        <w:t>pip install -r requirements.txt</w:t>
      </w:r>
    </w:p>
    <w:p>
      <w:pPr>
        <w:pStyle w:val="Heading2"/>
        <w:spacing w:before="320" w:after="120"/>
      </w:pPr>
      <w:r>
        <w:rPr>
          <w:color w:val="1E40AF"/>
          <w:sz w:val="28"/>
        </w:rPr>
        <w:t>8.5 Step 4: Configure Environment Variables</w:t>
      </w:r>
    </w:p>
    <w:p>
      <w:pPr>
        <w:spacing w:before="80" w:after="160"/>
        <w:ind w:left="567"/>
        <w:shd w:fill="F1F5F9"/>
      </w:pPr>
      <w:r>
        <w:rPr>
          <w:rFonts w:ascii="Consolas" w:hAnsi="Consolas"/>
          <w:color w:val="1E293B"/>
          <w:sz w:val="19"/>
        </w:rPr>
        <w:t>cp .env.example .env</w:t>
        <w:br/>
        <w:t>nano .env   # edit with actual values</w:t>
      </w:r>
    </w:p>
    <w:p>
      <w:pPr>
        <w:pStyle w:val="Heading2"/>
        <w:spacing w:before="320" w:after="120"/>
      </w:pPr>
      <w:r>
        <w:rPr>
          <w:color w:val="1E40AF"/>
          <w:sz w:val="28"/>
        </w:rPr>
        <w:t>8.6 Step 5: Run</w:t>
      </w:r>
    </w:p>
    <w:p>
      <w:pPr>
        <w:spacing w:after="120" w:line="320" w:lineRule="exact"/>
      </w:pPr>
      <w:r>
        <w:rPr>
          <w:b w:val="0"/>
          <w:i w:val="0"/>
          <w:color w:val="1F2937"/>
          <w:sz w:val="22"/>
        </w:rPr>
        <w:t>Choose the appropriate execution mode (Section 10).</w:t>
      </w:r>
    </w:p>
    <w:p>
      <w:pPr>
        <w:pStyle w:val="Heading2"/>
        <w:spacing w:before="320" w:after="120"/>
      </w:pPr>
      <w:r>
        <w:rPr>
          <w:color w:val="1E40AF"/>
          <w:sz w:val="28"/>
        </w:rPr>
        <w:t>8.7 Step 6 (Optional): Install as Service</w:t>
      </w:r>
    </w:p>
    <w:p>
      <w:pPr>
        <w:spacing w:after="120" w:line="320" w:lineRule="exact"/>
      </w:pPr>
      <w:r>
        <w:rPr>
          <w:b w:val="0"/>
          <w:i w:val="0"/>
          <w:color w:val="1F2937"/>
          <w:sz w:val="22"/>
        </w:rPr>
        <w:t>For production Linux servers, install as a systemd service:</w:t>
      </w:r>
    </w:p>
    <w:p>
      <w:pPr>
        <w:spacing w:before="80" w:after="160"/>
        <w:ind w:left="567"/>
        <w:shd w:fill="F1F5F9"/>
      </w:pPr>
      <w:r>
        <w:rPr>
          <w:rFonts w:ascii="Consolas" w:hAnsi="Consolas"/>
          <w:color w:val="1E293B"/>
          <w:sz w:val="19"/>
        </w:rPr>
        <w:t># Edit the service file to adjust paths and user:</w:t>
        <w:br/>
        <w:t>nano server/osint-dlp.service</w:t>
        <w:br/>
        <w:br/>
        <w:t># Copy and activate:</w:t>
        <w:br/>
        <w:t>sudo cp server/osint-dlp.service /etc/systemd/system/</w:t>
        <w:br/>
        <w:t>sudo systemctl daemon-reload</w:t>
        <w:br/>
        <w:t>sudo systemctl enable osint-dlp</w:t>
        <w:br/>
        <w:t>sudo systemctl start osint-dlp</w:t>
      </w:r>
    </w:p>
    <w:p>
      <w:pPr>
        <w:pStyle w:val="Heading1"/>
        <w:spacing w:before="480" w:after="160"/>
      </w:pPr>
      <w:r>
        <w:rPr>
          <w:color w:val="1E40AF"/>
          <w:sz w:val="36"/>
        </w:rPr>
        <w:t>09. Environment Variables Configuration</w:t>
      </w:r>
    </w:p>
    <w:p>
      <w:pPr>
        <w:spacing w:before="0" w:after="240"/>
      </w:pPr>
      <w:r>
        <w:br/>
      </w:r>
    </w:p>
    <w:tbl>
      <w:tblPr>
        <w:tblW w:type="auto" w:w="0"/>
        <w:jc w:val="center"/>
        <w:tblLook w:firstColumn="1" w:firstRow="1" w:lastColumn="0" w:lastRow="0" w:noHBand="0" w:noVBand="1" w:val="04A0"/>
      </w:tblPr>
      <w:tblGrid>
        <w:gridCol w:w="2351"/>
        <w:gridCol w:w="2351"/>
        <w:gridCol w:w="2351"/>
        <w:gridCol w:w="2351"/>
      </w:tblGrid>
      <w:tr>
        <w:tc>
          <w:tcPr>
            <w:tcW w:type="dxa" w:w="2268"/>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Variable</w:t>
            </w:r>
          </w:p>
        </w:tc>
        <w:tc>
          <w:tcPr>
            <w:tcW w:type="dxa" w:w="3118"/>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Description</w:t>
            </w:r>
          </w:p>
        </w:tc>
        <w:tc>
          <w:tcPr>
            <w:tcW w:type="dxa" w:w="2551"/>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Default</w:t>
            </w:r>
          </w:p>
        </w:tc>
        <w:tc>
          <w:tcPr>
            <w:tcW w:type="dxa" w:w="1701"/>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Required</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DATABASE_URL</w:t>
            </w:r>
          </w:p>
        </w:tc>
        <w:tc>
          <w:tcPr>
            <w:tcW w:type="dxa" w:w="3118"/>
            <w:vAlign w:val="center"/>
            <w:tcBorders>
              <w:top w:val="single" w:sz="4" w:space="0" w:color="CBD5E1"/>
              <w:bottom w:val="single" w:sz="4" w:space="0" w:color="CBD5E1"/>
              <w:left w:val="single" w:sz="4" w:space="0" w:color="CBD5E1"/>
              <w:right w:val="single" w:sz="4" w:space="0" w:color="CBD5E1"/>
            </w:tcBorders>
          </w:tcPr>
          <w:p>
            <w:r/>
            <w:r>
              <w:rPr>
                <w:color w:val="1F2937"/>
                <w:sz w:val="19"/>
              </w:rPr>
              <w:t>SQLite connection URL</w:t>
            </w:r>
          </w:p>
        </w:tc>
        <w:tc>
          <w:tcPr>
            <w:tcW w:type="dxa" w:w="2551"/>
            <w:vAlign w:val="center"/>
            <w:tcBorders>
              <w:top w:val="single" w:sz="4" w:space="0" w:color="CBD5E1"/>
              <w:bottom w:val="single" w:sz="4" w:space="0" w:color="CBD5E1"/>
              <w:left w:val="single" w:sz="4" w:space="0" w:color="CBD5E1"/>
              <w:right w:val="single" w:sz="4" w:space="0" w:color="CBD5E1"/>
            </w:tcBorders>
          </w:tcPr>
          <w:p>
            <w:r/>
            <w:r>
              <w:rPr>
                <w:color w:val="1F2937"/>
                <w:sz w:val="19"/>
              </w:rPr>
              <w:t>sqlite+aiosqlite:///osint_dlp.db</w:t>
            </w:r>
          </w:p>
        </w:tc>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Yes</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API_HOST</w:t>
            </w:r>
          </w:p>
        </w:tc>
        <w:tc>
          <w:tcPr>
            <w:tcW w:type="dxa" w:w="311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Host the server listens on</w:t>
            </w:r>
          </w:p>
        </w:tc>
        <w:tc>
          <w:tcPr>
            <w:tcW w:type="dxa" w:w="255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0.0.0.0</w:t>
            </w:r>
          </w:p>
        </w:tc>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No</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API_PORT</w:t>
            </w:r>
          </w:p>
        </w:tc>
        <w:tc>
          <w:tcPr>
            <w:tcW w:type="dxa" w:w="3118"/>
            <w:vAlign w:val="center"/>
            <w:tcBorders>
              <w:top w:val="single" w:sz="4" w:space="0" w:color="CBD5E1"/>
              <w:bottom w:val="single" w:sz="4" w:space="0" w:color="CBD5E1"/>
              <w:left w:val="single" w:sz="4" w:space="0" w:color="CBD5E1"/>
              <w:right w:val="single" w:sz="4" w:space="0" w:color="CBD5E1"/>
            </w:tcBorders>
          </w:tcPr>
          <w:p>
            <w:r/>
            <w:r>
              <w:rPr>
                <w:color w:val="1F2937"/>
                <w:sz w:val="19"/>
              </w:rPr>
              <w:t>Web server port</w:t>
            </w:r>
          </w:p>
        </w:tc>
        <w:tc>
          <w:tcPr>
            <w:tcW w:type="dxa" w:w="2551"/>
            <w:vAlign w:val="center"/>
            <w:tcBorders>
              <w:top w:val="single" w:sz="4" w:space="0" w:color="CBD5E1"/>
              <w:bottom w:val="single" w:sz="4" w:space="0" w:color="CBD5E1"/>
              <w:left w:val="single" w:sz="4" w:space="0" w:color="CBD5E1"/>
              <w:right w:val="single" w:sz="4" w:space="0" w:color="CBD5E1"/>
            </w:tcBorders>
          </w:tcPr>
          <w:p>
            <w:r/>
            <w:r>
              <w:rPr>
                <w:color w:val="1F2937"/>
                <w:sz w:val="19"/>
              </w:rPr>
              <w:t>8443</w:t>
            </w:r>
          </w:p>
        </w:tc>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No</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TELEGRAM_BOT_TOKEN</w:t>
            </w:r>
          </w:p>
        </w:tc>
        <w:tc>
          <w:tcPr>
            <w:tcW w:type="dxa" w:w="311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Telegram bot token (from @BotFather)</w:t>
            </w:r>
          </w:p>
        </w:tc>
        <w:tc>
          <w:tcPr>
            <w:tcW w:type="dxa" w:w="255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w:t>
            </w:r>
          </w:p>
        </w:tc>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For alerts</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TELEGRAM_CHAT_ID</w:t>
            </w:r>
          </w:p>
        </w:tc>
        <w:tc>
          <w:tcPr>
            <w:tcW w:type="dxa" w:w="3118"/>
            <w:vAlign w:val="center"/>
            <w:tcBorders>
              <w:top w:val="single" w:sz="4" w:space="0" w:color="CBD5E1"/>
              <w:bottom w:val="single" w:sz="4" w:space="0" w:color="CBD5E1"/>
              <w:left w:val="single" w:sz="4" w:space="0" w:color="CBD5E1"/>
              <w:right w:val="single" w:sz="4" w:space="0" w:color="CBD5E1"/>
            </w:tcBorders>
          </w:tcPr>
          <w:p>
            <w:r/>
            <w:r>
              <w:rPr>
                <w:color w:val="1F2937"/>
                <w:sz w:val="19"/>
              </w:rPr>
              <w:t>Telegram chat/group ID for alerts</w:t>
            </w:r>
          </w:p>
        </w:tc>
        <w:tc>
          <w:tcPr>
            <w:tcW w:type="dxa" w:w="2551"/>
            <w:vAlign w:val="center"/>
            <w:tcBorders>
              <w:top w:val="single" w:sz="4" w:space="0" w:color="CBD5E1"/>
              <w:bottom w:val="single" w:sz="4" w:space="0" w:color="CBD5E1"/>
              <w:left w:val="single" w:sz="4" w:space="0" w:color="CBD5E1"/>
              <w:right w:val="single" w:sz="4" w:space="0" w:color="CBD5E1"/>
            </w:tcBorders>
          </w:tcPr>
          <w:p>
            <w:r/>
            <w:r>
              <w:rPr>
                <w:color w:val="1F2937"/>
                <w:sz w:val="19"/>
              </w:rPr>
              <w:t>—</w:t>
            </w:r>
          </w:p>
        </w:tc>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For alerts</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SCAN_SCHEDULE_HOURS</w:t>
            </w:r>
          </w:p>
        </w:tc>
        <w:tc>
          <w:tcPr>
            <w:tcW w:type="dxa" w:w="311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Auto-scan hours (comma-separated)</w:t>
            </w:r>
          </w:p>
        </w:tc>
        <w:tc>
          <w:tcPr>
            <w:tcW w:type="dxa" w:w="255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8,14,22</w:t>
            </w:r>
          </w:p>
        </w:tc>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No</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SERVER_MODE</w:t>
            </w:r>
          </w:p>
        </w:tc>
        <w:tc>
          <w:tcPr>
            <w:tcW w:type="dxa" w:w="3118"/>
            <w:vAlign w:val="center"/>
            <w:tcBorders>
              <w:top w:val="single" w:sz="4" w:space="0" w:color="CBD5E1"/>
              <w:bottom w:val="single" w:sz="4" w:space="0" w:color="CBD5E1"/>
              <w:left w:val="single" w:sz="4" w:space="0" w:color="CBD5E1"/>
              <w:right w:val="single" w:sz="4" w:space="0" w:color="CBD5E1"/>
            </w:tcBorders>
          </w:tcPr>
          <w:p>
            <w:r/>
            <w:r>
              <w:rPr>
                <w:color w:val="1F2937"/>
                <w:sz w:val="19"/>
              </w:rPr>
              <w:t>Enable server features (scheduler, alerts)</w:t>
            </w:r>
          </w:p>
        </w:tc>
        <w:tc>
          <w:tcPr>
            <w:tcW w:type="dxa" w:w="2551"/>
            <w:vAlign w:val="center"/>
            <w:tcBorders>
              <w:top w:val="single" w:sz="4" w:space="0" w:color="CBD5E1"/>
              <w:bottom w:val="single" w:sz="4" w:space="0" w:color="CBD5E1"/>
              <w:left w:val="single" w:sz="4" w:space="0" w:color="CBD5E1"/>
              <w:right w:val="single" w:sz="4" w:space="0" w:color="CBD5E1"/>
            </w:tcBorders>
          </w:tcPr>
          <w:p>
            <w:r/>
            <w:r>
              <w:rPr>
                <w:color w:val="1F2937"/>
                <w:sz w:val="19"/>
              </w:rPr>
              <w:t>true</w:t>
            </w:r>
          </w:p>
        </w:tc>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No</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DASHBOARD_URL</w:t>
            </w:r>
          </w:p>
        </w:tc>
        <w:tc>
          <w:tcPr>
            <w:tcW w:type="dxa" w:w="311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Public dashboard URL (used in Telegram links)</w:t>
            </w:r>
          </w:p>
        </w:tc>
        <w:tc>
          <w:tcPr>
            <w:tcW w:type="dxa" w:w="255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http://localhost:8443</w:t>
            </w:r>
          </w:p>
        </w:tc>
        <w:tc>
          <w:tcPr>
            <w:tcW w:type="dxa" w:w="1701"/>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No</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PROXY_URL</w:t>
            </w:r>
          </w:p>
        </w:tc>
        <w:tc>
          <w:tcPr>
            <w:tcW w:type="dxa" w:w="3118"/>
            <w:vAlign w:val="center"/>
            <w:tcBorders>
              <w:top w:val="single" w:sz="4" w:space="0" w:color="CBD5E1"/>
              <w:bottom w:val="single" w:sz="4" w:space="0" w:color="CBD5E1"/>
              <w:left w:val="single" w:sz="4" w:space="0" w:color="CBD5E1"/>
              <w:right w:val="single" w:sz="4" w:space="0" w:color="CBD5E1"/>
            </w:tcBorders>
          </w:tcPr>
          <w:p>
            <w:r/>
            <w:r>
              <w:rPr>
                <w:color w:val="1F2937"/>
                <w:sz w:val="19"/>
              </w:rPr>
              <w:t>SOCKS5 proxy for crawling</w:t>
            </w:r>
          </w:p>
        </w:tc>
        <w:tc>
          <w:tcPr>
            <w:tcW w:type="dxa" w:w="2551"/>
            <w:vAlign w:val="center"/>
            <w:tcBorders>
              <w:top w:val="single" w:sz="4" w:space="0" w:color="CBD5E1"/>
              <w:bottom w:val="single" w:sz="4" w:space="0" w:color="CBD5E1"/>
              <w:left w:val="single" w:sz="4" w:space="0" w:color="CBD5E1"/>
              <w:right w:val="single" w:sz="4" w:space="0" w:color="CBD5E1"/>
            </w:tcBorders>
          </w:tcPr>
          <w:p>
            <w:r/>
            <w:r>
              <w:rPr>
                <w:color w:val="1F2937"/>
                <w:sz w:val="19"/>
              </w:rPr>
              <w:t>—</w:t>
            </w:r>
          </w:p>
        </w:tc>
        <w:tc>
          <w:tcPr>
            <w:tcW w:type="dxa" w:w="1701"/>
            <w:vAlign w:val="center"/>
            <w:tcBorders>
              <w:top w:val="single" w:sz="4" w:space="0" w:color="CBD5E1"/>
              <w:bottom w:val="single" w:sz="4" w:space="0" w:color="CBD5E1"/>
              <w:left w:val="single" w:sz="4" w:space="0" w:color="CBD5E1"/>
              <w:right w:val="single" w:sz="4" w:space="0" w:color="CBD5E1"/>
            </w:tcBorders>
          </w:tcPr>
          <w:p>
            <w:r/>
            <w:r>
              <w:rPr>
                <w:color w:val="1F2937"/>
                <w:sz w:val="19"/>
              </w:rPr>
              <w:t>No</w:t>
            </w:r>
          </w:p>
        </w:tc>
      </w:tr>
    </w:tbl>
    <w:p>
      <w:pPr>
        <w:spacing w:after="160"/>
      </w:pPr>
    </w:p>
    <w:p>
      <w:pPr>
        <w:pStyle w:val="Heading1"/>
        <w:spacing w:before="480" w:after="160"/>
      </w:pPr>
      <w:r>
        <w:rPr>
          <w:color w:val="1E40AF"/>
          <w:sz w:val="36"/>
        </w:rPr>
        <w:t>10. Execution and Commands</w:t>
      </w:r>
    </w:p>
    <w:p>
      <w:pPr>
        <w:spacing w:before="0" w:after="240"/>
      </w:pPr>
      <w:r>
        <w:br/>
      </w:r>
    </w:p>
    <w:tbl>
      <w:tblPr>
        <w:tblW w:type="auto" w:w="0"/>
        <w:jc w:val="center"/>
        <w:tblLook w:firstColumn="1" w:firstRow="1" w:lastColumn="0" w:lastRow="0" w:noHBand="0" w:noVBand="1" w:val="04A0"/>
      </w:tblPr>
      <w:tblGrid>
        <w:gridCol w:w="3135"/>
        <w:gridCol w:w="3135"/>
        <w:gridCol w:w="3135"/>
      </w:tblGrid>
      <w:tr>
        <w:tc>
          <w:tcPr>
            <w:tcW w:type="dxa" w:w="2268"/>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Mode</w:t>
            </w:r>
          </w:p>
        </w:tc>
        <w:tc>
          <w:tcPr>
            <w:tcW w:type="dxa" w:w="3402"/>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Command</w:t>
            </w:r>
          </w:p>
        </w:tc>
        <w:tc>
          <w:tcPr>
            <w:tcW w:type="dxa" w:w="3969"/>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Description</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Local Development</w:t>
            </w:r>
          </w:p>
        </w:tc>
        <w:tc>
          <w:tcPr>
            <w:tcW w:type="dxa" w:w="3402"/>
            <w:vAlign w:val="center"/>
            <w:tcBorders>
              <w:top w:val="single" w:sz="4" w:space="0" w:color="CBD5E1"/>
              <w:bottom w:val="single" w:sz="4" w:space="0" w:color="CBD5E1"/>
              <w:left w:val="single" w:sz="4" w:space="0" w:color="CBD5E1"/>
              <w:right w:val="single" w:sz="4" w:space="0" w:color="CBD5E1"/>
            </w:tcBorders>
          </w:tcPr>
          <w:p>
            <w:r/>
            <w:r>
              <w:rPr>
                <w:color w:val="1F2937"/>
                <w:sz w:val="19"/>
              </w:rPr>
              <w:t>python run.py</w:t>
            </w:r>
          </w:p>
        </w:tc>
        <w:tc>
          <w:tcPr>
            <w:tcW w:type="dxa" w:w="3969"/>
            <w:vAlign w:val="center"/>
            <w:tcBorders>
              <w:top w:val="single" w:sz="4" w:space="0" w:color="CBD5E1"/>
              <w:bottom w:val="single" w:sz="4" w:space="0" w:color="CBD5E1"/>
              <w:left w:val="single" w:sz="4" w:space="0" w:color="CBD5E1"/>
              <w:right w:val="single" w:sz="4" w:space="0" w:color="CBD5E1"/>
            </w:tcBorders>
          </w:tcPr>
          <w:p>
            <w:r/>
            <w:r>
              <w:rPr>
                <w:color w:val="1F2937"/>
                <w:sz w:val="19"/>
              </w:rPr>
              <w:t>Local web server without scheduler or Telegram</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Server (Production)</w:t>
            </w:r>
          </w:p>
        </w:tc>
        <w:tc>
          <w:tcPr>
            <w:tcW w:type="dxa" w:w="340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python server/run_server.py</w:t>
            </w:r>
          </w:p>
        </w:tc>
        <w:tc>
          <w:tcPr>
            <w:tcW w:type="dxa" w:w="3969"/>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Dashboard + Telegram + Auto-scan 3x/day</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Desktop (GUI)</w:t>
            </w:r>
          </w:p>
        </w:tc>
        <w:tc>
          <w:tcPr>
            <w:tcW w:type="dxa" w:w="3402"/>
            <w:vAlign w:val="center"/>
            <w:tcBorders>
              <w:top w:val="single" w:sz="4" w:space="0" w:color="CBD5E1"/>
              <w:bottom w:val="single" w:sz="4" w:space="0" w:color="CBD5E1"/>
              <w:left w:val="single" w:sz="4" w:space="0" w:color="CBD5E1"/>
              <w:right w:val="single" w:sz="4" w:space="0" w:color="CBD5E1"/>
            </w:tcBorders>
          </w:tcPr>
          <w:p>
            <w:r/>
            <w:r>
              <w:rPr>
                <w:color w:val="1F2937"/>
                <w:sz w:val="19"/>
              </w:rPr>
              <w:t>python desktop/run_desktop.py</w:t>
            </w:r>
          </w:p>
        </w:tc>
        <w:tc>
          <w:tcPr>
            <w:tcW w:type="dxa" w:w="3969"/>
            <w:vAlign w:val="center"/>
            <w:tcBorders>
              <w:top w:val="single" w:sz="4" w:space="0" w:color="CBD5E1"/>
              <w:bottom w:val="single" w:sz="4" w:space="0" w:color="CBD5E1"/>
              <w:left w:val="single" w:sz="4" w:space="0" w:color="CBD5E1"/>
              <w:right w:val="single" w:sz="4" w:space="0" w:color="CBD5E1"/>
            </w:tcBorders>
          </w:tcPr>
          <w:p>
            <w:r/>
            <w:r>
              <w:rPr>
                <w:color w:val="1F2937"/>
                <w:sz w:val="19"/>
              </w:rPr>
              <w:t>Standalone graphical interface</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Build Desktop</w:t>
            </w:r>
          </w:p>
        </w:tc>
        <w:tc>
          <w:tcPr>
            <w:tcW w:type="dxa" w:w="340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python setup_desktop.py build</w:t>
            </w:r>
          </w:p>
        </w:tc>
        <w:tc>
          <w:tcPr>
            <w:tcW w:type="dxa" w:w="3969"/>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Generate .exe via cx_Freeze</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Data Ingestion</w:t>
            </w:r>
          </w:p>
        </w:tc>
        <w:tc>
          <w:tcPr>
            <w:tcW w:type="dxa" w:w="3402"/>
            <w:vAlign w:val="center"/>
            <w:tcBorders>
              <w:top w:val="single" w:sz="4" w:space="0" w:color="CBD5E1"/>
              <w:bottom w:val="single" w:sz="4" w:space="0" w:color="CBD5E1"/>
              <w:left w:val="single" w:sz="4" w:space="0" w:color="CBD5E1"/>
              <w:right w:val="single" w:sz="4" w:space="0" w:color="CBD5E1"/>
            </w:tcBorders>
          </w:tcPr>
          <w:p>
            <w:r/>
            <w:r>
              <w:rPr>
                <w:color w:val="1F2937"/>
                <w:sz w:val="19"/>
              </w:rPr>
              <w:t>python tools/ingest_anexos.py</w:t>
            </w:r>
          </w:p>
        </w:tc>
        <w:tc>
          <w:tcPr>
            <w:tcW w:type="dxa" w:w="3969"/>
            <w:vAlign w:val="center"/>
            <w:tcBorders>
              <w:top w:val="single" w:sz="4" w:space="0" w:color="CBD5E1"/>
              <w:bottom w:val="single" w:sz="4" w:space="0" w:color="CBD5E1"/>
              <w:left w:val="single" w:sz="4" w:space="0" w:color="CBD5E1"/>
              <w:right w:val="single" w:sz="4" w:space="0" w:color="CBD5E1"/>
            </w:tcBorders>
          </w:tcPr>
          <w:p>
            <w:r/>
            <w:r>
              <w:rPr>
                <w:color w:val="1F2937"/>
                <w:sz w:val="19"/>
              </w:rPr>
              <w:t>Process new registration PDFs</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Generate Docs</w:t>
            </w:r>
          </w:p>
        </w:tc>
        <w:tc>
          <w:tcPr>
            <w:tcW w:type="dxa" w:w="340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python tools/generate_docs.py</w:t>
            </w:r>
          </w:p>
        </w:tc>
        <w:tc>
          <w:tcPr>
            <w:tcW w:type="dxa" w:w="3969"/>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Recreate these documents</w:t>
            </w:r>
          </w:p>
        </w:tc>
      </w:tr>
    </w:tbl>
    <w:p>
      <w:pPr>
        <w:spacing w:after="160"/>
      </w:pPr>
    </w:p>
    <w:p>
      <w:pPr>
        <w:pStyle w:val="Heading1"/>
        <w:spacing w:before="480" w:after="160"/>
      </w:pPr>
      <w:r>
        <w:rPr>
          <w:color w:val="1E40AF"/>
          <w:sz w:val="36"/>
        </w:rPr>
        <w:t>11. Web Dashboard — Visual Guide</w:t>
      </w:r>
    </w:p>
    <w:p>
      <w:pPr>
        <w:spacing w:before="0" w:after="240"/>
      </w:pPr>
      <w:r>
        <w:br/>
      </w:r>
    </w:p>
    <w:tbl>
      <w:tblPr>
        <w:tblW w:type="auto" w:w="0"/>
        <w:jc w:val="center"/>
        <w:tblLook w:firstColumn="1" w:firstRow="1" w:lastColumn="0" w:lastRow="0" w:noHBand="0" w:noVBand="1" w:val="04A0"/>
      </w:tblPr>
      <w:tblGrid>
        <w:gridCol w:w="4703"/>
        <w:gridCol w:w="4703"/>
      </w:tblGrid>
      <w:tr>
        <w:tc>
          <w:tcPr>
            <w:tcW w:type="dxa" w:w="2268"/>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Section</w:t>
            </w:r>
          </w:p>
        </w:tc>
        <w:tc>
          <w:tcPr>
            <w:tcW w:type="dxa" w:w="7370"/>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Description</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Header</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Logo, system status (Idle/Scanning with pulsing dot), 'Start Scan' button</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Progress Bar</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Appears during scans with current phase, percentage, and dork/URL detail</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Metrics</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5 cards with Total Findings, Critical, High, Medium, and Low (hover animation)</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Risk Chart</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Doughnut chart showing distribution by risk level</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Leak Sources</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Horizontal bar chart with platforms containing the most leaks</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Triage Table</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Complete finding list with 13 filterable columns</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Detail Panel</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Slide-in side panel with complete finding information</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Actions</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Buttons to classify: Investigate, False Positive, Resolved, Notified</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Pagination</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Navigation between result pages (20 per page)</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Toasts</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Floating notifications for action confirmations and new alerts</w:t>
            </w:r>
          </w:p>
        </w:tc>
      </w:tr>
    </w:tbl>
    <w:p>
      <w:pPr>
        <w:spacing w:after="160"/>
      </w:pPr>
    </w:p>
    <w:p>
      <w:pPr>
        <w:pStyle w:val="Heading1"/>
        <w:spacing w:before="480" w:after="160"/>
      </w:pPr>
      <w:r>
        <w:rPr>
          <w:color w:val="1E40AF"/>
          <w:sz w:val="36"/>
        </w:rPr>
        <w:t>12. Telegram Alerts</w:t>
      </w:r>
    </w:p>
    <w:p>
      <w:pPr>
        <w:spacing w:before="0" w:after="240"/>
      </w:pPr>
      <w:r>
        <w:br/>
      </w:r>
    </w:p>
    <w:tbl>
      <w:tblPr>
        <w:tblW w:type="auto" w:w="0"/>
        <w:jc w:val="center"/>
        <w:tblLook w:firstColumn="1" w:firstRow="1" w:lastColumn="0" w:lastRow="0" w:noHBand="0" w:noVBand="1" w:val="04A0"/>
      </w:tblPr>
      <w:tblGrid>
        <w:gridCol w:w="3135"/>
        <w:gridCol w:w="3135"/>
        <w:gridCol w:w="3135"/>
      </w:tblGrid>
      <w:tr>
        <w:tc>
          <w:tcPr>
            <w:tcW w:type="dxa" w:w="1984"/>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Alert</w:t>
            </w:r>
          </w:p>
        </w:tc>
        <w:tc>
          <w:tcPr>
            <w:tcW w:type="dxa" w:w="2268"/>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When</w:t>
            </w:r>
          </w:p>
        </w:tc>
        <w:tc>
          <w:tcPr>
            <w:tcW w:type="dxa" w:w="5386"/>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Content</w:t>
            </w:r>
          </w:p>
        </w:tc>
      </w:tr>
      <w:tr>
        <w:tc>
          <w:tcPr>
            <w:tcW w:type="dxa" w:w="1984"/>
            <w:vAlign w:val="center"/>
            <w:tcBorders>
              <w:top w:val="single" w:sz="4" w:space="0" w:color="CBD5E1"/>
              <w:bottom w:val="single" w:sz="4" w:space="0" w:color="CBD5E1"/>
              <w:left w:val="single" w:sz="4" w:space="0" w:color="CBD5E1"/>
              <w:right w:val="single" w:sz="4" w:space="0" w:color="CBD5E1"/>
            </w:tcBorders>
          </w:tcPr>
          <w:p>
            <w:r/>
            <w:r>
              <w:rPr>
                <w:color w:val="1F2937"/>
                <w:sz w:val="19"/>
              </w:rPr>
              <w:t>System Online</w:t>
            </w:r>
          </w:p>
        </w:tc>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Service startup</w:t>
            </w:r>
          </w:p>
        </w:tc>
        <w:tc>
          <w:tcPr>
            <w:tcW w:type="dxa" w:w="5386"/>
            <w:vAlign w:val="center"/>
            <w:tcBorders>
              <w:top w:val="single" w:sz="4" w:space="0" w:color="CBD5E1"/>
              <w:bottom w:val="single" w:sz="4" w:space="0" w:color="CBD5E1"/>
              <w:left w:val="single" w:sz="4" w:space="0" w:color="CBD5E1"/>
              <w:right w:val="single" w:sz="4" w:space="0" w:color="CBD5E1"/>
            </w:tcBorders>
          </w:tcPr>
          <w:p>
            <w:r/>
            <w:r>
              <w:rPr>
                <w:color w:val="1F2937"/>
                <w:sz w:val="19"/>
              </w:rPr>
              <w:t>Dashboard URL, timestamp, configured scan schedule</w:t>
            </w:r>
          </w:p>
        </w:tc>
      </w:tr>
      <w:tr>
        <w:tc>
          <w:tcPr>
            <w:tcW w:type="dxa" w:w="1984"/>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Scan Started</w:t>
            </w:r>
          </w:p>
        </w:tc>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Start of each scan</w:t>
            </w:r>
          </w:p>
        </w:tc>
        <w:tc>
          <w:tcPr>
            <w:tcW w:type="dxa" w:w="5386"/>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Number of dorks to execute, timestamp</w:t>
            </w:r>
          </w:p>
        </w:tc>
      </w:tr>
      <w:tr>
        <w:tc>
          <w:tcPr>
            <w:tcW w:type="dxa" w:w="1984"/>
            <w:vAlign w:val="center"/>
            <w:tcBorders>
              <w:top w:val="single" w:sz="4" w:space="0" w:color="CBD5E1"/>
              <w:bottom w:val="single" w:sz="4" w:space="0" w:color="CBD5E1"/>
              <w:left w:val="single" w:sz="4" w:space="0" w:color="CBD5E1"/>
              <w:right w:val="single" w:sz="4" w:space="0" w:color="CBD5E1"/>
            </w:tcBorders>
          </w:tcPr>
          <w:p>
            <w:r/>
            <w:r>
              <w:rPr>
                <w:color w:val="1F2937"/>
                <w:sz w:val="19"/>
              </w:rPr>
              <w:t>Scan Summary</w:t>
            </w:r>
          </w:p>
        </w:tc>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End of each scan</w:t>
            </w:r>
          </w:p>
        </w:tc>
        <w:tc>
          <w:tcPr>
            <w:tcW w:type="dxa" w:w="5386"/>
            <w:vAlign w:val="center"/>
            <w:tcBorders>
              <w:top w:val="single" w:sz="4" w:space="0" w:color="CBD5E1"/>
              <w:bottom w:val="single" w:sz="4" w:space="0" w:color="CBD5E1"/>
              <w:left w:val="single" w:sz="4" w:space="0" w:color="CBD5E1"/>
              <w:right w:val="single" w:sz="4" w:space="0" w:color="CBD5E1"/>
            </w:tcBorders>
          </w:tcPr>
          <w:p>
            <w:r/>
            <w:r>
              <w:rPr>
                <w:color w:val="1F2937"/>
                <w:sz w:val="19"/>
              </w:rPr>
              <w:t>Count by level + list of ALL new links grouped by risk</w:t>
            </w:r>
          </w:p>
        </w:tc>
      </w:tr>
    </w:tbl>
    <w:p>
      <w:pPr>
        <w:spacing w:after="160"/>
      </w:pPr>
    </w:p>
    <w:p>
      <w:pPr>
        <w:pStyle w:val="Heading2"/>
        <w:spacing w:before="320" w:after="120"/>
      </w:pPr>
      <w:r>
        <w:rPr>
          <w:color w:val="1E40AF"/>
          <w:sz w:val="28"/>
        </w:rPr>
        <w:t>12.2 Incremental Behavior</w:t>
      </w:r>
    </w:p>
    <w:p>
      <w:pPr>
        <w:spacing w:after="120" w:line="320" w:lineRule="exact"/>
      </w:pPr>
      <w:r>
        <w:rPr>
          <w:b w:val="0"/>
          <w:i w:val="0"/>
          <w:color w:val="1F2937"/>
          <w:sz w:val="22"/>
        </w:rPr>
        <w:t>The system uses URL-based deduplication: if a document was found in a previous scan, it is not reprocessed or notified again. This ensures only NEW leaks generate alerts.</w:t>
      </w:r>
    </w:p>
    <w:p>
      <w:pPr>
        <w:pStyle w:val="Heading1"/>
        <w:spacing w:before="480" w:after="160"/>
      </w:pPr>
      <w:r>
        <w:rPr>
          <w:color w:val="1E40AF"/>
          <w:sz w:val="36"/>
        </w:rPr>
        <w:t>13. REST API — Complete Reference</w:t>
      </w:r>
    </w:p>
    <w:p>
      <w:pPr>
        <w:spacing w:before="0" w:after="240"/>
      </w:pPr>
      <w:r>
        <w:br/>
      </w:r>
    </w:p>
    <w:tbl>
      <w:tblPr>
        <w:tblW w:type="auto" w:w="0"/>
        <w:jc w:val="center"/>
        <w:tblLook w:firstColumn="1" w:firstRow="1" w:lastColumn="0" w:lastRow="0" w:noHBand="0" w:noVBand="1" w:val="04A0"/>
      </w:tblPr>
      <w:tblGrid>
        <w:gridCol w:w="3135"/>
        <w:gridCol w:w="3135"/>
        <w:gridCol w:w="3135"/>
      </w:tblGrid>
      <w:tr>
        <w:tc>
          <w:tcPr>
            <w:tcW w:type="dxa" w:w="850"/>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Method</w:t>
            </w:r>
          </w:p>
        </w:tc>
        <w:tc>
          <w:tcPr>
            <w:tcW w:type="dxa" w:w="4535"/>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Endpoint</w:t>
            </w:r>
          </w:p>
        </w:tc>
        <w:tc>
          <w:tcPr>
            <w:tcW w:type="dxa" w:w="4252"/>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Description</w:t>
            </w:r>
          </w:p>
        </w:tc>
      </w:tr>
      <w:tr>
        <w:tc>
          <w:tcPr>
            <w:tcW w:type="dxa" w:w="850"/>
            <w:vAlign w:val="center"/>
            <w:tcBorders>
              <w:top w:val="single" w:sz="4" w:space="0" w:color="CBD5E1"/>
              <w:bottom w:val="single" w:sz="4" w:space="0" w:color="CBD5E1"/>
              <w:left w:val="single" w:sz="4" w:space="0" w:color="CBD5E1"/>
              <w:right w:val="single" w:sz="4" w:space="0" w:color="CBD5E1"/>
            </w:tcBorders>
          </w:tcPr>
          <w:p>
            <w:r/>
            <w:r>
              <w:rPr>
                <w:color w:val="1F2937"/>
                <w:sz w:val="19"/>
              </w:rPr>
              <w:t>GET</w:t>
            </w:r>
          </w:p>
        </w:tc>
        <w:tc>
          <w:tcPr>
            <w:tcW w:type="dxa" w:w="4535"/>
            <w:vAlign w:val="center"/>
            <w:tcBorders>
              <w:top w:val="single" w:sz="4" w:space="0" w:color="CBD5E1"/>
              <w:bottom w:val="single" w:sz="4" w:space="0" w:color="CBD5E1"/>
              <w:left w:val="single" w:sz="4" w:space="0" w:color="CBD5E1"/>
              <w:right w:val="single" w:sz="4" w:space="0" w:color="CBD5E1"/>
            </w:tcBorders>
          </w:tcPr>
          <w:p>
            <w:r/>
            <w:r>
              <w:rPr>
                <w:color w:val="1F2937"/>
                <w:sz w:val="19"/>
              </w:rPr>
              <w:t>/</w:t>
            </w:r>
          </w:p>
        </w:tc>
        <w:tc>
          <w:tcPr>
            <w:tcW w:type="dxa" w:w="4252"/>
            <w:vAlign w:val="center"/>
            <w:tcBorders>
              <w:top w:val="single" w:sz="4" w:space="0" w:color="CBD5E1"/>
              <w:bottom w:val="single" w:sz="4" w:space="0" w:color="CBD5E1"/>
              <w:left w:val="single" w:sz="4" w:space="0" w:color="CBD5E1"/>
              <w:right w:val="single" w:sz="4" w:space="0" w:color="CBD5E1"/>
            </w:tcBorders>
          </w:tcPr>
          <w:p>
            <w:r/>
            <w:r>
              <w:rPr>
                <w:color w:val="1F2937"/>
                <w:sz w:val="19"/>
              </w:rPr>
              <w:t>Complete HTML dashboard</w:t>
            </w:r>
          </w:p>
        </w:tc>
      </w:tr>
      <w:tr>
        <w:tc>
          <w:tcPr>
            <w:tcW w:type="dxa" w:w="85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GET</w:t>
            </w:r>
          </w:p>
        </w:tc>
        <w:tc>
          <w:tcPr>
            <w:tcW w:type="dxa" w:w="45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/api/dashboard</w:t>
            </w:r>
          </w:p>
        </w:tc>
        <w:tc>
          <w:tcPr>
            <w:tcW w:type="dxa" w:w="425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Aggregated metrics: totals, by risk, platform, category, last scan</w:t>
            </w:r>
          </w:p>
        </w:tc>
      </w:tr>
      <w:tr>
        <w:tc>
          <w:tcPr>
            <w:tcW w:type="dxa" w:w="850"/>
            <w:vAlign w:val="center"/>
            <w:tcBorders>
              <w:top w:val="single" w:sz="4" w:space="0" w:color="CBD5E1"/>
              <w:bottom w:val="single" w:sz="4" w:space="0" w:color="CBD5E1"/>
              <w:left w:val="single" w:sz="4" w:space="0" w:color="CBD5E1"/>
              <w:right w:val="single" w:sz="4" w:space="0" w:color="CBD5E1"/>
            </w:tcBorders>
          </w:tcPr>
          <w:p>
            <w:r/>
            <w:r>
              <w:rPr>
                <w:color w:val="1F2937"/>
                <w:sz w:val="19"/>
              </w:rPr>
              <w:t>GET</w:t>
            </w:r>
          </w:p>
        </w:tc>
        <w:tc>
          <w:tcPr>
            <w:tcW w:type="dxa" w:w="4535"/>
            <w:vAlign w:val="center"/>
            <w:tcBorders>
              <w:top w:val="single" w:sz="4" w:space="0" w:color="CBD5E1"/>
              <w:bottom w:val="single" w:sz="4" w:space="0" w:color="CBD5E1"/>
              <w:left w:val="single" w:sz="4" w:space="0" w:color="CBD5E1"/>
              <w:right w:val="single" w:sz="4" w:space="0" w:color="CBD5E1"/>
            </w:tcBorders>
          </w:tcPr>
          <w:p>
            <w:r/>
            <w:r>
              <w:rPr>
                <w:color w:val="1F2937"/>
                <w:sz w:val="19"/>
              </w:rPr>
              <w:t>/api/findings?page=N&amp;risk_level=X&amp;status=Y&amp;category=Z&amp;country=C&amp;language=L</w:t>
            </w:r>
          </w:p>
        </w:tc>
        <w:tc>
          <w:tcPr>
            <w:tcW w:type="dxa" w:w="4252"/>
            <w:vAlign w:val="center"/>
            <w:tcBorders>
              <w:top w:val="single" w:sz="4" w:space="0" w:color="CBD5E1"/>
              <w:bottom w:val="single" w:sz="4" w:space="0" w:color="CBD5E1"/>
              <w:left w:val="single" w:sz="4" w:space="0" w:color="CBD5E1"/>
              <w:right w:val="single" w:sz="4" w:space="0" w:color="CBD5E1"/>
            </w:tcBorders>
          </w:tcPr>
          <w:p>
            <w:r/>
            <w:r>
              <w:rPr>
                <w:color w:val="1F2937"/>
                <w:sz w:val="19"/>
              </w:rPr>
              <w:t>List findings with pagination and filters</w:t>
            </w:r>
          </w:p>
        </w:tc>
      </w:tr>
      <w:tr>
        <w:tc>
          <w:tcPr>
            <w:tcW w:type="dxa" w:w="85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PATCH</w:t>
            </w:r>
          </w:p>
        </w:tc>
        <w:tc>
          <w:tcPr>
            <w:tcW w:type="dxa" w:w="45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/api/findings/{id}/status</w:t>
            </w:r>
          </w:p>
        </w:tc>
        <w:tc>
          <w:tcPr>
            <w:tcW w:type="dxa" w:w="425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Update status: pending, investigating, false_positive, resolved, notified</w:t>
            </w:r>
          </w:p>
        </w:tc>
      </w:tr>
      <w:tr>
        <w:tc>
          <w:tcPr>
            <w:tcW w:type="dxa" w:w="850"/>
            <w:vAlign w:val="center"/>
            <w:tcBorders>
              <w:top w:val="single" w:sz="4" w:space="0" w:color="CBD5E1"/>
              <w:bottom w:val="single" w:sz="4" w:space="0" w:color="CBD5E1"/>
              <w:left w:val="single" w:sz="4" w:space="0" w:color="CBD5E1"/>
              <w:right w:val="single" w:sz="4" w:space="0" w:color="CBD5E1"/>
            </w:tcBorders>
          </w:tcPr>
          <w:p>
            <w:r/>
            <w:r>
              <w:rPr>
                <w:color w:val="1F2937"/>
                <w:sz w:val="19"/>
              </w:rPr>
              <w:t>DELETE</w:t>
            </w:r>
          </w:p>
        </w:tc>
        <w:tc>
          <w:tcPr>
            <w:tcW w:type="dxa" w:w="4535"/>
            <w:vAlign w:val="center"/>
            <w:tcBorders>
              <w:top w:val="single" w:sz="4" w:space="0" w:color="CBD5E1"/>
              <w:bottom w:val="single" w:sz="4" w:space="0" w:color="CBD5E1"/>
              <w:left w:val="single" w:sz="4" w:space="0" w:color="CBD5E1"/>
              <w:right w:val="single" w:sz="4" w:space="0" w:color="CBD5E1"/>
            </w:tcBorders>
          </w:tcPr>
          <w:p>
            <w:r/>
            <w:r>
              <w:rPr>
                <w:color w:val="1F2937"/>
                <w:sz w:val="19"/>
              </w:rPr>
              <w:t>/api/findings/{id}</w:t>
            </w:r>
          </w:p>
        </w:tc>
        <w:tc>
          <w:tcPr>
            <w:tcW w:type="dxa" w:w="4252"/>
            <w:vAlign w:val="center"/>
            <w:tcBorders>
              <w:top w:val="single" w:sz="4" w:space="0" w:color="CBD5E1"/>
              <w:bottom w:val="single" w:sz="4" w:space="0" w:color="CBD5E1"/>
              <w:left w:val="single" w:sz="4" w:space="0" w:color="CBD5E1"/>
              <w:right w:val="single" w:sz="4" w:space="0" w:color="CBD5E1"/>
            </w:tcBorders>
          </w:tcPr>
          <w:p>
            <w:r/>
            <w:r>
              <w:rPr>
                <w:color w:val="1F2937"/>
                <w:sz w:val="19"/>
              </w:rPr>
              <w:t>Soft delete (marks is_deleted=True, keeps in database)</w:t>
            </w:r>
          </w:p>
        </w:tc>
      </w:tr>
      <w:tr>
        <w:tc>
          <w:tcPr>
            <w:tcW w:type="dxa" w:w="85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GET</w:t>
            </w:r>
          </w:p>
        </w:tc>
        <w:tc>
          <w:tcPr>
            <w:tcW w:type="dxa" w:w="45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/api/scans</w:t>
            </w:r>
          </w:p>
        </w:tc>
        <w:tc>
          <w:tcPr>
            <w:tcW w:type="dxa" w:w="425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History of last 50 scans</w:t>
            </w:r>
          </w:p>
        </w:tc>
      </w:tr>
      <w:tr>
        <w:tc>
          <w:tcPr>
            <w:tcW w:type="dxa" w:w="850"/>
            <w:vAlign w:val="center"/>
            <w:tcBorders>
              <w:top w:val="single" w:sz="4" w:space="0" w:color="CBD5E1"/>
              <w:bottom w:val="single" w:sz="4" w:space="0" w:color="CBD5E1"/>
              <w:left w:val="single" w:sz="4" w:space="0" w:color="CBD5E1"/>
              <w:right w:val="single" w:sz="4" w:space="0" w:color="CBD5E1"/>
            </w:tcBorders>
          </w:tcPr>
          <w:p>
            <w:r/>
            <w:r>
              <w:rPr>
                <w:color w:val="1F2937"/>
                <w:sz w:val="19"/>
              </w:rPr>
              <w:t>POST</w:t>
            </w:r>
          </w:p>
        </w:tc>
        <w:tc>
          <w:tcPr>
            <w:tcW w:type="dxa" w:w="4535"/>
            <w:vAlign w:val="center"/>
            <w:tcBorders>
              <w:top w:val="single" w:sz="4" w:space="0" w:color="CBD5E1"/>
              <w:bottom w:val="single" w:sz="4" w:space="0" w:color="CBD5E1"/>
              <w:left w:val="single" w:sz="4" w:space="0" w:color="CBD5E1"/>
              <w:right w:val="single" w:sz="4" w:space="0" w:color="CBD5E1"/>
            </w:tcBorders>
          </w:tcPr>
          <w:p>
            <w:r/>
            <w:r>
              <w:rPr>
                <w:color w:val="1F2937"/>
                <w:sz w:val="19"/>
              </w:rPr>
              <w:t>/api/scans/trigger</w:t>
            </w:r>
          </w:p>
        </w:tc>
        <w:tc>
          <w:tcPr>
            <w:tcW w:type="dxa" w:w="4252"/>
            <w:vAlign w:val="center"/>
            <w:tcBorders>
              <w:top w:val="single" w:sz="4" w:space="0" w:color="CBD5E1"/>
              <w:bottom w:val="single" w:sz="4" w:space="0" w:color="CBD5E1"/>
              <w:left w:val="single" w:sz="4" w:space="0" w:color="CBD5E1"/>
              <w:right w:val="single" w:sz="4" w:space="0" w:color="CBD5E1"/>
            </w:tcBorders>
          </w:tcPr>
          <w:p>
            <w:r/>
            <w:r>
              <w:rPr>
                <w:color w:val="1F2937"/>
                <w:sz w:val="19"/>
              </w:rPr>
              <w:t>Trigger manual scan (rejects if one is already running)</w:t>
            </w:r>
          </w:p>
        </w:tc>
      </w:tr>
      <w:tr>
        <w:tc>
          <w:tcPr>
            <w:tcW w:type="dxa" w:w="85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GET</w:t>
            </w:r>
          </w:p>
        </w:tc>
        <w:tc>
          <w:tcPr>
            <w:tcW w:type="dxa" w:w="4535"/>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/api/scans/progress</w:t>
            </w:r>
          </w:p>
        </w:tc>
        <w:tc>
          <w:tcPr>
            <w:tcW w:type="dxa" w:w="4252"/>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Current progress: phase, current, total, detail</w:t>
            </w:r>
          </w:p>
        </w:tc>
      </w:tr>
      <w:tr>
        <w:tc>
          <w:tcPr>
            <w:tcW w:type="dxa" w:w="850"/>
            <w:vAlign w:val="center"/>
            <w:tcBorders>
              <w:top w:val="single" w:sz="4" w:space="0" w:color="CBD5E1"/>
              <w:bottom w:val="single" w:sz="4" w:space="0" w:color="CBD5E1"/>
              <w:left w:val="single" w:sz="4" w:space="0" w:color="CBD5E1"/>
              <w:right w:val="single" w:sz="4" w:space="0" w:color="CBD5E1"/>
            </w:tcBorders>
          </w:tcPr>
          <w:p>
            <w:r/>
            <w:r>
              <w:rPr>
                <w:color w:val="1F2937"/>
                <w:sz w:val="19"/>
              </w:rPr>
              <w:t>GET</w:t>
            </w:r>
          </w:p>
        </w:tc>
        <w:tc>
          <w:tcPr>
            <w:tcW w:type="dxa" w:w="4535"/>
            <w:vAlign w:val="center"/>
            <w:tcBorders>
              <w:top w:val="single" w:sz="4" w:space="0" w:color="CBD5E1"/>
              <w:bottom w:val="single" w:sz="4" w:space="0" w:color="CBD5E1"/>
              <w:left w:val="single" w:sz="4" w:space="0" w:color="CBD5E1"/>
              <w:right w:val="single" w:sz="4" w:space="0" w:color="CBD5E1"/>
            </w:tcBorders>
          </w:tcPr>
          <w:p>
            <w:r/>
            <w:r>
              <w:rPr>
                <w:color w:val="1F2937"/>
                <w:sz w:val="19"/>
              </w:rPr>
              <w:t>/api/stream</w:t>
            </w:r>
          </w:p>
        </w:tc>
        <w:tc>
          <w:tcPr>
            <w:tcW w:type="dxa" w:w="4252"/>
            <w:vAlign w:val="center"/>
            <w:tcBorders>
              <w:top w:val="single" w:sz="4" w:space="0" w:color="CBD5E1"/>
              <w:bottom w:val="single" w:sz="4" w:space="0" w:color="CBD5E1"/>
              <w:left w:val="single" w:sz="4" w:space="0" w:color="CBD5E1"/>
              <w:right w:val="single" w:sz="4" w:space="0" w:color="CBD5E1"/>
            </w:tcBorders>
          </w:tcPr>
          <w:p>
            <w:r/>
            <w:r>
              <w:rPr>
                <w:color w:val="1F2937"/>
                <w:sz w:val="19"/>
              </w:rPr>
              <w:t>SSE stream with real-time new_finding events</w:t>
            </w:r>
          </w:p>
        </w:tc>
      </w:tr>
    </w:tbl>
    <w:p>
      <w:pPr>
        <w:spacing w:after="160"/>
      </w:pPr>
    </w:p>
    <w:p>
      <w:pPr>
        <w:pStyle w:val="Heading1"/>
        <w:spacing w:before="480" w:after="160"/>
      </w:pPr>
      <w:r>
        <w:rPr>
          <w:color w:val="1E40AF"/>
          <w:sz w:val="36"/>
        </w:rPr>
        <w:t>14. Security and Privacy</w:t>
      </w:r>
    </w:p>
    <w:p>
      <w:pPr>
        <w:spacing w:before="0" w:after="240"/>
      </w:pPr>
      <w:r>
        <w:br/>
      </w:r>
    </w:p>
    <w:tbl>
      <w:tblPr>
        <w:tblW w:type="auto" w:w="0"/>
        <w:jc w:val="center"/>
        <w:tblLook w:firstColumn="1" w:firstRow="1" w:lastColumn="0" w:lastRow="0" w:noHBand="0" w:noVBand="1" w:val="04A0"/>
      </w:tblPr>
      <w:tblGrid>
        <w:gridCol w:w="4703"/>
        <w:gridCol w:w="4703"/>
      </w:tblGrid>
      <w:tr>
        <w:tc>
          <w:tcPr>
            <w:tcW w:type="dxa" w:w="2268"/>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Measure</w:t>
            </w:r>
          </w:p>
        </w:tc>
        <w:tc>
          <w:tcPr>
            <w:tcW w:type="dxa" w:w="7370"/>
            <w:vAlign w:val="center"/>
            <w:shd w:fill="0F172A"/>
            <w:tcBorders>
              <w:top w:val="single" w:sz="4" w:space="0" w:color="CBD5E1"/>
              <w:bottom w:val="single" w:sz="4" w:space="0" w:color="CBD5E1"/>
              <w:left w:val="single" w:sz="4" w:space="0" w:color="CBD5E1"/>
              <w:right w:val="single" w:sz="4" w:space="0" w:color="CBD5E1"/>
            </w:tcBorders>
          </w:tcPr>
          <w:p>
            <w:pPr>
              <w:jc w:val="left"/>
            </w:pPr>
            <w:r/>
            <w:r>
              <w:rPr>
                <w:b/>
                <w:color w:val="FFFFFF"/>
                <w:sz w:val="19"/>
              </w:rPr>
              <w:t>Description</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In-Memory Download</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Documents are downloaded into BytesIO and processed without touching the filesystem</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PII Masking</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CPFs, CNPJs, and emails are masked in snippets (e.g., ***.456.789-**)</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Excluded Domains</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Official sites (timacagro.com.br, phosphea.com, roullier.com) are never scanned</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Soft Delete</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Data is never physically removed — marked as inactive for audit purposes</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Protected .env</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Sensitive credentials are kept out of the repository via .gitignore</w:t>
            </w:r>
          </w:p>
        </w:tc>
      </w:tr>
      <w:tr>
        <w:tc>
          <w:tcPr>
            <w:tcW w:type="dxa" w:w="2268"/>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Anti-block Delays</w:t>
            </w:r>
          </w:p>
        </w:tc>
        <w:tc>
          <w:tcPr>
            <w:tcW w:type="dxa" w:w="7370"/>
            <w:vAlign w:val="center"/>
            <w:shd w:fill="F1F5F9"/>
            <w:tcBorders>
              <w:top w:val="single" w:sz="4" w:space="0" w:color="CBD5E1"/>
              <w:bottom w:val="single" w:sz="4" w:space="0" w:color="CBD5E1"/>
              <w:left w:val="single" w:sz="4" w:space="0" w:color="CBD5E1"/>
              <w:right w:val="single" w:sz="4" w:space="0" w:color="CBD5E1"/>
            </w:tcBorders>
          </w:tcPr>
          <w:p>
            <w:r/>
            <w:r>
              <w:rPr>
                <w:color w:val="1F2937"/>
                <w:sz w:val="19"/>
              </w:rPr>
              <w:t>Randomized intervals (2-4s) between search requests</w:t>
            </w:r>
          </w:p>
        </w:tc>
      </w:tr>
      <w:tr>
        <w:tc>
          <w:tcPr>
            <w:tcW w:type="dxa" w:w="2268"/>
            <w:vAlign w:val="center"/>
            <w:tcBorders>
              <w:top w:val="single" w:sz="4" w:space="0" w:color="CBD5E1"/>
              <w:bottom w:val="single" w:sz="4" w:space="0" w:color="CBD5E1"/>
              <w:left w:val="single" w:sz="4" w:space="0" w:color="CBD5E1"/>
              <w:right w:val="single" w:sz="4" w:space="0" w:color="CBD5E1"/>
            </w:tcBorders>
          </w:tcPr>
          <w:p>
            <w:r/>
            <w:r>
              <w:rPr>
                <w:color w:val="1F2937"/>
                <w:sz w:val="19"/>
              </w:rPr>
              <w:t>URL Deduplication</w:t>
            </w:r>
          </w:p>
        </w:tc>
        <w:tc>
          <w:tcPr>
            <w:tcW w:type="dxa" w:w="7370"/>
            <w:vAlign w:val="center"/>
            <w:tcBorders>
              <w:top w:val="single" w:sz="4" w:space="0" w:color="CBD5E1"/>
              <w:bottom w:val="single" w:sz="4" w:space="0" w:color="CBD5E1"/>
              <w:left w:val="single" w:sz="4" w:space="0" w:color="CBD5E1"/>
              <w:right w:val="single" w:sz="4" w:space="0" w:color="CBD5E1"/>
            </w:tcBorders>
          </w:tcPr>
          <w:p>
            <w:r/>
            <w:r>
              <w:rPr>
                <w:color w:val="1F2937"/>
                <w:sz w:val="19"/>
              </w:rPr>
              <w:t>Each URL is processed only once across the entire history</w:t>
            </w:r>
          </w:p>
        </w:tc>
      </w:tr>
    </w:tbl>
    <w:p>
      <w:pPr>
        <w:spacing w:after="160"/>
      </w:pPr>
    </w:p>
    <w:p>
      <w:pPr>
        <w:pStyle w:val="Heading1"/>
        <w:spacing w:before="480" w:after="160"/>
      </w:pPr>
      <w:r>
        <w:rPr>
          <w:color w:val="1E40AF"/>
          <w:sz w:val="36"/>
        </w:rPr>
        <w:t>15. Maintenance and Data Ingestion</w:t>
      </w:r>
    </w:p>
    <w:p>
      <w:pPr>
        <w:spacing w:before="0" w:after="240"/>
      </w:pPr>
      <w:r>
        <w:br/>
      </w:r>
    </w:p>
    <w:p>
      <w:pPr>
        <w:spacing w:after="120" w:line="320" w:lineRule="exact"/>
      </w:pPr>
      <w:r>
        <w:rPr>
          <w:b/>
          <w:i w:val="0"/>
          <w:color w:val="1F2937"/>
          <w:sz w:val="22"/>
        </w:rPr>
        <w:t>To add new companies or update registration data:</w:t>
      </w:r>
    </w:p>
    <w:p>
      <w:pPr>
        <w:spacing w:after="120" w:line="320" w:lineRule="exact"/>
      </w:pPr>
      <w:r>
        <w:rPr>
          <w:b w:val="0"/>
          <w:i w:val="0"/>
          <w:color w:val="1F2937"/>
          <w:sz w:val="22"/>
        </w:rPr>
        <w:t>1. Place registration PDF files in the anexos/ folder (at project root).</w:t>
      </w:r>
    </w:p>
    <w:p>
      <w:pPr>
        <w:spacing w:after="120" w:line="320" w:lineRule="exact"/>
      </w:pPr>
      <w:r>
        <w:rPr>
          <w:b w:val="0"/>
          <w:i w:val="0"/>
          <w:color w:val="1F2937"/>
          <w:sz w:val="22"/>
        </w:rPr>
        <w:t>2. Run the ingestion script:</w:t>
      </w:r>
    </w:p>
    <w:p>
      <w:pPr>
        <w:spacing w:before="80" w:after="160"/>
        <w:ind w:left="567"/>
        <w:shd w:fill="F1F5F9"/>
      </w:pPr>
      <w:r>
        <w:rPr>
          <w:rFonts w:ascii="Consolas" w:hAnsi="Consolas"/>
          <w:color w:val="1E293B"/>
          <w:sz w:val="19"/>
        </w:rPr>
        <w:t>python tools/ingest_anexos.py</w:t>
      </w:r>
    </w:p>
    <w:p>
      <w:pPr>
        <w:spacing w:after="120" w:line="320" w:lineRule="exact"/>
      </w:pPr>
      <w:r>
        <w:rPr>
          <w:b w:val="0"/>
          <w:i w:val="0"/>
          <w:color w:val="1F2937"/>
          <w:sz w:val="22"/>
        </w:rPr>
        <w:t>3. The script automatically extracts:</w:t>
      </w:r>
    </w:p>
    <w:p>
      <w:pPr>
        <w:pStyle w:val="ListBullet"/>
        <w:spacing w:after="60"/>
        <w:ind w:left="850"/>
      </w:pPr>
      <w:r>
        <w:rPr>
          <w:color w:val="1F2937"/>
          <w:sz w:val="22"/>
        </w:rPr>
        <w:t>Company name and main CNPJ</w:t>
      </w:r>
    </w:p>
    <w:p>
      <w:pPr>
        <w:pStyle w:val="ListBullet"/>
        <w:spacing w:after="60"/>
        <w:ind w:left="850"/>
      </w:pPr>
      <w:r>
        <w:rPr>
          <w:color w:val="1F2937"/>
          <w:sz w:val="22"/>
        </w:rPr>
        <w:t>State registration, founding date, share capital</w:t>
      </w:r>
    </w:p>
    <w:p>
      <w:pPr>
        <w:pStyle w:val="ListBullet"/>
        <w:spacing w:after="60"/>
        <w:ind w:left="850"/>
      </w:pPr>
      <w:r>
        <w:rPr>
          <w:color w:val="1F2937"/>
          <w:sz w:val="22"/>
        </w:rPr>
        <w:t>Partners with participation percentage</w:t>
      </w:r>
    </w:p>
    <w:p>
      <w:pPr>
        <w:pStyle w:val="ListBullet"/>
        <w:spacing w:after="60"/>
        <w:ind w:left="850"/>
      </w:pPr>
      <w:r>
        <w:rPr>
          <w:color w:val="1F2937"/>
          <w:sz w:val="22"/>
        </w:rPr>
        <w:t>Administrators with CPFs</w:t>
      </w:r>
    </w:p>
    <w:p>
      <w:pPr>
        <w:pStyle w:val="ListBullet"/>
        <w:spacing w:after="60"/>
        <w:ind w:left="850"/>
      </w:pPr>
      <w:r>
        <w:rPr>
          <w:color w:val="1F2937"/>
          <w:sz w:val="22"/>
        </w:rPr>
        <w:t>Branches with CNPJs and addresses</w:t>
      </w:r>
    </w:p>
    <w:p>
      <w:pPr>
        <w:pStyle w:val="ListBullet"/>
        <w:spacing w:after="60"/>
        <w:ind w:left="850"/>
      </w:pPr>
      <w:r>
        <w:rPr>
          <w:color w:val="1F2937"/>
          <w:sz w:val="22"/>
        </w:rPr>
        <w:t>All CNPJs and CPFs mentioned in the document</w:t>
      </w:r>
    </w:p>
    <w:p>
      <w:pPr>
        <w:pStyle w:val="ListBullet"/>
        <w:spacing w:after="60"/>
        <w:ind w:left="850"/>
      </w:pPr>
      <w:r>
        <w:rPr>
          <w:color w:val="1F2937"/>
          <w:sz w:val="22"/>
        </w:rPr>
        <w:t>Emails, phone numbers, suppliers, and banking references</w:t>
      </w:r>
    </w:p>
    <w:p>
      <w:pPr>
        <w:spacing w:after="120" w:line="320" w:lineRule="exact"/>
      </w:pPr>
      <w:r>
        <w:rPr>
          <w:b w:val="0"/>
          <w:i w:val="0"/>
          <w:color w:val="1F2937"/>
          <w:sz w:val="22"/>
        </w:rPr>
        <w:t>4. Data is saved to data/entities.json and original PDFs are deleted.</w:t>
      </w:r>
    </w:p>
    <w:p>
      <w:pPr>
        <w:spacing w:after="120" w:line="320" w:lineRule="exact"/>
      </w:pPr>
      <w:r>
        <w:rPr>
          <w:b w:val="0"/>
          <w:i w:val="0"/>
          <w:color w:val="1F2937"/>
          <w:sz w:val="22"/>
        </w:rPr>
        <w:t>5. The next scan will automatically use the new entities.</w:t>
      </w:r>
    </w:p>
    <w:p>
      <w:r>
        <w:br w:type="page"/>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jc w:val="center"/>
      </w:pPr>
      <w:r>
        <w:rPr>
          <w:b/>
          <w:color w:val="06D6A0"/>
        </w:rPr>
        <w:t>_______________________________________________</w:t>
      </w:r>
    </w:p>
    <w:p>
      <w:pPr>
        <w:spacing w:before="320"/>
        <w:jc w:val="center"/>
      </w:pPr>
      <w:r>
        <w:rPr>
          <w:i/>
          <w:color w:val="94A3B8"/>
          <w:sz w:val="20"/>
        </w:rPr>
        <w:t>Confidential Document</w:t>
        <w:br/>
        <w:t>Roullier Group Security Team</w:t>
        <w:br/>
        <w:t>Version 2.1 — 2026</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