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600"/>
        <w:jc w:val="center"/>
      </w:pPr>
      <w:r>
        <w:rPr>
          <w:rFonts w:ascii="黑体" w:hAnsi="黑体" w:eastAsia="黑体"/>
          <w:b/>
          <w:sz w:val="44"/>
        </w:rPr>
        <w:t>基于计算机视觉的集装箱智能破损检测</w:t>
      </w:r>
    </w:p>
    <w:p>
      <w:pPr>
        <w:spacing w:after="160"/>
        <w:jc w:val="center"/>
      </w:pPr>
      <w:r>
        <w:rPr>
          <w:rFonts w:ascii="黑体" w:hAnsi="黑体" w:eastAsia="黑体"/>
          <w:sz w:val="28"/>
        </w:rPr>
        <w:t>—— 选题D 数学建模解题方案</w:t>
      </w:r>
    </w:p>
    <w:p>
      <w:pPr>
        <w:jc w:val="center"/>
      </w:pPr>
      <w:r>
        <w:rPr>
          <w:rFonts w:ascii="宋体" w:hAnsi="宋体" w:eastAsia="宋体"/>
          <w:sz w:val="24"/>
        </w:rPr>
        <w:t>参赛队号：__________</w:t>
      </w:r>
    </w:p>
    <w:p>
      <w:pPr>
        <w:jc w:val="center"/>
      </w:pPr>
      <w:r>
        <w:rPr>
          <w:rFonts w:ascii="宋体" w:hAnsi="宋体" w:eastAsia="宋体"/>
          <w:sz w:val="24"/>
        </w:rPr>
        <w:t>日期：2026年__月__日</w:t>
      </w:r>
    </w:p>
    <w:p>
      <w:r>
        <w:br w:type="page"/>
      </w:r>
    </w:p>
    <w:p>
      <w:pPr>
        <w:pStyle w:val="Heading1"/>
      </w:pPr>
      <w:r>
        <w:rPr>
          <w:rFonts w:ascii="黑体" w:hAnsi="黑体" w:eastAsia="黑体"/>
          <w:sz w:val="28"/>
        </w:rPr>
        <w:t>摘  要</w:t>
      </w:r>
    </w:p>
    <w:p>
      <w:pPr>
        <w:ind w:firstLine="480"/>
      </w:pPr>
      <w:r>
        <w:rPr>
          <w:rFonts w:ascii="宋体" w:hAnsi="宋体" w:eastAsia="宋体"/>
          <w:b w:val="0"/>
          <w:sz w:val="24"/>
        </w:rPr>
        <w:t>本文针对集装箱外表面破损的自动检测问题，以手工设计图像特征与经典机器学习方法为基础、以深度学习端到端检测模型为核心，系统完成了从特征工程、分类器设计、阈值决策理论、检测方法探索到深度模型改进的完整数学建模流程。</w:t>
      </w:r>
    </w:p>
    <w:p>
      <w:pPr>
        <w:ind w:firstLine="480"/>
      </w:pPr>
      <w:r>
        <w:rPr>
          <w:rFonts w:ascii="宋体" w:hAnsi="宋体" w:eastAsia="宋体"/>
          <w:b w:val="0"/>
          <w:sz w:val="24"/>
        </w:rPr>
        <w:t>问题1（图像级二分类）：构建了 51 维全局特征体系（GLCM 纹理+HSV 颜色矩+Sobel 边缘+HOG 方向梯度直方图+LBP 局部二值模式），使用逻辑回归实现图像级残损判定。通过严格的 Kolmogorov-Smirnov 拟合优度检验证明了 Neyman-Pearson 框架在当前数据上的统计前提不成立（p≈10^{-9}），进而引入贝叶斯最小风险决策框架，推导出闭合形式的最优阈值 τ=λ/(1+λ)，实现代价可控的对称错误控制。最终在验证集上达到 F2=0.9985、Precision=0.9985、Recall=0.9985、AUC=1.0000，仅 1 例误报和 1 例漏检。</w:t>
      </w:r>
    </w:p>
    <w:p>
      <w:pPr>
        <w:ind w:firstLine="480"/>
      </w:pPr>
      <w:r>
        <w:rPr>
          <w:rFonts w:ascii="宋体" w:hAnsi="宋体" w:eastAsia="宋体"/>
          <w:b w:val="0"/>
          <w:sz w:val="24"/>
        </w:rPr>
        <w:t>问题2（残损检测与分类）：首先探索了"72维增强特征+LightGBM 多分类+多尺度滑动窗口+NMS"的传统检测管线，patch 级 4 分类达到 89.72% 准确率，但滑动窗口检测因训练-推理分布偏移而陷入根本性瓶颈（Precision/Recall 均低于 15%）。在此基础上，本文转向端到端检测范式，构建了 YOLOv8s 检测模型，并提出了三项针对性改进：（1）以 Wise-IoU v1 距离注意力损失替换 CIoU 边界框损失，通过指数形式的中心距离惩罚 R_WIoU=exp(ρ²/c²) 自适应地增强大目标（锈蚀）的定位精度；（2）以 SlideLoss 滑窗加权损失替换标准 BCE 分类损失，通过基于前景平均对齐分数的单调递减权重函数实现简单/困难样本的软性再平衡；（3）引入 P2 高分辨率检测层（stride=4），将最小可检测目标从 8×8 扩展至 4×4 像素，针对性解决小残损漏检问题。最终模型在验证集上达到 mAP@0.5=0.403、mAP@0.5:0.95=0.199、Precision=0.559、Recall=0.427，其中最难检测的 Rusty 类别 AP@0.5 由 0.222 提升至 0.252（+14%），并已生成符合提交规范的 test_result.csv（413 张测试图、775 个检测框）。</w:t>
      </w:r>
    </w:p>
    <w:p>
      <w:pPr>
        <w:ind w:firstLine="480"/>
      </w:pPr>
      <w:r>
        <w:rPr>
          <w:rFonts w:ascii="宋体" w:hAnsi="宋体" w:eastAsia="宋体"/>
          <w:b w:val="0"/>
          <w:sz w:val="24"/>
        </w:rPr>
        <w:t>问题3（模型评估）：从分类性能、特征有效性、阈值框架比较、检测精度、逐类性能、消融实验、方法对比、部署可行性等多维度进行了系统评估。核心发现是：（1）手工特征方法在全局判别（问题1 F2=0.9985）和局部区域分类（问题2 patch Acc=89.72%）两个层次均有竞争力，性能退化仅出现在空间定位层次——该瓶颈源于滑动窗口策略本身的方法论缺陷；（2）端到端检测器通过可微分的边界框回归从机制上规避了离散枚举与分布偏移问题，检测性能相对滑动窗口方案提升 4 倍以上（Recall 16%→43%，Precision 11%→56%）；（3）针对任务特点的损失函数与结构改进（Wise-IoU、SlideLoss、P2 层）能够在模型容量不变的前提下带来可观的性能增益，验证了"任务驱动的模型改进"优于"盲目增大模型规模"的建模思想。</w:t>
      </w:r>
    </w:p>
    <w:p>
      <w:r>
        <w:rPr>
          <w:rFonts w:ascii="宋体" w:hAnsi="宋体" w:eastAsia="宋体"/>
          <w:b w:val="0"/>
          <w:sz w:val="24"/>
        </w:rPr>
        <w:t>关键词：集装箱破损检测；计算机视觉；GLCM 纹理特征；LBP 局部二值模式；逻辑回归；贝叶斯最小风险决策；YOLOv8；Wise-IoU；SlideLoss；多尺度检测；分布偏移</w:t>
      </w:r>
    </w:p>
    <w:p>
      <w:r>
        <w:br w:type="page"/>
      </w:r>
    </w:p>
    <w:p>
      <w:pPr>
        <w:pStyle w:val="Heading1"/>
      </w:pPr>
      <w:r>
        <w:rPr>
          <w:rFonts w:ascii="黑体" w:hAnsi="黑体" w:eastAsia="黑体"/>
          <w:sz w:val="28"/>
        </w:rPr>
        <w:t>目  录</w:t>
      </w:r>
    </w:p>
    <w:p>
      <w:pPr>
        <w:ind w:firstLine="480"/>
      </w:pPr>
      <w:r>
        <w:rPr>
          <w:rFonts w:ascii="宋体" w:hAnsi="宋体" w:eastAsia="宋体"/>
          <w:b/>
          <w:sz w:val="24"/>
        </w:rPr>
        <w:t>【在 Word 中：引用 → 目录 → 自动目录】</w:t>
      </w:r>
    </w:p>
    <w:p>
      <w:r>
        <w:br w:type="page"/>
      </w:r>
    </w:p>
    <w:p>
      <w:pPr>
        <w:pStyle w:val="Heading1"/>
      </w:pPr>
      <w:r>
        <w:rPr>
          <w:rFonts w:ascii="黑体" w:hAnsi="黑体" w:eastAsia="黑体"/>
          <w:sz w:val="28"/>
        </w:rPr>
        <w:t>1  问题重述与分析</w:t>
      </w:r>
    </w:p>
    <w:p>
      <w:pPr>
        <w:pStyle w:val="Heading2"/>
      </w:pPr>
      <w:r>
        <w:rPr>
          <w:rFonts w:ascii="黑体" w:hAnsi="黑体" w:eastAsia="黑体"/>
          <w:sz w:val="26"/>
        </w:rPr>
        <w:t>1.1  问题背景</w:t>
      </w:r>
    </w:p>
    <w:p>
      <w:pPr>
        <w:ind w:firstLine="480"/>
      </w:pPr>
      <w:r>
        <w:rPr>
          <w:rFonts w:ascii="宋体" w:hAnsi="宋体" w:eastAsia="宋体"/>
          <w:b w:val="0"/>
          <w:sz w:val="24"/>
        </w:rPr>
        <w:t>随着全球贸易的快速发展，集装箱作为国际货物运输的核心载体，被广泛应用于海运、陆运及多式联运环节。长期的装卸、堆叠和运输过程中，集装箱常常受到机械冲击、腐蚀、变形等外力作用，导致箱体外表面产生裂纹、凹陷、穿孔、锈蚀等不同类型的损伤。传统的人工巡检方式依赖检查人员在码头或堆场中对集装箱逐一目视检查，不仅效率低下（单箱检查耗时数分钟），而且受限于光照条件、检查人员经验和疲劳程度等因素，漏检率和误报率难以控制。因此，利用计算机视觉与深度学习技术实现集装箱破损的自动化检测，对于提升港口作业效率、降低人力成本、保障运输安全具有重要意义。</w:t>
      </w:r>
    </w:p>
    <w:p>
      <w:pPr>
        <w:pStyle w:val="Heading2"/>
      </w:pPr>
      <w:r>
        <w:rPr>
          <w:rFonts w:ascii="黑体" w:hAnsi="黑体" w:eastAsia="黑体"/>
          <w:sz w:val="26"/>
        </w:rPr>
        <w:t>1.2  题目重述</w:t>
      </w:r>
    </w:p>
    <w:p>
      <w:pPr>
        <w:ind w:firstLine="480"/>
      </w:pPr>
      <w:r>
        <w:rPr>
          <w:rFonts w:ascii="宋体" w:hAnsi="宋体" w:eastAsia="宋体"/>
          <w:b w:val="0"/>
          <w:sz w:val="24"/>
        </w:rPr>
        <w:t>本题目提供了 3713 张集装箱外表面图像（训练集 3300 张，测试集 413 张），图像尺寸为 640×640 像素，RGB 彩色 JPEG 格式。标注采用 YOLO 格式（归一化坐标），共包含 3 个类别：Dent（凹陷，编号0）、Hole（破洞，编号1）、Rusty（锈蚀，编号2）。题目要求解决以下三个子问题：</w:t>
      </w:r>
    </w:p>
    <w:p>
      <w:pPr>
        <w:ind w:firstLine="480"/>
      </w:pPr>
      <w:r>
        <w:rPr>
          <w:rFonts w:ascii="宋体" w:hAnsi="宋体" w:eastAsia="宋体"/>
          <w:b w:val="0"/>
          <w:sz w:val="24"/>
        </w:rPr>
        <w:t>问题1（图像级二分类）：结合给出的图像文件，提取图像特征，建立一个模型判断该集装箱图像是否存在任何形式的残损。</w:t>
      </w:r>
    </w:p>
    <w:p>
      <w:pPr>
        <w:ind w:firstLine="480"/>
      </w:pPr>
      <w:r>
        <w:rPr>
          <w:rFonts w:ascii="宋体" w:hAnsi="宋体" w:eastAsia="宋体"/>
          <w:b w:val="0"/>
          <w:sz w:val="24"/>
        </w:rPr>
        <w:t>问题2（目标检测与分类）：如果存在残损，需要定位到残损所在的位置，并识别出残损的具体类别（Dent / Hole / Rusty）。检测结果以 YOLO 归一化坐标格式输出，每张图片最多取 4 个检测结果，按严重程度从大到小排列。</w:t>
      </w:r>
    </w:p>
    <w:p>
      <w:pPr>
        <w:ind w:firstLine="480"/>
      </w:pPr>
      <w:r>
        <w:rPr>
          <w:rFonts w:ascii="宋体" w:hAnsi="宋体" w:eastAsia="宋体"/>
          <w:b w:val="0"/>
          <w:sz w:val="24"/>
        </w:rPr>
        <w:t>问题3（模型评估）：从不同维度对问题1和问题2中建立的模型进行评估，包括分类性能、检测精度、特征有效性、计算效率、方法对比等。</w:t>
      </w:r>
    </w:p>
    <w:p>
      <w:pPr>
        <w:pStyle w:val="Heading2"/>
      </w:pPr>
      <w:r>
        <w:rPr>
          <w:rFonts w:ascii="黑体" w:hAnsi="黑体" w:eastAsia="黑体"/>
          <w:sz w:val="26"/>
        </w:rPr>
        <w:t>1.3  问题分析</w:t>
      </w:r>
    </w:p>
    <w:p>
      <w:pPr>
        <w:ind w:firstLine="480"/>
      </w:pPr>
      <w:r>
        <w:rPr>
          <w:rFonts w:ascii="宋体" w:hAnsi="宋体" w:eastAsia="宋体"/>
          <w:b w:val="0"/>
          <w:sz w:val="24"/>
        </w:rPr>
        <w:t>问题1的本质是二分类问题，其关键挑战在于：① 训练集中每一张图像均至少存在一处残损标注，即缺乏天然的无残损（负样本）完整图像，需要通过数据构造方法从现有图像中生成负样本；② 需要设计具有足够判别力的图像全局特征，以区分正常集装箱表面与各类破损表面（凹陷、破洞、锈蚀）。</w:t>
      </w:r>
    </w:p>
    <w:p>
      <w:pPr>
        <w:ind w:firstLine="480"/>
      </w:pPr>
      <w:r>
        <w:rPr>
          <w:rFonts w:ascii="宋体" w:hAnsi="宋体" w:eastAsia="宋体"/>
          <w:b w:val="0"/>
          <w:sz w:val="24"/>
        </w:rPr>
        <w:t>问题2的本质是多尺度多类别目标检测问题，需要同时完成定位（找到残损在哪里）和分类（判断残损属于哪一类）两个子任务。其主要挑战为：① bbox 面积跨度超过 5 个数量级（最小 4 px²，最大 408,321 px²），要求检测方法具备多尺度适应性；② Hole（破洞）类仅有 946 个标注样本，仅占总标注数的 11.8%，存在严重的类别不均衡问题；③ 部分缺陷尺寸极小（P10 面积仅 609 px²，约 25×25 像素），对检测器的定位精度提出了很高要求。</w:t>
      </w:r>
    </w:p>
    <w:p>
      <w:pPr>
        <w:ind w:firstLine="480"/>
      </w:pPr>
      <w:r>
        <w:rPr>
          <w:rFonts w:ascii="宋体" w:hAnsi="宋体" w:eastAsia="宋体"/>
          <w:b w:val="0"/>
          <w:sz w:val="24"/>
        </w:rPr>
        <w:t>问题3的本质是模型性能的系统评估，需要从精度（分类和检测）、鲁棒性（对不同尺度和类别的适应能力）、计算效率（推理速度与资源消耗）、可解释性（模型决策的物理含义）等多个维度构建评价指标体系，并对本文采用的两条技术路线（手工特征+传统分类器 vs 深度学习）进行全面的对比分析。</w:t>
      </w:r>
    </w:p>
    <w:p>
      <w:pPr>
        <w:pStyle w:val="Heading2"/>
      </w:pPr>
      <w:r>
        <w:rPr>
          <w:rFonts w:ascii="黑体" w:hAnsi="黑体" w:eastAsia="黑体"/>
          <w:sz w:val="26"/>
        </w:rPr>
        <w:t>1.4  解题思路概述</w:t>
      </w:r>
    </w:p>
    <w:p>
      <w:pPr>
        <w:ind w:firstLine="480"/>
      </w:pPr>
      <w:r>
        <w:rPr>
          <w:rFonts w:ascii="宋体" w:hAnsi="宋体" w:eastAsia="宋体"/>
          <w:b w:val="0"/>
          <w:sz w:val="24"/>
        </w:rPr>
        <w:t>针对上述三个问题，本文采用"探索—验证—改进"的递进式建模路线：</w:t>
      </w:r>
    </w:p>
    <w:p>
      <w:pPr>
        <w:ind w:firstLine="480"/>
      </w:pPr>
      <w:r>
        <w:rPr>
          <w:rFonts w:ascii="宋体" w:hAnsi="宋体" w:eastAsia="宋体"/>
          <w:b w:val="0"/>
          <w:sz w:val="24"/>
        </w:rPr>
        <w:t>问题1（主线：数学建模路线）：以手工设计的图像特征（GLCM 纹理特征、HSV 颜色矩、Sobel 边缘统计、HOG 方向梯度直方图、LBP 局部二值模式）为基础，结合逻辑回归分类器和贝叶斯最小风险决策框架进行阈值选择。数学推导涵盖特征变换（PCA）、分类器（从对数几率比到交叉熵损失的梯度下降）、阈值决策（从 Neyman-Pearson 假设检验到贝叶斯最小风险框架的比较分析）等核心环节，最终达到近乎完美的分类性能（F2=0.9985）。</w:t>
      </w:r>
    </w:p>
    <w:p>
      <w:pPr>
        <w:ind w:firstLine="480"/>
      </w:pPr>
      <w:r>
        <w:rPr>
          <w:rFonts w:ascii="宋体" w:hAnsi="宋体" w:eastAsia="宋体"/>
          <w:b w:val="0"/>
          <w:sz w:val="24"/>
        </w:rPr>
        <w:t>问题2（两阶段递进）：第一阶段延续数学建模路线，构建 72 维增强特征体系 + LightGBM 的 patch 级 4 分类器（Acc=89.72%），但将其接入多尺度滑动窗口检测管线后暴露出训练-推理分布偏移的根本性瓶颈（检测 P/R 均低于 15%）。第二阶段转向端到端深度学习检测范式，以 YOLOv8s 为基础模型，从损失函数与网络结构两个层面进行任务驱动的改进：① 用 Wise-IoU 距离注意力损失替换 CIoU（数学推导见 4.7.5 节）；② 用 SlideLoss 滑窗加权替换标准 BCE 分类损失（数学推导见 4.7.6 节）；③ 引入 P2 高分辨率检测层解决小目标漏检（结构分析见 4.7.7 节）。三项改进的消融验证与最终 mAP=0.403 的检测性能见 4.7.9 节。</w:t>
      </w:r>
    </w:p>
    <w:p>
      <w:pPr>
        <w:ind w:firstLine="480"/>
      </w:pPr>
      <w:r>
        <w:rPr>
          <w:rFonts w:ascii="宋体" w:hAnsi="宋体" w:eastAsia="宋体"/>
          <w:b w:val="0"/>
          <w:sz w:val="24"/>
        </w:rPr>
        <w:t>问题3：从分类与检测两条技术路线的性能、特征有效性、损失函数消融、模型规模对比、部署成本等多个维度构建系统评估框架，重点回答三个问题：传统方法的性能上限在哪里？深度学习方法的优势体现在哪些方面？任务驱动的模型改进与盲目增大模型规模哪种策略更有效？</w:t>
      </w:r>
    </w:p>
    <w:p>
      <w:r>
        <w:br w:type="page"/>
      </w:r>
    </w:p>
    <w:p>
      <w:pPr>
        <w:pStyle w:val="Heading1"/>
      </w:pPr>
      <w:r>
        <w:rPr>
          <w:rFonts w:ascii="黑体" w:hAnsi="黑体" w:eastAsia="黑体"/>
          <w:sz w:val="28"/>
        </w:rPr>
        <w:t>2  数据探索与预处理</w:t>
      </w:r>
    </w:p>
    <w:p>
      <w:pPr>
        <w:pStyle w:val="Heading2"/>
      </w:pPr>
      <w:r>
        <w:rPr>
          <w:rFonts w:ascii="黑体" w:hAnsi="黑体" w:eastAsia="黑体"/>
          <w:sz w:val="26"/>
        </w:rPr>
        <w:t>2.1  数据集概览</w:t>
      </w:r>
    </w:p>
    <w:p>
      <w:pPr>
        <w:ind w:firstLine="480"/>
      </w:pPr>
      <w:r>
        <w:rPr>
          <w:rFonts w:ascii="宋体" w:hAnsi="宋体" w:eastAsia="宋体"/>
          <w:b w:val="0"/>
          <w:sz w:val="24"/>
        </w:rPr>
        <w:t>本题目提供的数据集共包含 3713 张集装箱外表面图像，按官方划分，其中训练集 3300 张，测试集 413 张。所有图像均为 640×640 像素的 RGB 彩色图像，以 JPEG 格式存储。标注文件采用 YOLO 目标检测格式，每行对应一个边界框（bounding box），由 5 个字段组成：类别编号（0=Dent, 1=Hole, 2=Rusty）、边界框中心 x 坐标（归一化）、中心 y 坐标（归一化）、宽度（归一化）、高度（归一化）。</w:t>
      </w:r>
    </w:p>
    <w:p>
      <w:pPr>
        <w:spacing w:before="120" w:after="80"/>
        <w:jc w:val="center"/>
      </w:pPr>
      <w:r>
        <w:rPr>
          <w:rFonts w:ascii="宋体" w:hAnsi="宋体" w:eastAsia="宋体"/>
          <w:b/>
          <w:sz w:val="20"/>
        </w:rPr>
        <w:t>表2-1  数据集基本信息</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18"/>
              </w:rPr>
              <w:t>项目</w:t>
            </w:r>
          </w:p>
        </w:tc>
        <w:tc>
          <w:tcPr>
            <w:tcW w:type="dxa" w:w="2878"/>
          </w:tcPr>
          <w:p>
            <w:pPr>
              <w:jc w:val="center"/>
            </w:pPr>
            <w:r>
              <w:rPr>
                <w:b/>
                <w:sz w:val="18"/>
              </w:rPr>
              <w:t>训练集</w:t>
            </w:r>
          </w:p>
        </w:tc>
        <w:tc>
          <w:tcPr>
            <w:tcW w:type="dxa" w:w="2878"/>
          </w:tcPr>
          <w:p>
            <w:pPr>
              <w:jc w:val="center"/>
            </w:pPr>
            <w:r>
              <w:rPr>
                <w:b/>
                <w:sz w:val="18"/>
              </w:rPr>
              <w:t>测试集</w:t>
            </w:r>
          </w:p>
        </w:tc>
      </w:tr>
      <w:tr>
        <w:tc>
          <w:tcPr>
            <w:tcW w:type="dxa" w:w="2878"/>
          </w:tcPr>
          <w:p>
            <w:pPr>
              <w:jc w:val="center"/>
            </w:pPr>
            <w:r>
              <w:rPr>
                <w:sz w:val="18"/>
              </w:rPr>
              <w:t>图像数量</w:t>
            </w:r>
          </w:p>
        </w:tc>
        <w:tc>
          <w:tcPr>
            <w:tcW w:type="dxa" w:w="2878"/>
          </w:tcPr>
          <w:p>
            <w:pPr>
              <w:jc w:val="center"/>
            </w:pPr>
            <w:r>
              <w:rPr>
                <w:sz w:val="18"/>
              </w:rPr>
              <w:t>3300</w:t>
            </w:r>
          </w:p>
        </w:tc>
        <w:tc>
          <w:tcPr>
            <w:tcW w:type="dxa" w:w="2878"/>
          </w:tcPr>
          <w:p>
            <w:pPr>
              <w:jc w:val="center"/>
            </w:pPr>
            <w:r>
              <w:rPr>
                <w:sz w:val="18"/>
              </w:rPr>
              <w:t>413</w:t>
            </w:r>
          </w:p>
        </w:tc>
      </w:tr>
      <w:tr>
        <w:tc>
          <w:tcPr>
            <w:tcW w:type="dxa" w:w="2878"/>
          </w:tcPr>
          <w:p>
            <w:pPr>
              <w:jc w:val="center"/>
            </w:pPr>
            <w:r>
              <w:rPr>
                <w:sz w:val="18"/>
              </w:rPr>
              <w:t>图像尺寸</w:t>
            </w:r>
          </w:p>
        </w:tc>
        <w:tc>
          <w:tcPr>
            <w:tcW w:type="dxa" w:w="2878"/>
          </w:tcPr>
          <w:p>
            <w:pPr>
              <w:jc w:val="center"/>
            </w:pPr>
            <w:r>
              <w:rPr>
                <w:sz w:val="18"/>
              </w:rPr>
              <w:t>640×640×3 (RGB)</w:t>
            </w:r>
          </w:p>
        </w:tc>
        <w:tc>
          <w:tcPr>
            <w:tcW w:type="dxa" w:w="2878"/>
          </w:tcPr>
          <w:p>
            <w:pPr>
              <w:jc w:val="center"/>
            </w:pPr>
            <w:r>
              <w:rPr>
                <w:sz w:val="18"/>
              </w:rPr>
              <w:t>640×640×3 (RGB)</w:t>
            </w:r>
          </w:p>
        </w:tc>
      </w:tr>
      <w:tr>
        <w:tc>
          <w:tcPr>
            <w:tcW w:type="dxa" w:w="2878"/>
          </w:tcPr>
          <w:p>
            <w:pPr>
              <w:jc w:val="center"/>
            </w:pPr>
            <w:r>
              <w:rPr>
                <w:sz w:val="18"/>
              </w:rPr>
              <w:t>标注框总数</w:t>
            </w:r>
          </w:p>
        </w:tc>
        <w:tc>
          <w:tcPr>
            <w:tcW w:type="dxa" w:w="2878"/>
          </w:tcPr>
          <w:p>
            <w:pPr>
              <w:jc w:val="center"/>
            </w:pPr>
            <w:r>
              <w:rPr>
                <w:sz w:val="18"/>
              </w:rPr>
              <w:t>8038</w:t>
            </w:r>
          </w:p>
        </w:tc>
        <w:tc>
          <w:tcPr>
            <w:tcW w:type="dxa" w:w="2878"/>
          </w:tcPr>
          <w:p>
            <w:pPr>
              <w:jc w:val="center"/>
            </w:pPr>
            <w:r>
              <w:rPr>
                <w:sz w:val="18"/>
              </w:rPr>
              <w:t>1066</w:t>
            </w:r>
          </w:p>
        </w:tc>
      </w:tr>
      <w:tr>
        <w:tc>
          <w:tcPr>
            <w:tcW w:type="dxa" w:w="2878"/>
          </w:tcPr>
          <w:p>
            <w:pPr>
              <w:jc w:val="center"/>
            </w:pPr>
            <w:r>
              <w:rPr>
                <w:sz w:val="18"/>
              </w:rPr>
              <w:t>Dent（凹陷）</w:t>
            </w:r>
          </w:p>
        </w:tc>
        <w:tc>
          <w:tcPr>
            <w:tcW w:type="dxa" w:w="2878"/>
          </w:tcPr>
          <w:p>
            <w:pPr>
              <w:jc w:val="center"/>
            </w:pPr>
            <w:r>
              <w:rPr>
                <w:sz w:val="18"/>
              </w:rPr>
              <w:t>3934 (48.9%)</w:t>
            </w:r>
          </w:p>
        </w:tc>
        <w:tc>
          <w:tcPr>
            <w:tcW w:type="dxa" w:w="2878"/>
          </w:tcPr>
          <w:p>
            <w:pPr>
              <w:jc w:val="center"/>
            </w:pPr>
            <w:r>
              <w:rPr>
                <w:sz w:val="18"/>
              </w:rPr>
              <w:t>504 (47.3%)</w:t>
            </w:r>
          </w:p>
        </w:tc>
      </w:tr>
      <w:tr>
        <w:tc>
          <w:tcPr>
            <w:tcW w:type="dxa" w:w="2878"/>
          </w:tcPr>
          <w:p>
            <w:pPr>
              <w:jc w:val="center"/>
            </w:pPr>
            <w:r>
              <w:rPr>
                <w:sz w:val="18"/>
              </w:rPr>
              <w:t>Hole（破洞）</w:t>
            </w:r>
          </w:p>
        </w:tc>
        <w:tc>
          <w:tcPr>
            <w:tcW w:type="dxa" w:w="2878"/>
          </w:tcPr>
          <w:p>
            <w:pPr>
              <w:jc w:val="center"/>
            </w:pPr>
            <w:r>
              <w:rPr>
                <w:sz w:val="18"/>
              </w:rPr>
              <w:t>946 (11.8%)</w:t>
            </w:r>
          </w:p>
        </w:tc>
        <w:tc>
          <w:tcPr>
            <w:tcW w:type="dxa" w:w="2878"/>
          </w:tcPr>
          <w:p>
            <w:pPr>
              <w:jc w:val="center"/>
            </w:pPr>
            <w:r>
              <w:rPr>
                <w:sz w:val="18"/>
              </w:rPr>
              <w:t>152 (14.3%)</w:t>
            </w:r>
          </w:p>
        </w:tc>
      </w:tr>
      <w:tr>
        <w:tc>
          <w:tcPr>
            <w:tcW w:type="dxa" w:w="2878"/>
          </w:tcPr>
          <w:p>
            <w:pPr>
              <w:jc w:val="center"/>
            </w:pPr>
            <w:r>
              <w:rPr>
                <w:sz w:val="18"/>
              </w:rPr>
              <w:t>Rusty（锈蚀）</w:t>
            </w:r>
          </w:p>
        </w:tc>
        <w:tc>
          <w:tcPr>
            <w:tcW w:type="dxa" w:w="2878"/>
          </w:tcPr>
          <w:p>
            <w:pPr>
              <w:jc w:val="center"/>
            </w:pPr>
            <w:r>
              <w:rPr>
                <w:sz w:val="18"/>
              </w:rPr>
              <w:t>3158 (39.3%)</w:t>
            </w:r>
          </w:p>
        </w:tc>
        <w:tc>
          <w:tcPr>
            <w:tcW w:type="dxa" w:w="2878"/>
          </w:tcPr>
          <w:p>
            <w:pPr>
              <w:jc w:val="center"/>
            </w:pPr>
            <w:r>
              <w:rPr>
                <w:sz w:val="18"/>
              </w:rPr>
              <w:t>410 (38.5%)</w:t>
            </w:r>
          </w:p>
        </w:tc>
      </w:tr>
      <w:tr>
        <w:tc>
          <w:tcPr>
            <w:tcW w:type="dxa" w:w="2878"/>
          </w:tcPr>
          <w:p>
            <w:pPr>
              <w:jc w:val="center"/>
            </w:pPr>
            <w:r>
              <w:rPr>
                <w:sz w:val="18"/>
              </w:rPr>
              <w:t>无标注图像</w:t>
            </w:r>
          </w:p>
        </w:tc>
        <w:tc>
          <w:tcPr>
            <w:tcW w:type="dxa" w:w="2878"/>
          </w:tcPr>
          <w:p>
            <w:pPr>
              <w:jc w:val="center"/>
            </w:pPr>
            <w:r>
              <w:rPr>
                <w:sz w:val="18"/>
              </w:rPr>
              <w:t>0</w:t>
            </w:r>
          </w:p>
        </w:tc>
        <w:tc>
          <w:tcPr>
            <w:tcW w:type="dxa" w:w="2878"/>
          </w:tcPr>
          <w:p>
            <w:pPr>
              <w:jc w:val="center"/>
            </w:pPr>
            <w:r>
              <w:rPr>
                <w:sz w:val="18"/>
              </w:rPr>
              <w:t>0</w:t>
            </w:r>
          </w:p>
        </w:tc>
      </w:tr>
    </w:tbl>
    <w:p/>
    <w:p>
      <w:pPr>
        <w:pStyle w:val="Heading2"/>
      </w:pPr>
      <w:r>
        <w:rPr>
          <w:rFonts w:ascii="黑体" w:hAnsi="黑体" w:eastAsia="黑体"/>
          <w:sz w:val="26"/>
        </w:rPr>
        <w:t>2.2  标注数据分析</w:t>
      </w:r>
    </w:p>
    <w:p>
      <w:pPr>
        <w:pStyle w:val="Heading3"/>
      </w:pPr>
      <w:r>
        <w:rPr>
          <w:rFonts w:ascii="黑体" w:hAnsi="黑体" w:eastAsia="黑体"/>
          <w:sz w:val="24"/>
        </w:rPr>
        <w:t>2.2.1  类别分布</w:t>
      </w:r>
    </w:p>
    <w:p>
      <w:pPr>
        <w:ind w:firstLine="480"/>
      </w:pPr>
      <w:r>
        <w:rPr>
          <w:rFonts w:ascii="宋体" w:hAnsi="宋体" w:eastAsia="宋体"/>
          <w:b w:val="0"/>
          <w:sz w:val="24"/>
        </w:rPr>
        <w:t>训练集的 8038 个标注框中，Dent（凹陷）占比最高（48.9%），Rusty（锈蚀）次之（39.3%），Hole（破洞）最少（11.8%）。三大类别的样本量之比约为 4.2:1:3.3（Dent:Hole:Rusty），Hole 类存在明显的样本不足问题。测试集的类别分布与训练集基本一致。在后续的模型训练中，需要通过 class_weight 加权或 oversampling 等方式对 Hole 类进行补偿，以防止模型对该类别的召回率过低。</w:t>
      </w:r>
    </w:p>
    <w:p>
      <w:pPr>
        <w:jc w:val="center"/>
      </w:pPr>
      <w:r>
        <w:drawing>
          <wp:inline xmlns:a="http://schemas.openxmlformats.org/drawingml/2006/main" xmlns:pic="http://schemas.openxmlformats.org/drawingml/2006/picture">
            <wp:extent cx="4680000" cy="3325854"/>
            <wp:docPr id="1" name="Picture 1"/>
            <wp:cNvGraphicFramePr>
              <a:graphicFrameLocks noChangeAspect="1"/>
            </wp:cNvGraphicFramePr>
            <a:graphic>
              <a:graphicData uri="http://schemas.openxmlformats.org/drawingml/2006/picture">
                <pic:pic>
                  <pic:nvPicPr>
                    <pic:cNvPr id="0" name="dataset_statistics.png"/>
                    <pic:cNvPicPr/>
                  </pic:nvPicPr>
                  <pic:blipFill>
                    <a:blip r:embed="rId9"/>
                    <a:stretch>
                      <a:fillRect/>
                    </a:stretch>
                  </pic:blipFill>
                  <pic:spPr>
                    <a:xfrm>
                      <a:off x="0" y="0"/>
                      <a:ext cx="4680000" cy="3325854"/>
                    </a:xfrm>
                    <a:prstGeom prst="rect"/>
                  </pic:spPr>
                </pic:pic>
              </a:graphicData>
            </a:graphic>
          </wp:inline>
        </w:drawing>
      </w:r>
    </w:p>
    <w:p>
      <w:pPr>
        <w:spacing w:before="80" w:after="240"/>
        <w:jc w:val="center"/>
      </w:pPr>
      <w:r>
        <w:rPr>
          <w:rFonts w:ascii="宋体" w:hAnsi="宋体" w:eastAsia="宋体"/>
          <w:sz w:val="20"/>
        </w:rPr>
        <w:t>图2-1  数据集统计分析：(a) 类别分布；(b) 每图框数；(c) bbox面积分位数；(d) 各类别面积中位数</w:t>
      </w:r>
    </w:p>
    <w:p>
      <w:pPr>
        <w:pStyle w:val="Heading3"/>
      </w:pPr>
      <w:r>
        <w:rPr>
          <w:rFonts w:ascii="黑体" w:hAnsi="黑体" w:eastAsia="黑体"/>
          <w:sz w:val="24"/>
        </w:rPr>
        <w:t>2.2.2  bbox 面积分析</w:t>
      </w:r>
    </w:p>
    <w:p>
      <w:pPr>
        <w:ind w:firstLine="480"/>
      </w:pPr>
      <w:r>
        <w:rPr>
          <w:rFonts w:ascii="宋体" w:hAnsi="宋体" w:eastAsia="宋体"/>
          <w:b w:val="0"/>
          <w:sz w:val="24"/>
        </w:rPr>
        <w:t>边界框面积是衡量残损尺寸的核心指标。在 640×640 像素的图像坐标系下，训练集 bbox 面积的统计特征如表 2-2 所示。</w:t>
      </w:r>
    </w:p>
    <w:p>
      <w:pPr>
        <w:spacing w:before="120" w:after="80"/>
        <w:jc w:val="center"/>
      </w:pPr>
      <w:r>
        <w:rPr>
          <w:rFonts w:ascii="宋体" w:hAnsi="宋体" w:eastAsia="宋体"/>
          <w:b/>
          <w:sz w:val="20"/>
        </w:rPr>
        <w:t>表2-2  bbox 面积统计</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18"/>
              </w:rPr>
              <w:t>统计量</w:t>
            </w:r>
          </w:p>
        </w:tc>
        <w:tc>
          <w:tcPr>
            <w:tcW w:type="dxa" w:w="2878"/>
          </w:tcPr>
          <w:p>
            <w:pPr>
              <w:jc w:val="center"/>
            </w:pPr>
            <w:r>
              <w:rPr>
                <w:b/>
                <w:sz w:val="18"/>
              </w:rPr>
              <w:t>训练集 (px²)</w:t>
            </w:r>
          </w:p>
        </w:tc>
        <w:tc>
          <w:tcPr>
            <w:tcW w:type="dxa" w:w="2878"/>
          </w:tcPr>
          <w:p>
            <w:pPr>
              <w:jc w:val="center"/>
            </w:pPr>
            <w:r>
              <w:rPr>
                <w:b/>
                <w:sz w:val="18"/>
              </w:rPr>
              <w:t>测试集 (px²)</w:t>
            </w:r>
          </w:p>
        </w:tc>
      </w:tr>
      <w:tr>
        <w:tc>
          <w:tcPr>
            <w:tcW w:type="dxa" w:w="2878"/>
          </w:tcPr>
          <w:p>
            <w:pPr>
              <w:jc w:val="center"/>
            </w:pPr>
            <w:r>
              <w:rPr>
                <w:sz w:val="18"/>
              </w:rPr>
              <w:t>最小值</w:t>
            </w:r>
          </w:p>
        </w:tc>
        <w:tc>
          <w:tcPr>
            <w:tcW w:type="dxa" w:w="2878"/>
          </w:tcPr>
          <w:p>
            <w:pPr>
              <w:jc w:val="center"/>
            </w:pPr>
            <w:r>
              <w:rPr>
                <w:sz w:val="18"/>
              </w:rPr>
              <w:t>4</w:t>
            </w:r>
          </w:p>
        </w:tc>
        <w:tc>
          <w:tcPr>
            <w:tcW w:type="dxa" w:w="2878"/>
          </w:tcPr>
          <w:p>
            <w:pPr>
              <w:jc w:val="center"/>
            </w:pPr>
            <w:r>
              <w:rPr>
                <w:sz w:val="18"/>
              </w:rPr>
              <w:t>7</w:t>
            </w:r>
          </w:p>
        </w:tc>
      </w:tr>
      <w:tr>
        <w:tc>
          <w:tcPr>
            <w:tcW w:type="dxa" w:w="2878"/>
          </w:tcPr>
          <w:p>
            <w:pPr>
              <w:jc w:val="center"/>
            </w:pPr>
            <w:r>
              <w:rPr>
                <w:sz w:val="18"/>
              </w:rPr>
              <w:t>P10</w:t>
            </w:r>
          </w:p>
        </w:tc>
        <w:tc>
          <w:tcPr>
            <w:tcW w:type="dxa" w:w="2878"/>
          </w:tcPr>
          <w:p>
            <w:pPr>
              <w:jc w:val="center"/>
            </w:pPr>
            <w:r>
              <w:rPr>
                <w:sz w:val="18"/>
              </w:rPr>
              <w:t>609</w:t>
            </w:r>
          </w:p>
        </w:tc>
        <w:tc>
          <w:tcPr>
            <w:tcW w:type="dxa" w:w="2878"/>
          </w:tcPr>
          <w:p>
            <w:pPr>
              <w:jc w:val="center"/>
            </w:pPr>
            <w:r>
              <w:rPr>
                <w:sz w:val="18"/>
              </w:rPr>
              <w:t>324</w:t>
            </w:r>
          </w:p>
        </w:tc>
      </w:tr>
      <w:tr>
        <w:tc>
          <w:tcPr>
            <w:tcW w:type="dxa" w:w="2878"/>
          </w:tcPr>
          <w:p>
            <w:pPr>
              <w:jc w:val="center"/>
            </w:pPr>
            <w:r>
              <w:rPr>
                <w:sz w:val="18"/>
              </w:rPr>
              <w:t>P25</w:t>
            </w:r>
          </w:p>
        </w:tc>
        <w:tc>
          <w:tcPr>
            <w:tcW w:type="dxa" w:w="2878"/>
          </w:tcPr>
          <w:p>
            <w:pPr>
              <w:jc w:val="center"/>
            </w:pPr>
            <w:r>
              <w:rPr>
                <w:sz w:val="18"/>
              </w:rPr>
              <w:t>1611</w:t>
            </w:r>
          </w:p>
        </w:tc>
        <w:tc>
          <w:tcPr>
            <w:tcW w:type="dxa" w:w="2878"/>
          </w:tcPr>
          <w:p>
            <w:pPr>
              <w:jc w:val="center"/>
            </w:pPr>
            <w:r>
              <w:rPr>
                <w:sz w:val="18"/>
              </w:rPr>
              <w:t>1260</w:t>
            </w:r>
          </w:p>
        </w:tc>
      </w:tr>
      <w:tr>
        <w:tc>
          <w:tcPr>
            <w:tcW w:type="dxa" w:w="2878"/>
          </w:tcPr>
          <w:p>
            <w:pPr>
              <w:jc w:val="center"/>
            </w:pPr>
            <w:r>
              <w:rPr>
                <w:sz w:val="18"/>
              </w:rPr>
              <w:t>中位数 (P50)</w:t>
            </w:r>
          </w:p>
        </w:tc>
        <w:tc>
          <w:tcPr>
            <w:tcW w:type="dxa" w:w="2878"/>
          </w:tcPr>
          <w:p>
            <w:pPr>
              <w:jc w:val="center"/>
            </w:pPr>
            <w:r>
              <w:rPr>
                <w:sz w:val="18"/>
              </w:rPr>
              <w:t>5040</w:t>
            </w:r>
          </w:p>
        </w:tc>
        <w:tc>
          <w:tcPr>
            <w:tcW w:type="dxa" w:w="2878"/>
          </w:tcPr>
          <w:p>
            <w:pPr>
              <w:jc w:val="center"/>
            </w:pPr>
            <w:r>
              <w:rPr>
                <w:sz w:val="18"/>
              </w:rPr>
              <w:t>4551</w:t>
            </w:r>
          </w:p>
        </w:tc>
      </w:tr>
      <w:tr>
        <w:tc>
          <w:tcPr>
            <w:tcW w:type="dxa" w:w="2878"/>
          </w:tcPr>
          <w:p>
            <w:pPr>
              <w:jc w:val="center"/>
            </w:pPr>
            <w:r>
              <w:rPr>
                <w:sz w:val="18"/>
              </w:rPr>
              <w:t>P75</w:t>
            </w:r>
          </w:p>
        </w:tc>
        <w:tc>
          <w:tcPr>
            <w:tcW w:type="dxa" w:w="2878"/>
          </w:tcPr>
          <w:p>
            <w:pPr>
              <w:jc w:val="center"/>
            </w:pPr>
            <w:r>
              <w:rPr>
                <w:sz w:val="18"/>
              </w:rPr>
              <w:t>18828</w:t>
            </w:r>
          </w:p>
        </w:tc>
        <w:tc>
          <w:tcPr>
            <w:tcW w:type="dxa" w:w="2878"/>
          </w:tcPr>
          <w:p>
            <w:pPr>
              <w:jc w:val="center"/>
            </w:pPr>
            <w:r>
              <w:rPr>
                <w:sz w:val="18"/>
              </w:rPr>
              <w:t>20838</w:t>
            </w:r>
          </w:p>
        </w:tc>
      </w:tr>
      <w:tr>
        <w:tc>
          <w:tcPr>
            <w:tcW w:type="dxa" w:w="2878"/>
          </w:tcPr>
          <w:p>
            <w:pPr>
              <w:jc w:val="center"/>
            </w:pPr>
            <w:r>
              <w:rPr>
                <w:sz w:val="18"/>
              </w:rPr>
              <w:t>P90</w:t>
            </w:r>
          </w:p>
        </w:tc>
        <w:tc>
          <w:tcPr>
            <w:tcW w:type="dxa" w:w="2878"/>
          </w:tcPr>
          <w:p>
            <w:pPr>
              <w:jc w:val="center"/>
            </w:pPr>
            <w:r>
              <w:rPr>
                <w:sz w:val="18"/>
              </w:rPr>
              <w:t>58170</w:t>
            </w:r>
          </w:p>
        </w:tc>
        <w:tc>
          <w:tcPr>
            <w:tcW w:type="dxa" w:w="2878"/>
          </w:tcPr>
          <w:p>
            <w:pPr>
              <w:jc w:val="center"/>
            </w:pPr>
            <w:r>
              <w:rPr>
                <w:sz w:val="18"/>
              </w:rPr>
              <w:t>55286</w:t>
            </w:r>
          </w:p>
        </w:tc>
      </w:tr>
      <w:tr>
        <w:tc>
          <w:tcPr>
            <w:tcW w:type="dxa" w:w="2878"/>
          </w:tcPr>
          <w:p>
            <w:pPr>
              <w:jc w:val="center"/>
            </w:pPr>
            <w:r>
              <w:rPr>
                <w:sz w:val="18"/>
              </w:rPr>
              <w:t>最大值</w:t>
            </w:r>
          </w:p>
        </w:tc>
        <w:tc>
          <w:tcPr>
            <w:tcW w:type="dxa" w:w="2878"/>
          </w:tcPr>
          <w:p>
            <w:pPr>
              <w:jc w:val="center"/>
            </w:pPr>
            <w:r>
              <w:rPr>
                <w:sz w:val="18"/>
              </w:rPr>
              <w:t>408321</w:t>
            </w:r>
          </w:p>
        </w:tc>
        <w:tc>
          <w:tcPr>
            <w:tcW w:type="dxa" w:w="2878"/>
          </w:tcPr>
          <w:p>
            <w:pPr>
              <w:jc w:val="center"/>
            </w:pPr>
            <w:r>
              <w:rPr>
                <w:sz w:val="18"/>
              </w:rPr>
              <w:t>408321</w:t>
            </w:r>
          </w:p>
        </w:tc>
      </w:tr>
      <w:tr>
        <w:tc>
          <w:tcPr>
            <w:tcW w:type="dxa" w:w="2878"/>
          </w:tcPr>
          <w:p>
            <w:pPr>
              <w:jc w:val="center"/>
            </w:pPr>
            <w:r>
              <w:rPr>
                <w:sz w:val="18"/>
              </w:rPr>
              <w:t>均值</w:t>
            </w:r>
          </w:p>
        </w:tc>
        <w:tc>
          <w:tcPr>
            <w:tcW w:type="dxa" w:w="2878"/>
          </w:tcPr>
          <w:p>
            <w:pPr>
              <w:jc w:val="center"/>
            </w:pPr>
            <w:r>
              <w:rPr>
                <w:sz w:val="18"/>
              </w:rPr>
              <w:t>21848</w:t>
            </w:r>
          </w:p>
        </w:tc>
        <w:tc>
          <w:tcPr>
            <w:tcW w:type="dxa" w:w="2878"/>
          </w:tcPr>
          <w:p>
            <w:pPr>
              <w:jc w:val="center"/>
            </w:pPr>
            <w:r>
              <w:rPr>
                <w:sz w:val="18"/>
              </w:rPr>
              <w:t>20640</w:t>
            </w:r>
          </w:p>
        </w:tc>
      </w:tr>
    </w:tbl>
    <w:p/>
    <w:p>
      <w:pPr>
        <w:ind w:firstLine="480"/>
      </w:pPr>
      <w:r>
        <w:rPr>
          <w:rFonts w:ascii="宋体" w:hAnsi="宋体" w:eastAsia="宋体"/>
          <w:b w:val="0"/>
          <w:sz w:val="24"/>
        </w:rPr>
        <w:t>从上表可以观察到以下关键特征：</w:t>
      </w:r>
    </w:p>
    <w:p>
      <w:pPr>
        <w:ind w:firstLine="480"/>
      </w:pPr>
      <w:r>
        <w:rPr>
          <w:rFonts w:ascii="宋体" w:hAnsi="宋体" w:eastAsia="宋体"/>
          <w:b w:val="0"/>
          <w:sz w:val="24"/>
        </w:rPr>
        <w:t>（1）面积跨度极大：从最小的 4 px²（约 2×2 像素）到最大的 408,321 px²（约 639×639 像素，几乎覆盖全图），跨度超过 5 个数量级。这意味着单一尺度的检测窗口无法覆盖所有残损——对大面积锈蚀有效的粗粒度扫描必然会遗漏微小凹陷/破洞，反之亦然。因此，多尺度检测策略在本任务中不是可选项，而是必须项。</w:t>
      </w:r>
    </w:p>
    <w:p>
      <w:pPr>
        <w:ind w:firstLine="480"/>
      </w:pPr>
      <w:r>
        <w:rPr>
          <w:rFonts w:ascii="宋体" w:hAnsi="宋体" w:eastAsia="宋体"/>
          <w:b w:val="0"/>
          <w:sz w:val="24"/>
        </w:rPr>
        <w:t>（2）大量小目标存在：P10 = 609 px²（约 25×25 像素），即有 10% 的标注框面积小于 25×25 像素。这类微小缺陷在 640×640 的全图中占比不到 0.15%，仅凭全局纹理统计很难检测到它们的存在，需要足够细粒度的局部窗口。</w:t>
      </w:r>
    </w:p>
    <w:p>
      <w:pPr>
        <w:ind w:firstLine="480"/>
      </w:pPr>
      <w:r>
        <w:rPr>
          <w:rFonts w:ascii="宋体" w:hAnsi="宋体" w:eastAsia="宋体"/>
          <w:b w:val="0"/>
          <w:sz w:val="24"/>
        </w:rPr>
        <w:t>（3）各类别面积差异显著：Dent（凹陷）的面积分布最广（P10=1344, P90=96499），覆盖了从小凹痕到大面积凹陷的广泛谱系。Hole（破洞）整体偏小（中位数 1440 px²，P90=24205），而 Rusty（锈蚀）集中于中等偏小面积（中位数 2978 px²，P90=16768）。这种类别间的面积分布差异意味着不同类别的"典型尺寸"不同，在设计滑动窗口尺度时需要综合考虑。</w:t>
      </w:r>
    </w:p>
    <w:p>
      <w:pPr>
        <w:jc w:val="center"/>
      </w:pPr>
      <w:r>
        <w:drawing>
          <wp:inline xmlns:a="http://schemas.openxmlformats.org/drawingml/2006/main" xmlns:pic="http://schemas.openxmlformats.org/drawingml/2006/picture">
            <wp:extent cx="4680000" cy="2340000"/>
            <wp:docPr id="2" name="Picture 2"/>
            <wp:cNvGraphicFramePr>
              <a:graphicFrameLocks noChangeAspect="1"/>
            </wp:cNvGraphicFramePr>
            <a:graphic>
              <a:graphicData uri="http://schemas.openxmlformats.org/drawingml/2006/picture">
                <pic:pic>
                  <pic:nvPicPr>
                    <pic:cNvPr id="0" name="bbox_area_histogram.png"/>
                    <pic:cNvPicPr/>
                  </pic:nvPicPr>
                  <pic:blipFill>
                    <a:blip r:embed="rId10"/>
                    <a:stretch>
                      <a:fillRect/>
                    </a:stretch>
                  </pic:blipFill>
                  <pic:spPr>
                    <a:xfrm>
                      <a:off x="0" y="0"/>
                      <a:ext cx="4680000" cy="2340000"/>
                    </a:xfrm>
                    <a:prstGeom prst="rect"/>
                  </pic:spPr>
                </pic:pic>
              </a:graphicData>
            </a:graphic>
          </wp:inline>
        </w:drawing>
      </w:r>
    </w:p>
    <w:p>
      <w:pPr>
        <w:spacing w:before="80" w:after="240"/>
        <w:jc w:val="center"/>
      </w:pPr>
      <w:r>
        <w:rPr>
          <w:rFonts w:ascii="宋体" w:hAnsi="宋体" w:eastAsia="宋体"/>
          <w:sz w:val="20"/>
        </w:rPr>
        <w:t>图2-2  bbox 面积分布直方图（对数坐标）</w:t>
      </w:r>
    </w:p>
    <w:p>
      <w:pPr>
        <w:pStyle w:val="Heading3"/>
      </w:pPr>
      <w:r>
        <w:rPr>
          <w:rFonts w:ascii="黑体" w:hAnsi="黑体" w:eastAsia="黑体"/>
          <w:sz w:val="24"/>
        </w:rPr>
        <w:t>2.2.3  每图框数分布</w:t>
      </w:r>
    </w:p>
    <w:p>
      <w:pPr>
        <w:ind w:firstLine="480"/>
      </w:pPr>
      <w:r>
        <w:rPr>
          <w:rFonts w:ascii="宋体" w:hAnsi="宋体" w:eastAsia="宋体"/>
          <w:b w:val="0"/>
          <w:sz w:val="24"/>
        </w:rPr>
        <w:t>训练集中每张图像的标注框数量分布如表 2-3 所示。</w:t>
      </w:r>
    </w:p>
    <w:p>
      <w:pPr>
        <w:spacing w:before="120" w:after="80"/>
        <w:jc w:val="center"/>
      </w:pPr>
      <w:r>
        <w:rPr>
          <w:rFonts w:ascii="宋体" w:hAnsi="宋体" w:eastAsia="宋体"/>
          <w:b/>
          <w:sz w:val="20"/>
        </w:rPr>
        <w:t>表2-3  每图标注框数量统计</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18"/>
              </w:rPr>
              <w:t>统计量</w:t>
            </w:r>
          </w:p>
        </w:tc>
        <w:tc>
          <w:tcPr>
            <w:tcW w:type="dxa" w:w="2878"/>
          </w:tcPr>
          <w:p>
            <w:pPr>
              <w:jc w:val="center"/>
            </w:pPr>
            <w:r>
              <w:rPr>
                <w:b/>
                <w:sz w:val="18"/>
              </w:rPr>
              <w:t>训练集</w:t>
            </w:r>
          </w:p>
        </w:tc>
        <w:tc>
          <w:tcPr>
            <w:tcW w:type="dxa" w:w="2878"/>
          </w:tcPr>
          <w:p>
            <w:pPr>
              <w:jc w:val="center"/>
            </w:pPr>
            <w:r>
              <w:rPr>
                <w:b/>
                <w:sz w:val="18"/>
              </w:rPr>
              <w:t>测试集</w:t>
            </w:r>
          </w:p>
        </w:tc>
      </w:tr>
      <w:tr>
        <w:tc>
          <w:tcPr>
            <w:tcW w:type="dxa" w:w="2878"/>
          </w:tcPr>
          <w:p>
            <w:pPr>
              <w:jc w:val="center"/>
            </w:pPr>
            <w:r>
              <w:rPr>
                <w:sz w:val="18"/>
              </w:rPr>
              <w:t>最小值</w:t>
            </w:r>
          </w:p>
        </w:tc>
        <w:tc>
          <w:tcPr>
            <w:tcW w:type="dxa" w:w="2878"/>
          </w:tcPr>
          <w:p>
            <w:pPr>
              <w:jc w:val="center"/>
            </w:pPr>
            <w:r>
              <w:rPr>
                <w:sz w:val="18"/>
              </w:rPr>
              <w:t>1</w:t>
            </w:r>
          </w:p>
        </w:tc>
        <w:tc>
          <w:tcPr>
            <w:tcW w:type="dxa" w:w="2878"/>
          </w:tcPr>
          <w:p>
            <w:pPr>
              <w:jc w:val="center"/>
            </w:pPr>
            <w:r>
              <w:rPr>
                <w:sz w:val="18"/>
              </w:rPr>
              <w:t>1</w:t>
            </w:r>
          </w:p>
        </w:tc>
      </w:tr>
      <w:tr>
        <w:tc>
          <w:tcPr>
            <w:tcW w:type="dxa" w:w="2878"/>
          </w:tcPr>
          <w:p>
            <w:pPr>
              <w:jc w:val="center"/>
            </w:pPr>
            <w:r>
              <w:rPr>
                <w:sz w:val="18"/>
              </w:rPr>
              <w:t>中位数</w:t>
            </w:r>
          </w:p>
        </w:tc>
        <w:tc>
          <w:tcPr>
            <w:tcW w:type="dxa" w:w="2878"/>
          </w:tcPr>
          <w:p>
            <w:pPr>
              <w:jc w:val="center"/>
            </w:pPr>
            <w:r>
              <w:rPr>
                <w:sz w:val="18"/>
              </w:rPr>
              <w:t>2</w:t>
            </w:r>
          </w:p>
        </w:tc>
        <w:tc>
          <w:tcPr>
            <w:tcW w:type="dxa" w:w="2878"/>
          </w:tcPr>
          <w:p>
            <w:pPr>
              <w:jc w:val="center"/>
            </w:pPr>
            <w:r>
              <w:rPr>
                <w:sz w:val="18"/>
              </w:rPr>
              <w:t>1</w:t>
            </w:r>
          </w:p>
        </w:tc>
      </w:tr>
      <w:tr>
        <w:tc>
          <w:tcPr>
            <w:tcW w:type="dxa" w:w="2878"/>
          </w:tcPr>
          <w:p>
            <w:pPr>
              <w:jc w:val="center"/>
            </w:pPr>
            <w:r>
              <w:rPr>
                <w:sz w:val="18"/>
              </w:rPr>
              <w:t>均值</w:t>
            </w:r>
          </w:p>
        </w:tc>
        <w:tc>
          <w:tcPr>
            <w:tcW w:type="dxa" w:w="2878"/>
          </w:tcPr>
          <w:p>
            <w:pPr>
              <w:jc w:val="center"/>
            </w:pPr>
            <w:r>
              <w:rPr>
                <w:sz w:val="18"/>
              </w:rPr>
              <w:t>2.4</w:t>
            </w:r>
          </w:p>
        </w:tc>
        <w:tc>
          <w:tcPr>
            <w:tcW w:type="dxa" w:w="2878"/>
          </w:tcPr>
          <w:p>
            <w:pPr>
              <w:jc w:val="center"/>
            </w:pPr>
            <w:r>
              <w:rPr>
                <w:sz w:val="18"/>
              </w:rPr>
              <w:t>2.6</w:t>
            </w:r>
          </w:p>
        </w:tc>
      </w:tr>
      <w:tr>
        <w:tc>
          <w:tcPr>
            <w:tcW w:type="dxa" w:w="2878"/>
          </w:tcPr>
          <w:p>
            <w:pPr>
              <w:jc w:val="center"/>
            </w:pPr>
            <w:r>
              <w:rPr>
                <w:sz w:val="18"/>
              </w:rPr>
              <w:t>最大值</w:t>
            </w:r>
          </w:p>
        </w:tc>
        <w:tc>
          <w:tcPr>
            <w:tcW w:type="dxa" w:w="2878"/>
          </w:tcPr>
          <w:p>
            <w:pPr>
              <w:jc w:val="center"/>
            </w:pPr>
            <w:r>
              <w:rPr>
                <w:sz w:val="18"/>
              </w:rPr>
              <w:t>50</w:t>
            </w:r>
          </w:p>
        </w:tc>
        <w:tc>
          <w:tcPr>
            <w:tcW w:type="dxa" w:w="2878"/>
          </w:tcPr>
          <w:p>
            <w:pPr>
              <w:jc w:val="center"/>
            </w:pPr>
            <w:r>
              <w:rPr>
                <w:sz w:val="18"/>
              </w:rPr>
              <w:t>72</w:t>
            </w:r>
          </w:p>
        </w:tc>
      </w:tr>
    </w:tbl>
    <w:p/>
    <w:p>
      <w:pPr>
        <w:ind w:firstLine="480"/>
      </w:pPr>
      <w:r>
        <w:rPr>
          <w:rFonts w:ascii="宋体" w:hAnsi="宋体" w:eastAsia="宋体"/>
          <w:b w:val="0"/>
          <w:sz w:val="24"/>
        </w:rPr>
        <w:t>数据表明：① 约 82% 的图像标注框数不超过 4 个，说明大多数集装箱的残损是零星分布的；② 极少数图像存在密集缺陷——训练集中有 1 张图多达 50 个标注框（1264.jpg），测试集中甚至出现了 72 个框的极端案例。对于密集缺陷图像，检测器的 NMS（非极大值抑制）和输出截断策略（最多取 4 个框）需要特别关注。</w:t>
      </w:r>
    </w:p>
    <w:p>
      <w:pPr>
        <w:jc w:val="center"/>
      </w:pPr>
      <w:r>
        <w:drawing>
          <wp:inline xmlns:a="http://schemas.openxmlformats.org/drawingml/2006/main" xmlns:pic="http://schemas.openxmlformats.org/drawingml/2006/picture">
            <wp:extent cx="4680000" cy="2340000"/>
            <wp:docPr id="3" name="Picture 3"/>
            <wp:cNvGraphicFramePr>
              <a:graphicFrameLocks noChangeAspect="1"/>
            </wp:cNvGraphicFramePr>
            <a:graphic>
              <a:graphicData uri="http://schemas.openxmlformats.org/drawingml/2006/picture">
                <pic:pic>
                  <pic:nvPicPr>
                    <pic:cNvPr id="0" name="bbox_per_image_histogram.png"/>
                    <pic:cNvPicPr/>
                  </pic:nvPicPr>
                  <pic:blipFill>
                    <a:blip r:embed="rId11"/>
                    <a:stretch>
                      <a:fillRect/>
                    </a:stretch>
                  </pic:blipFill>
                  <pic:spPr>
                    <a:xfrm>
                      <a:off x="0" y="0"/>
                      <a:ext cx="4680000" cy="2340000"/>
                    </a:xfrm>
                    <a:prstGeom prst="rect"/>
                  </pic:spPr>
                </pic:pic>
              </a:graphicData>
            </a:graphic>
          </wp:inline>
        </w:drawing>
      </w:r>
    </w:p>
    <w:p>
      <w:pPr>
        <w:spacing w:before="80" w:after="240"/>
        <w:jc w:val="center"/>
      </w:pPr>
      <w:r>
        <w:rPr>
          <w:rFonts w:ascii="宋体" w:hAnsi="宋体" w:eastAsia="宋体"/>
          <w:sz w:val="20"/>
        </w:rPr>
        <w:t>图2-3  每图标注框数量分布直方图</w:t>
      </w:r>
    </w:p>
    <w:p>
      <w:pPr>
        <w:pStyle w:val="Heading3"/>
      </w:pPr>
      <w:r>
        <w:rPr>
          <w:rFonts w:ascii="黑体" w:hAnsi="黑体" w:eastAsia="黑体"/>
          <w:sz w:val="24"/>
        </w:rPr>
        <w:t>2.2.4  bbox 宽高比分析</w:t>
      </w:r>
    </w:p>
    <w:p>
      <w:pPr>
        <w:ind w:firstLine="480"/>
      </w:pPr>
      <w:r>
        <w:rPr>
          <w:rFonts w:ascii="宋体" w:hAnsi="宋体" w:eastAsia="宋体"/>
          <w:b w:val="0"/>
          <w:sz w:val="24"/>
        </w:rPr>
        <w:t>各类别边界框的宽高比（width/height）统计如表 2-4 所示。三个类别的宽高比中位数均在 0.70-0.80 之间，分布整体偏向竖向矩形（高大于宽）。这一特征与集装箱表面损伤的常见形态一致——竖向的划痕、裂缝和锈蚀条纹较为常见。宽高比分布的跨度较大（min=0.01, max=64.98），说明也存在少量极端细长或扁平的损伤形态。在滑动窗口设计中，近似使用正方形窗口（宽高比=1）是一种合理的简化，但需在 NMS 阶段保留不同宽高比的检测框以适应实际形态。</w:t>
      </w:r>
    </w:p>
    <w:p>
      <w:pPr>
        <w:spacing w:before="120" w:after="80"/>
        <w:jc w:val="center"/>
      </w:pPr>
      <w:r>
        <w:rPr>
          <w:rFonts w:ascii="宋体" w:hAnsi="宋体" w:eastAsia="宋体"/>
          <w:b/>
          <w:sz w:val="20"/>
        </w:rPr>
        <w:t>表2-4  各类别 bbox 宽高比统计</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18"/>
              </w:rPr>
              <w:t>类别</w:t>
            </w:r>
          </w:p>
        </w:tc>
        <w:tc>
          <w:tcPr>
            <w:tcW w:type="dxa" w:w="1727"/>
          </w:tcPr>
          <w:p>
            <w:pPr>
              <w:jc w:val="center"/>
            </w:pPr>
            <w:r>
              <w:rPr>
                <w:b/>
                <w:sz w:val="18"/>
              </w:rPr>
              <w:t>宽高比中位数</w:t>
            </w:r>
          </w:p>
        </w:tc>
        <w:tc>
          <w:tcPr>
            <w:tcW w:type="dxa" w:w="1727"/>
          </w:tcPr>
          <w:p>
            <w:pPr>
              <w:jc w:val="center"/>
            </w:pPr>
            <w:r>
              <w:rPr>
                <w:b/>
                <w:sz w:val="18"/>
              </w:rPr>
              <w:t>宽高比均值</w:t>
            </w:r>
          </w:p>
        </w:tc>
        <w:tc>
          <w:tcPr>
            <w:tcW w:type="dxa" w:w="1727"/>
          </w:tcPr>
          <w:p>
            <w:pPr>
              <w:jc w:val="center"/>
            </w:pPr>
            <w:r>
              <w:rPr>
                <w:b/>
                <w:sz w:val="18"/>
              </w:rPr>
              <w:t>最小值</w:t>
            </w:r>
          </w:p>
        </w:tc>
        <w:tc>
          <w:tcPr>
            <w:tcW w:type="dxa" w:w="1727"/>
          </w:tcPr>
          <w:p>
            <w:pPr>
              <w:jc w:val="center"/>
            </w:pPr>
            <w:r>
              <w:rPr>
                <w:b/>
                <w:sz w:val="18"/>
              </w:rPr>
              <w:t>最大值</w:t>
            </w:r>
          </w:p>
        </w:tc>
      </w:tr>
      <w:tr>
        <w:tc>
          <w:tcPr>
            <w:tcW w:type="dxa" w:w="1727"/>
          </w:tcPr>
          <w:p>
            <w:pPr>
              <w:jc w:val="center"/>
            </w:pPr>
            <w:r>
              <w:rPr>
                <w:sz w:val="18"/>
              </w:rPr>
              <w:t>Dent (凹陷)</w:t>
            </w:r>
          </w:p>
        </w:tc>
        <w:tc>
          <w:tcPr>
            <w:tcW w:type="dxa" w:w="1727"/>
          </w:tcPr>
          <w:p>
            <w:pPr>
              <w:jc w:val="center"/>
            </w:pPr>
            <w:r>
              <w:rPr>
                <w:sz w:val="18"/>
              </w:rPr>
              <w:t>0.72</w:t>
            </w:r>
          </w:p>
        </w:tc>
        <w:tc>
          <w:tcPr>
            <w:tcW w:type="dxa" w:w="1727"/>
          </w:tcPr>
          <w:p>
            <w:pPr>
              <w:jc w:val="center"/>
            </w:pPr>
            <w:r>
              <w:rPr>
                <w:sz w:val="18"/>
              </w:rPr>
              <w:t>0.94</w:t>
            </w:r>
          </w:p>
        </w:tc>
        <w:tc>
          <w:tcPr>
            <w:tcW w:type="dxa" w:w="1727"/>
          </w:tcPr>
          <w:p>
            <w:pPr>
              <w:jc w:val="center"/>
            </w:pPr>
            <w:r>
              <w:rPr>
                <w:sz w:val="18"/>
              </w:rPr>
              <w:t>0.04</w:t>
            </w:r>
          </w:p>
        </w:tc>
        <w:tc>
          <w:tcPr>
            <w:tcW w:type="dxa" w:w="1727"/>
          </w:tcPr>
          <w:p>
            <w:pPr>
              <w:jc w:val="center"/>
            </w:pPr>
            <w:r>
              <w:rPr>
                <w:sz w:val="18"/>
              </w:rPr>
              <w:t>28.89</w:t>
            </w:r>
          </w:p>
        </w:tc>
      </w:tr>
      <w:tr>
        <w:tc>
          <w:tcPr>
            <w:tcW w:type="dxa" w:w="1727"/>
          </w:tcPr>
          <w:p>
            <w:pPr>
              <w:jc w:val="center"/>
            </w:pPr>
            <w:r>
              <w:rPr>
                <w:sz w:val="18"/>
              </w:rPr>
              <w:t>Hole (破洞)</w:t>
            </w:r>
          </w:p>
        </w:tc>
        <w:tc>
          <w:tcPr>
            <w:tcW w:type="dxa" w:w="1727"/>
          </w:tcPr>
          <w:p>
            <w:pPr>
              <w:jc w:val="center"/>
            </w:pPr>
            <w:r>
              <w:rPr>
                <w:sz w:val="18"/>
              </w:rPr>
              <w:t>0.80</w:t>
            </w:r>
          </w:p>
        </w:tc>
        <w:tc>
          <w:tcPr>
            <w:tcW w:type="dxa" w:w="1727"/>
          </w:tcPr>
          <w:p>
            <w:pPr>
              <w:jc w:val="center"/>
            </w:pPr>
            <w:r>
              <w:rPr>
                <w:sz w:val="18"/>
              </w:rPr>
              <w:t>1.14</w:t>
            </w:r>
          </w:p>
        </w:tc>
        <w:tc>
          <w:tcPr>
            <w:tcW w:type="dxa" w:w="1727"/>
          </w:tcPr>
          <w:p>
            <w:pPr>
              <w:jc w:val="center"/>
            </w:pPr>
            <w:r>
              <w:rPr>
                <w:sz w:val="18"/>
              </w:rPr>
              <w:t>0.04</w:t>
            </w:r>
          </w:p>
        </w:tc>
        <w:tc>
          <w:tcPr>
            <w:tcW w:type="dxa" w:w="1727"/>
          </w:tcPr>
          <w:p>
            <w:pPr>
              <w:jc w:val="center"/>
            </w:pPr>
            <w:r>
              <w:rPr>
                <w:sz w:val="18"/>
              </w:rPr>
              <w:t>15.14</w:t>
            </w:r>
          </w:p>
        </w:tc>
      </w:tr>
      <w:tr>
        <w:tc>
          <w:tcPr>
            <w:tcW w:type="dxa" w:w="1727"/>
          </w:tcPr>
          <w:p>
            <w:pPr>
              <w:jc w:val="center"/>
            </w:pPr>
            <w:r>
              <w:rPr>
                <w:sz w:val="18"/>
              </w:rPr>
              <w:t>Rusty (锈蚀)</w:t>
            </w:r>
          </w:p>
        </w:tc>
        <w:tc>
          <w:tcPr>
            <w:tcW w:type="dxa" w:w="1727"/>
          </w:tcPr>
          <w:p>
            <w:pPr>
              <w:jc w:val="center"/>
            </w:pPr>
            <w:r>
              <w:rPr>
                <w:sz w:val="18"/>
              </w:rPr>
              <w:t>0.75</w:t>
            </w:r>
          </w:p>
        </w:tc>
        <w:tc>
          <w:tcPr>
            <w:tcW w:type="dxa" w:w="1727"/>
          </w:tcPr>
          <w:p>
            <w:pPr>
              <w:jc w:val="center"/>
            </w:pPr>
            <w:r>
              <w:rPr>
                <w:sz w:val="18"/>
              </w:rPr>
              <w:t>1.00</w:t>
            </w:r>
          </w:p>
        </w:tc>
        <w:tc>
          <w:tcPr>
            <w:tcW w:type="dxa" w:w="1727"/>
          </w:tcPr>
          <w:p>
            <w:pPr>
              <w:jc w:val="center"/>
            </w:pPr>
            <w:r>
              <w:rPr>
                <w:sz w:val="18"/>
              </w:rPr>
              <w:t>0.04</w:t>
            </w:r>
          </w:p>
        </w:tc>
        <w:tc>
          <w:tcPr>
            <w:tcW w:type="dxa" w:w="1727"/>
          </w:tcPr>
          <w:p>
            <w:pPr>
              <w:jc w:val="center"/>
            </w:pPr>
            <w:r>
              <w:rPr>
                <w:sz w:val="18"/>
              </w:rPr>
              <w:t>64.98</w:t>
            </w:r>
          </w:p>
        </w:tc>
      </w:tr>
      <w:tr>
        <w:tc>
          <w:tcPr>
            <w:tcW w:type="dxa" w:w="1727"/>
          </w:tcPr>
          <w:p>
            <w:pPr>
              <w:jc w:val="center"/>
            </w:pPr>
            <w:r>
              <w:rPr>
                <w:sz w:val="18"/>
              </w:rPr>
              <w:t>全部</w:t>
            </w:r>
          </w:p>
        </w:tc>
        <w:tc>
          <w:tcPr>
            <w:tcW w:type="dxa" w:w="1727"/>
          </w:tcPr>
          <w:p>
            <w:pPr>
              <w:jc w:val="center"/>
            </w:pPr>
            <w:r>
              <w:rPr>
                <w:sz w:val="18"/>
              </w:rPr>
              <w:t>0.74</w:t>
            </w:r>
          </w:p>
        </w:tc>
        <w:tc>
          <w:tcPr>
            <w:tcW w:type="dxa" w:w="1727"/>
          </w:tcPr>
          <w:p>
            <w:pPr>
              <w:jc w:val="center"/>
            </w:pPr>
            <w:r>
              <w:rPr>
                <w:sz w:val="18"/>
              </w:rPr>
              <w:t>0.98</w:t>
            </w:r>
          </w:p>
        </w:tc>
        <w:tc>
          <w:tcPr>
            <w:tcW w:type="dxa" w:w="1727"/>
          </w:tcPr>
          <w:p>
            <w:pPr>
              <w:jc w:val="center"/>
            </w:pPr>
            <w:r>
              <w:rPr>
                <w:sz w:val="18"/>
              </w:rPr>
              <w:t>0.04</w:t>
            </w:r>
          </w:p>
        </w:tc>
        <w:tc>
          <w:tcPr>
            <w:tcW w:type="dxa" w:w="1727"/>
          </w:tcPr>
          <w:p>
            <w:pPr>
              <w:jc w:val="center"/>
            </w:pPr>
            <w:r>
              <w:rPr>
                <w:sz w:val="18"/>
              </w:rPr>
              <w:t>64.98</w:t>
            </w:r>
          </w:p>
        </w:tc>
      </w:tr>
    </w:tbl>
    <w:p/>
    <w:p>
      <w:pPr>
        <w:jc w:val="center"/>
      </w:pPr>
      <w:r>
        <w:drawing>
          <wp:inline xmlns:a="http://schemas.openxmlformats.org/drawingml/2006/main" xmlns:pic="http://schemas.openxmlformats.org/drawingml/2006/picture">
            <wp:extent cx="4680000" cy="1248000"/>
            <wp:docPr id="4" name="Picture 4"/>
            <wp:cNvGraphicFramePr>
              <a:graphicFrameLocks noChangeAspect="1"/>
            </wp:cNvGraphicFramePr>
            <a:graphic>
              <a:graphicData uri="http://schemas.openxmlformats.org/drawingml/2006/picture">
                <pic:pic>
                  <pic:nvPicPr>
                    <pic:cNvPr id="0" name="aspect_ratio_by_class.png"/>
                    <pic:cNvPicPr/>
                  </pic:nvPicPr>
                  <pic:blipFill>
                    <a:blip r:embed="rId12"/>
                    <a:stretch>
                      <a:fillRect/>
                    </a:stretch>
                  </pic:blipFill>
                  <pic:spPr>
                    <a:xfrm>
                      <a:off x="0" y="0"/>
                      <a:ext cx="4680000" cy="1248000"/>
                    </a:xfrm>
                    <a:prstGeom prst="rect"/>
                  </pic:spPr>
                </pic:pic>
              </a:graphicData>
            </a:graphic>
          </wp:inline>
        </w:drawing>
      </w:r>
    </w:p>
    <w:p>
      <w:pPr>
        <w:spacing w:before="80" w:after="240"/>
        <w:jc w:val="center"/>
      </w:pPr>
      <w:r>
        <w:rPr>
          <w:rFonts w:ascii="宋体" w:hAnsi="宋体" w:eastAsia="宋体"/>
          <w:sz w:val="20"/>
        </w:rPr>
        <w:t>图2-4  各类别 bbox 宽高比分布直方图</w:t>
      </w:r>
    </w:p>
    <w:p>
      <w:pPr>
        <w:pStyle w:val="Heading2"/>
      </w:pPr>
      <w:r>
        <w:rPr>
          <w:rFonts w:ascii="黑体" w:hAnsi="黑体" w:eastAsia="黑体"/>
          <w:sz w:val="26"/>
        </w:rPr>
        <w:t>2.3  样本可视化</w:t>
      </w:r>
    </w:p>
    <w:p>
      <w:pPr>
        <w:ind w:firstLine="480"/>
      </w:pPr>
      <w:r>
        <w:rPr>
          <w:rFonts w:ascii="宋体" w:hAnsi="宋体" w:eastAsia="宋体"/>
          <w:b w:val="0"/>
          <w:sz w:val="24"/>
        </w:rPr>
        <w:t>为直观展示数据特征，从训练集中选取了四类典型场景进行可视化（图 2-5）：</w:t>
      </w:r>
    </w:p>
    <w:p>
      <w:pPr>
        <w:ind w:firstLine="480"/>
      </w:pPr>
      <w:r>
        <w:rPr>
          <w:rFonts w:ascii="宋体" w:hAnsi="宋体" w:eastAsia="宋体"/>
          <w:b w:val="0"/>
          <w:sz w:val="24"/>
        </w:rPr>
        <w:t>（1）单缺陷图（1001.jpg）：仅包含 1 个中等面积 Dent（5538 px²），代表大多数样本的简单场景，缺陷显著、背景干净。</w:t>
      </w:r>
    </w:p>
    <w:p>
      <w:pPr>
        <w:ind w:firstLine="480"/>
      </w:pPr>
      <w:r>
        <w:rPr>
          <w:rFonts w:ascii="宋体" w:hAnsi="宋体" w:eastAsia="宋体"/>
          <w:b w:val="0"/>
          <w:sz w:val="24"/>
        </w:rPr>
        <w:t>（2）多缺陷密集图（1264.jpg）：包含多达 50 个标注框，涵盖 Hole 和 Rusty 两类缺陷的密集分布，是数据集中框数最多的极端案例之一。这种图像对检测器的 NMS 策略和输出数量限制（最多 4 个框）构成严峻考验。</w:t>
      </w:r>
    </w:p>
    <w:p>
      <w:pPr>
        <w:ind w:firstLine="480"/>
      </w:pPr>
      <w:r>
        <w:rPr>
          <w:rFonts w:ascii="宋体" w:hAnsi="宋体" w:eastAsia="宋体"/>
          <w:b w:val="0"/>
          <w:sz w:val="24"/>
        </w:rPr>
        <w:t>（3）大面积锈蚀图（3285.jpg）：单条 Rusty 标注覆盖约 243,459 px² 的区域，呈现大面积的区域性纹理特征。此类缺陷的边缘较为模糊，与 Dent 的清晰边缘形成对比。</w:t>
      </w:r>
    </w:p>
    <w:p>
      <w:pPr>
        <w:ind w:firstLine="480"/>
      </w:pPr>
      <w:r>
        <w:rPr>
          <w:rFonts w:ascii="宋体" w:hAnsi="宋体" w:eastAsia="宋体"/>
          <w:b w:val="0"/>
          <w:sz w:val="24"/>
        </w:rPr>
        <w:t>（4）含微小凹陷图（2084.jpg）：整张图共有 12 个标注框，其中最小的 Dent 仅 70 px²（约 8×9 像素），肉眼几乎无法辨认。这类超小目标的检测是模型的极限能力测试。</w:t>
      </w:r>
    </w:p>
    <w:p>
      <w:pPr>
        <w:jc w:val="center"/>
      </w:pPr>
      <w:r>
        <w:drawing>
          <wp:inline xmlns:a="http://schemas.openxmlformats.org/drawingml/2006/main" xmlns:pic="http://schemas.openxmlformats.org/drawingml/2006/picture">
            <wp:extent cx="4680000" cy="4703557"/>
            <wp:docPr id="5" name="Picture 5"/>
            <wp:cNvGraphicFramePr>
              <a:graphicFrameLocks noChangeAspect="1"/>
            </wp:cNvGraphicFramePr>
            <a:graphic>
              <a:graphicData uri="http://schemas.openxmlformats.org/drawingml/2006/picture">
                <pic:pic>
                  <pic:nvPicPr>
                    <pic:cNvPr id="0" name="sample_by_type.png"/>
                    <pic:cNvPicPr/>
                  </pic:nvPicPr>
                  <pic:blipFill>
                    <a:blip r:embed="rId13"/>
                    <a:stretch>
                      <a:fillRect/>
                    </a:stretch>
                  </pic:blipFill>
                  <pic:spPr>
                    <a:xfrm>
                      <a:off x="0" y="0"/>
                      <a:ext cx="4680000" cy="4703557"/>
                    </a:xfrm>
                    <a:prstGeom prst="rect"/>
                  </pic:spPr>
                </pic:pic>
              </a:graphicData>
            </a:graphic>
          </wp:inline>
        </w:drawing>
      </w:r>
    </w:p>
    <w:p>
      <w:pPr>
        <w:spacing w:before="80" w:after="240"/>
        <w:jc w:val="center"/>
      </w:pPr>
      <w:r>
        <w:rPr>
          <w:rFonts w:ascii="宋体" w:hAnsi="宋体" w:eastAsia="宋体"/>
          <w:sz w:val="20"/>
        </w:rPr>
        <w:t>图2-5  四类典型样本可视化（红=Dent, 蓝=Hole, 橙=Rusty）</w:t>
      </w:r>
    </w:p>
    <w:p>
      <w:pPr>
        <w:pStyle w:val="Heading2"/>
      </w:pPr>
      <w:r>
        <w:rPr>
          <w:rFonts w:ascii="黑体" w:hAnsi="黑体" w:eastAsia="黑体"/>
          <w:sz w:val="26"/>
        </w:rPr>
        <w:t>2.4  数据预处理</w:t>
      </w:r>
    </w:p>
    <w:p>
      <w:pPr>
        <w:pStyle w:val="Heading3"/>
      </w:pPr>
      <w:r>
        <w:rPr>
          <w:rFonts w:ascii="黑体" w:hAnsi="黑体" w:eastAsia="黑体"/>
          <w:sz w:val="24"/>
        </w:rPr>
        <w:t>2.4.1  问题1数据集构造</w:t>
      </w:r>
    </w:p>
    <w:p>
      <w:pPr>
        <w:ind w:firstLine="480"/>
      </w:pPr>
      <w:r>
        <w:rPr>
          <w:rFonts w:ascii="宋体" w:hAnsi="宋体" w:eastAsia="宋体"/>
          <w:b w:val="0"/>
          <w:sz w:val="24"/>
        </w:rPr>
        <w:t>问题1要求判断整张图像是否存在残损（二分类），但如 2.1 节所分析，训练集全部 3300 张图像均存在残损标注，缺乏天然的无残损（负样本）完整图像。因此需要从现有数据中构造正负样本集。</w:t>
      </w:r>
    </w:p>
    <w:p>
      <w:pPr>
        <w:ind w:firstLine="480"/>
      </w:pPr>
      <w:r>
        <w:rPr>
          <w:rFonts w:ascii="宋体" w:hAnsi="宋体" w:eastAsia="宋体"/>
          <w:b w:val="0"/>
          <w:sz w:val="24"/>
        </w:rPr>
        <w:t>正样本（有残损，标签 y=1）：将每张训练图 resize 到 448×448 像素，作为正样本。共 3300 个正样本。选择 448×448 作为统一尺寸的原因是该尺寸在保留足够纹理细节（HOG cell_size=32 → 14×14 grid）的同时，将 GLCM 和 HOG 特征的计算量控制在可接受范围内。</w:t>
      </w:r>
    </w:p>
    <w:p>
      <w:pPr>
        <w:ind w:firstLine="480"/>
      </w:pPr>
      <w:r>
        <w:rPr>
          <w:rFonts w:ascii="宋体" w:hAnsi="宋体" w:eastAsia="宋体"/>
          <w:b w:val="0"/>
          <w:sz w:val="24"/>
        </w:rPr>
        <w:t>负样本（无残损表面，标签 y=0）：在每张训练图中，从与所有已知 bbox 无任何重叠（IoU=0）的区域随机采样 224×224 的局部 patch。采样时施加三大约束：</w:t>
      </w:r>
    </w:p>
    <w:p>
      <w:pPr>
        <w:ind w:firstLine="480"/>
      </w:pPr>
      <w:r>
        <w:rPr>
          <w:rFonts w:ascii="宋体" w:hAnsi="宋体" w:eastAsia="宋体"/>
          <w:b w:val="0"/>
          <w:sz w:val="24"/>
        </w:rPr>
        <w:t>约束 1（干净性）：采样的 patch 与图像中所有标注框的 IoU 严格等于 0，确保 patch 中不包含任何已知残损区域。</w:t>
      </w:r>
    </w:p>
    <w:p>
      <w:pPr>
        <w:ind w:firstLine="480"/>
      </w:pPr>
      <w:r>
        <w:rPr>
          <w:rFonts w:ascii="宋体" w:hAnsi="宋体" w:eastAsia="宋体"/>
          <w:b w:val="0"/>
          <w:sz w:val="24"/>
        </w:rPr>
        <w:t>约束 2（有效性）：使用 Otsu 自动阈值分割 + 边缘密度（Sobel 梯度幅值 &gt; 30 的像素占比）双重判断，确保 patch 至少有 40% 的像素落在集装箱箱体表面区域，而非纯天空、地面或背景杂物。</w:t>
      </w:r>
    </w:p>
    <w:p>
      <w:pPr>
        <w:ind w:firstLine="480"/>
      </w:pPr>
      <w:r>
        <w:rPr>
          <w:rFonts w:ascii="宋体" w:hAnsi="宋体" w:eastAsia="宋体"/>
          <w:b w:val="0"/>
          <w:sz w:val="24"/>
        </w:rPr>
        <w:t>约束 3（多样性）：不同负样本 patch 之间的 IoU &lt; 0.3，避免重复采样集装箱表面的同一块区域，保证负样本的纹理多样性。</w:t>
      </w:r>
    </w:p>
    <w:p>
      <w:pPr>
        <w:ind w:firstLine="480"/>
      </w:pPr>
      <w:r>
        <w:rPr>
          <w:rFonts w:ascii="宋体" w:hAnsi="宋体" w:eastAsia="宋体"/>
          <w:b w:val="0"/>
          <w:sz w:val="24"/>
        </w:rPr>
        <w:t>负样本采样算法的形式化描述如下。设图像 I 尺寸为 W×H = 640×640，标注框集合 B = {b_1, ..., b_m}。每次采样从整数域 [0, W-P]×[0, H-P] 上均匀随机选取 patch 左上角坐标 (x, y)，其中 P=224 为 patch 边长。定义 patch 对应的归一化边界框 patch_box = (x/W, y/H, (x+P)/W, (y+P)/H)。约束 1（干净性）的数学条件为：∀ b ∈ B, IoU(patch_box, b) = 0。两个归一化边界框 A=[x1^A,y1^A,x2^A,y2^A] 与 B=[x1^B,y1^B,x2^B,y2^B] 的 IoU 定义为：xi1=max(x1^A,x1^B), yi1=max(y1^A,y1^B), xi2=min(x2^A,x2^B), yi2=min(y2^A,y2^B)；Inter = max(0, xi2−xi1)·max(0, yi2−yi1)；Area(A) = (x2^A−x1^A)(y2^A−y1^A)；IoU = Inter / (Area(A)+Area(B)−Inter)。</w:t>
      </w:r>
    </w:p>
    <w:p>
      <w:pPr>
        <w:ind w:firstLine="480"/>
      </w:pPr>
      <w:r>
        <w:rPr>
          <w:rFonts w:ascii="宋体" w:hAnsi="宋体" w:eastAsia="宋体"/>
          <w:b w:val="0"/>
          <w:sz w:val="24"/>
        </w:rPr>
        <w:t>约束 2（集装箱表面有效性）：IsOnContainer 函数对 patch P 执行双重检验。(a) Otsu 阈值分割：对 256 级灰度直方图 h(g)，求最优阈值 t* = argmax_{t} ω_0(t)ω_1(t)[μ_0(t)−μ_1(t)]²，其中 ω_0(t)=Σ_{g≤t} h(g) 为背景像素占比，ω_1(t)=1−ω_0(t) 为前景占比，μ_0(t), μ_1(t) 分别为前后景灰度均值。以 t* 二值化后得到前景像素占比 fg_ratio，要求 fg_ratio ≥ 0.40。(b) Sobel 边缘密度：以 3×3 Sobel 核 Gx, Gy 卷积 patch 求梯度幅值 M(i,j) = √(Gx∗P)²+(Gy∗P)²，统计 M(i,j)&gt;30 的像素占比 edge_density，要求 edge_density &gt; 0.02 以排除纯色天空（密度过低）和纯噪声（密度异常）。两项检验同时满足时判定 patch 落在集装箱表面。采样算法对每个候选 patch 最多尝试 200 次（max_attempts=200），若始终无法通过所有检验则放弃该图像的负样本采集（实际中从未发生，所有训练图均成功采得至少 2 个有效负样本）。</w:t>
      </w:r>
    </w:p>
    <w:p>
      <w:pPr>
        <w:ind w:firstLine="480"/>
      </w:pPr>
      <w:r>
        <w:rPr>
          <w:rFonts w:ascii="宋体" w:hAnsi="宋体" w:eastAsia="宋体"/>
          <w:b w:val="0"/>
          <w:sz w:val="24"/>
        </w:rPr>
        <w:t>上述约束保证了负样本的基本质量，但也引入了一个根本性局限——这些负样本全部来自有损伤图像中"恰好没有损伤标注"的区域。其纹理特征是否能够代表"完全无损伤的集装箱图像"这一整体，将直接影响到基于负样本分数分布所构建的 Neyman-Pearson 假设检验框架的统计有效性，该问题将在第 3.5 节中进行严格检验和讨论。</w:t>
      </w:r>
    </w:p>
    <w:p>
      <w:pPr>
        <w:ind w:firstLine="480"/>
      </w:pPr>
      <w:r>
        <w:rPr>
          <w:rFonts w:ascii="宋体" w:hAnsi="宋体" w:eastAsia="宋体"/>
          <w:b w:val="0"/>
          <w:sz w:val="24"/>
        </w:rPr>
        <w:t>每个采样的 224×224 patch 随后 resize 到 448×448，与正样本保持相同尺寸，保证特征提取的一致性。每张训练图采样 2 个负样本 patch，共约 6600 个负样本。</w:t>
      </w:r>
    </w:p>
    <w:p>
      <w:pPr>
        <w:ind w:firstLine="480"/>
      </w:pPr>
      <w:r>
        <w:rPr>
          <w:rFonts w:ascii="宋体" w:hAnsi="宋体" w:eastAsia="宋体"/>
          <w:b w:val="0"/>
          <w:sz w:val="24"/>
        </w:rPr>
        <w:t>总计约 9900 个 448×448 样本，正负比例约 1:2。正负样本不均衡（负样本是正样本的 2 倍）将在逻辑回归训练时通过 class_weight='balanced' 策略进行补偿。</w:t>
      </w:r>
    </w:p>
    <w:p>
      <w:pPr>
        <w:pStyle w:val="Heading3"/>
      </w:pPr>
      <w:r>
        <w:rPr>
          <w:rFonts w:ascii="黑体" w:hAnsi="黑体" w:eastAsia="黑体"/>
          <w:sz w:val="24"/>
        </w:rPr>
        <w:t>2.4.2  问题2数据集构造</w:t>
      </w:r>
    </w:p>
    <w:p>
      <w:pPr>
        <w:ind w:firstLine="480"/>
      </w:pPr>
      <w:r>
        <w:rPr>
          <w:rFonts w:ascii="宋体" w:hAnsi="宋体" w:eastAsia="宋体"/>
          <w:b w:val="0"/>
          <w:sz w:val="24"/>
        </w:rPr>
        <w:t>问题2要求对残损进行定位和具体类别识别，属于多分类目标检测任务，因此需要构造包含 4 个类别（Dent、Hole、Rusty、Background）的 patch 级数据集。</w:t>
      </w:r>
    </w:p>
    <w:p>
      <w:pPr>
        <w:ind w:firstLine="480"/>
      </w:pPr>
      <w:r>
        <w:rPr>
          <w:rFonts w:ascii="宋体" w:hAnsi="宋体" w:eastAsia="宋体"/>
          <w:b w:val="0"/>
          <w:sz w:val="24"/>
        </w:rPr>
        <w:t>正样本（各类残损区域）：对训练集中的每个标注框，向外均匀扩展 10%（即宽度和高度各增加 10%），以确保裁出的 patch 包含完整的缺陷区域及其周边上下文（边缘信息）。对于小目标（面积 &lt; 30×30=900 px²），扩展比例提高到 30%，以避免裁出的 patch 过小而丢失有效纹理。裁出后统一 resize 到 224×224 像素，并标注为原 bbox 的类别（0=Dent, 1=Hole, 2=Rusty）。共得到约 8038 个正样本。</w:t>
      </w:r>
    </w:p>
    <w:p>
      <w:pPr>
        <w:ind w:firstLine="480"/>
      </w:pPr>
      <w:r>
        <w:rPr>
          <w:rFonts w:ascii="宋体" w:hAnsi="宋体" w:eastAsia="宋体"/>
          <w:b w:val="0"/>
          <w:sz w:val="24"/>
        </w:rPr>
        <w:t>负样本（背景/正常表面，标签 class=3）：采用与 2.4.1 节相同的采样策略，从非 bbox 区域采集 224×224 的干净表面 patch，标注为 class=3（Background）。每张图采 2 个，约 6600 个。</w:t>
      </w:r>
    </w:p>
    <w:p>
      <w:pPr>
        <w:ind w:firstLine="480"/>
      </w:pPr>
      <w:r>
        <w:rPr>
          <w:rFonts w:ascii="宋体" w:hAnsi="宋体" w:eastAsia="宋体"/>
          <w:b w:val="0"/>
          <w:sz w:val="24"/>
        </w:rPr>
        <w:t>总计约 14600 个 224×224 的 patch 样本，其中 class 0（Dent）约 3934 个、class 1（Hole）约 946 个、class 2（Rusty）约 3158 个、class 3（Background）约 6600 个。Hole 类的严重不足（仅占 6.5%）是后续 Softmax 训练中需要重点关注和处理的问题。</w:t>
      </w:r>
    </w:p>
    <w:p>
      <w:pPr>
        <w:pStyle w:val="Heading3"/>
      </w:pPr>
      <w:r>
        <w:rPr>
          <w:rFonts w:ascii="黑体" w:hAnsi="黑体" w:eastAsia="黑体"/>
          <w:sz w:val="24"/>
        </w:rPr>
        <w:t>2.4.3  数据集划分</w:t>
      </w:r>
    </w:p>
    <w:p>
      <w:pPr>
        <w:ind w:firstLine="480"/>
      </w:pPr>
      <w:r>
        <w:rPr>
          <w:rFonts w:ascii="宋体" w:hAnsi="宋体" w:eastAsia="宋体"/>
          <w:b w:val="0"/>
          <w:sz w:val="24"/>
        </w:rPr>
        <w:t>由于题目已提供独立的官方测试集（413 张），本文采用训练/验证二划分策略：从 3300 张训练图中，按 80%/20% 比例随机划分为内部训练集（2640 张）和验证集（660 张）。</w:t>
      </w:r>
    </w:p>
    <w:p>
      <w:pPr>
        <w:ind w:firstLine="480"/>
      </w:pPr>
      <w:r>
        <w:rPr>
          <w:rFonts w:ascii="宋体" w:hAnsi="宋体" w:eastAsia="宋体"/>
          <w:b w:val="0"/>
          <w:sz w:val="24"/>
        </w:rPr>
        <w:t>划分时采用分层抽样（stratified sampling）：① 按每张图的类别组成进行分层，确保训练集和验证集中 Dent、Hole、Rusty 三个类别的标注框比例一致；② 特别关注 Hole 类——确保不会出现所有 Hole 样本集中落入训练集或验证集的极端情况。随机种子固定为 42，确保结果可复现。</w:t>
      </w:r>
    </w:p>
    <w:p>
      <w:pPr>
        <w:ind w:firstLine="480"/>
      </w:pPr>
      <w:r>
        <w:rPr>
          <w:rFonts w:ascii="宋体" w:hAnsi="宋体" w:eastAsia="宋体"/>
          <w:b w:val="0"/>
          <w:sz w:val="24"/>
        </w:rPr>
        <w:t>验证集的用途：在逻辑回归和 Softmax 训练中，用于 L2 正则化系数 λ 的选择（网格搜索 {0.001, 0.01, 0.1, 1, 10}）、PCA 降维维度 k 的确定、NMS 中 IoU 阈值的调优等超参数决策。官方测试集（413 张）仅在最终评估阶段使用一次，不参与任何形式的训练或超参数选择。</w:t>
      </w:r>
    </w:p>
    <w:p>
      <w:r>
        <w:br w:type="page"/>
      </w:r>
    </w:p>
    <w:p>
      <w:pPr>
        <w:pStyle w:val="Heading1"/>
      </w:pPr>
      <w:r>
        <w:rPr>
          <w:rFonts w:ascii="黑体" w:hAnsi="黑体" w:eastAsia="黑体"/>
          <w:sz w:val="28"/>
        </w:rPr>
        <w:t>3  问题1：图像级残损判定模型</w:t>
      </w:r>
    </w:p>
    <w:p>
      <w:pPr>
        <w:ind w:firstLine="480"/>
      </w:pPr>
      <w:r>
        <w:rPr>
          <w:rFonts w:ascii="宋体" w:hAnsi="宋体" w:eastAsia="宋体"/>
          <w:b/>
          <w:sz w:val="24"/>
        </w:rPr>
        <w:t>【实验完成后填写具体内容】</w:t>
      </w:r>
    </w:p>
    <w:p>
      <w:pPr>
        <w:pStyle w:val="Heading2"/>
      </w:pPr>
      <w:r>
        <w:rPr>
          <w:rFonts w:ascii="黑体" w:hAnsi="黑体" w:eastAsia="黑体"/>
          <w:sz w:val="26"/>
        </w:rPr>
        <w:t>3.1  模型总体框架</w:t>
      </w:r>
    </w:p>
    <w:p>
      <w:pPr>
        <w:ind w:firstLine="480"/>
      </w:pPr>
      <w:r>
        <w:rPr>
          <w:rFonts w:ascii="宋体" w:hAnsi="宋体" w:eastAsia="宋体"/>
          <w:b w:val="0"/>
          <w:sz w:val="24"/>
        </w:rPr>
        <w:t>模型的数据流为：输入 640×640 → Resize 448×448 → GLCM(4维)+HSV颜色矩(12维)+Sobel(2维)+HOG_PCA(15维)+LBP(18维)=51维 → Z-score标准化 → 逻辑回归 → 贝叶斯最小风险决策（τ = λ/(1+λ)）→ 输出 {0,1}。附流程图。</w:t>
      </w:r>
    </w:p>
    <w:p>
      <w:pPr>
        <w:ind w:firstLine="480"/>
      </w:pPr>
      <w:r>
        <w:rPr>
          <w:rFonts w:ascii="宋体" w:hAnsi="宋体" w:eastAsia="宋体"/>
          <w:b/>
          <w:sz w:val="24"/>
        </w:rPr>
        <w:t>【附：模型流程图】</w:t>
      </w:r>
    </w:p>
    <w:p>
      <w:pPr>
        <w:pStyle w:val="Heading2"/>
      </w:pPr>
      <w:r>
        <w:rPr>
          <w:rFonts w:ascii="黑体" w:hAnsi="黑体" w:eastAsia="黑体"/>
          <w:sz w:val="26"/>
        </w:rPr>
        <w:t>3.2  全局特征提取</w:t>
      </w:r>
    </w:p>
    <w:p>
      <w:pPr>
        <w:pStyle w:val="Heading3"/>
      </w:pPr>
      <w:r>
        <w:rPr>
          <w:rFonts w:ascii="黑体" w:hAnsi="黑体" w:eastAsia="黑体"/>
          <w:sz w:val="24"/>
        </w:rPr>
        <w:t>3.2.1  GLCM纹理特征（4维）</w:t>
      </w:r>
    </w:p>
    <w:p>
      <w:pPr>
        <w:ind w:firstLine="480"/>
      </w:pPr>
      <w:r>
        <w:rPr>
          <w:rFonts w:ascii="宋体" w:hAnsi="宋体" w:eastAsia="宋体"/>
          <w:b w:val="0"/>
          <w:sz w:val="24"/>
        </w:rPr>
        <w:t>灰度共生矩阵（GLCM）定义为满足特定空间关系的像素对联合概率分布。将 448×448 灰度图量化至 64 级，取距离 d=1，方向 θ∈{0°,45°,90°,135°}，对每个方向计算 64×64 GLCM 矩阵 P(i,j|d,θ)。从每个 GLCM 提取 4 个 Haralick 统计量：对比度、同质性、能量、相关性。4 个方向取平均得 4 维特征。</w:t>
      </w:r>
    </w:p>
    <w:p>
      <w:pPr>
        <w:ind w:firstLine="480"/>
      </w:pPr>
      <w:r>
        <w:rPr>
          <w:rFonts w:ascii="宋体" w:hAnsi="宋体" w:eastAsia="宋体"/>
          <w:b/>
          <w:sz w:val="24"/>
        </w:rPr>
        <w:t>数学公式：【待展开】</w:t>
      </w:r>
    </w:p>
    <w:p>
      <w:pPr>
        <w:ind w:firstLine="480"/>
      </w:pPr>
      <w:r>
        <w:rPr>
          <w:rFonts w:ascii="宋体" w:hAnsi="宋体" w:eastAsia="宋体"/>
          <w:b w:val="0"/>
          <w:sz w:val="24"/>
        </w:rPr>
        <w:t>物理含义：正常表面光滑均匀 → 高同质性/低对比度；残损表面粗糙不规则 → 同质性下降/对比度上升；边缘产生局部灰度突变。</w:t>
      </w:r>
    </w:p>
    <w:p>
      <w:pPr>
        <w:pStyle w:val="Heading3"/>
      </w:pPr>
      <w:r>
        <w:rPr>
          <w:rFonts w:ascii="黑体" w:hAnsi="黑体" w:eastAsia="黑体"/>
          <w:sz w:val="24"/>
        </w:rPr>
        <w:t>3.2.2  颜色矩特征（12维）</w:t>
      </w:r>
    </w:p>
    <w:p>
      <w:pPr>
        <w:ind w:firstLine="480"/>
      </w:pPr>
      <w:r>
        <w:rPr>
          <w:rFonts w:ascii="宋体" w:hAnsi="宋体" w:eastAsia="宋体"/>
          <w:b w:val="0"/>
          <w:sz w:val="24"/>
        </w:rPr>
        <w:t>将 RGB 图像转换到 HSV 色彩空间（基变换），对 H、S、V 三个通道分别计算 4 个统计矩：一阶矩（均值）、二阶矩（标准差）、三阶矩（偏度）、四阶矩（峰度）。共 3×4=12 维。</w:t>
      </w:r>
    </w:p>
    <w:p>
      <w:pPr>
        <w:ind w:firstLine="480"/>
      </w:pPr>
      <w:r>
        <w:rPr>
          <w:rFonts w:ascii="宋体" w:hAnsi="宋体" w:eastAsia="宋体"/>
          <w:b/>
          <w:sz w:val="24"/>
        </w:rPr>
        <w:t>数学公式：【待展开】</w:t>
      </w:r>
    </w:p>
    <w:p>
      <w:pPr>
        <w:ind w:firstLine="480"/>
      </w:pPr>
      <w:r>
        <w:rPr>
          <w:rFonts w:ascii="宋体" w:hAnsi="宋体" w:eastAsia="宋体"/>
          <w:b w:val="0"/>
          <w:sz w:val="24"/>
        </w:rPr>
        <w:t>物理含义：锈蚀在 H 通道有红褐色偏移（偏度变化）；凹陷阴影在 V 通道三阶矩上有差异。</w:t>
      </w:r>
    </w:p>
    <w:p>
      <w:pPr>
        <w:pStyle w:val="Heading3"/>
      </w:pPr>
      <w:r>
        <w:rPr>
          <w:rFonts w:ascii="黑体" w:hAnsi="黑体" w:eastAsia="黑体"/>
          <w:sz w:val="24"/>
        </w:rPr>
        <w:t>3.2.3  Sobel边缘统计特征（2维）</w:t>
      </w:r>
    </w:p>
    <w:p>
      <w:pPr>
        <w:ind w:firstLine="480"/>
      </w:pPr>
      <w:r>
        <w:rPr>
          <w:rFonts w:ascii="宋体" w:hAnsi="宋体" w:eastAsia="宋体"/>
          <w:b w:val="0"/>
          <w:sz w:val="24"/>
        </w:rPr>
        <w:t>使用 Sobel 算子卷积计算梯度幅值 G(i,j)=√(Gx²+Gy²)。提取 2 维：边缘密度 = count(G&gt;50)/总像素数，平均梯度 = (1/n)ΣG(i,j)。</w:t>
      </w:r>
    </w:p>
    <w:p>
      <w:pPr>
        <w:ind w:firstLine="480"/>
      </w:pPr>
      <w:r>
        <w:rPr>
          <w:rFonts w:ascii="宋体" w:hAnsi="宋体" w:eastAsia="宋体"/>
          <w:b/>
          <w:sz w:val="24"/>
        </w:rPr>
        <w:t>数学公式：【待展开】</w:t>
      </w:r>
    </w:p>
    <w:p>
      <w:pPr>
        <w:ind w:firstLine="480"/>
      </w:pPr>
      <w:r>
        <w:rPr>
          <w:rFonts w:ascii="宋体" w:hAnsi="宋体" w:eastAsia="宋体"/>
          <w:b w:val="0"/>
          <w:sz w:val="24"/>
        </w:rPr>
        <w:t>物理含义：光滑表面边缘密度低（~0.05-0.10），残损表面边缘密度高（~0.15-0.40）。</w:t>
      </w:r>
    </w:p>
    <w:p>
      <w:pPr>
        <w:pStyle w:val="Heading3"/>
      </w:pPr>
      <w:r>
        <w:rPr>
          <w:rFonts w:ascii="黑体" w:hAnsi="黑体" w:eastAsia="黑体"/>
          <w:sz w:val="24"/>
        </w:rPr>
        <w:t>3.2.4  HOG方向梯度直方图（PCA降维至15维）</w:t>
      </w:r>
    </w:p>
    <w:p>
      <w:pPr>
        <w:ind w:firstLine="480"/>
      </w:pPr>
      <w:r>
        <w:rPr>
          <w:rFonts w:ascii="宋体" w:hAnsi="宋体" w:eastAsia="宋体"/>
          <w:b w:val="0"/>
          <w:sz w:val="24"/>
        </w:rPr>
        <w:t>将 448×448 灰度图划分为 cell_size=32 的网格（14×14=196 个 cell），每 cell 计算 9-bin 梯度方向直方图。以 2×2 cell 为 block 做 L2 归一化，得 13×13×36=6084 维 HOG 特征。经 PCA 保留 95% 方差降至 15 维。</w:t>
      </w:r>
    </w:p>
    <w:p>
      <w:pPr>
        <w:ind w:firstLine="480"/>
      </w:pPr>
      <w:r>
        <w:rPr>
          <w:rFonts w:ascii="宋体" w:hAnsi="宋体" w:eastAsia="宋体"/>
          <w:b w:val="0"/>
          <w:sz w:val="24"/>
        </w:rPr>
        <w:t>必要性：GLCM 和颜色矩是全局统计量，缺乏空间结构信息。HOG 捕获梯度方向的空间分布，对于区分 dent（曲面变形）和 hole（穿孔）至关重要。</w:t>
      </w:r>
    </w:p>
    <w:p>
      <w:pPr>
        <w:pStyle w:val="Heading3"/>
      </w:pPr>
      <w:r>
        <w:rPr>
          <w:rFonts w:ascii="黑体" w:hAnsi="黑体" w:eastAsia="黑体"/>
          <w:sz w:val="24"/>
        </w:rPr>
        <w:t>3.2.5  LBP局部二值模式（18维）</w:t>
      </w:r>
    </w:p>
    <w:p>
      <w:pPr>
        <w:ind w:firstLine="480"/>
      </w:pPr>
      <w:r>
        <w:rPr>
          <w:rFonts w:ascii="宋体" w:hAnsi="宋体" w:eastAsia="宋体"/>
          <w:b w:val="0"/>
          <w:sz w:val="24"/>
        </w:rPr>
        <w:t>局部二值模式（Local Binary Pattern, LBP）由 Ojala 等人（2002）提出，是一种描述图像局部纹理空间结构的经典算子。其基本思想是将每个像素与其圆形邻域内的 P 个采样点进行比较，以中心像素灰度值 g_c 为阈值，生成一个 P 位二进制编码来描述该像素点的局部纹理模式。数学表达式为：</w:t>
      </w:r>
    </w:p>
    <w:p>
      <w:pPr>
        <w:ind w:firstLine="480"/>
      </w:pPr>
      <w:r>
        <w:rPr>
          <w:rFonts w:ascii="宋体" w:hAnsi="宋体" w:eastAsia="宋体"/>
          <w:b w:val="0"/>
          <w:sz w:val="24"/>
        </w:rPr>
        <w:t xml:space="preserve">    LBP_{P,R} = Σ_{p=0}^{P−1} s(g_p − g_c) · 2^p,   s(x) = 1 if x ≥ 0 else 0</w:t>
      </w:r>
    </w:p>
    <w:p>
      <w:pPr>
        <w:ind w:firstLine="480"/>
      </w:pPr>
      <w:r>
        <w:rPr>
          <w:rFonts w:ascii="宋体" w:hAnsi="宋体" w:eastAsia="宋体"/>
          <w:b w:val="0"/>
          <w:sz w:val="24"/>
        </w:rPr>
        <w:t>其中 g_c 为中心像素灰度值，g_p 为半径为 R 的圆周上第 p 个采样点的灰度值（通过双线性插值获得），P 为邻域采样点数，R 为邻域半径（本文取 P=16, R=2）。</w:t>
      </w:r>
    </w:p>
    <w:p>
      <w:pPr>
        <w:ind w:firstLine="480"/>
      </w:pPr>
      <w:r>
        <w:rPr>
          <w:rFonts w:ascii="宋体" w:hAnsi="宋体" w:eastAsia="宋体"/>
          <w:b w:val="0"/>
          <w:sz w:val="24"/>
        </w:rPr>
        <w:t>原始 LBP 编码随旋转而变化且模式数随 P 呈指数增长（2^P 种），不便于统计建模。本文采用 Ojala 等人提出的旋转不变 uniform LBP（LBP_{P,R}^{riu2}），其核心思想为：(a) 旋转不变性——对所有循环移位取最小值作为统一编码，消除图像旋转的影响；(b) uniform 模式——将 LBP 编码中 0→1 或 1→0 的跳变次数 U ≤ 2 的模式归为 uniform 模式（如 00001111、00111000），其余归为非 uniform 模式。uniform 模式数量为 P(P−1)+2，对于 P=16 共产生 242 种模式，加上 1 个非 uniform 模式汇总 bin，直方图维度为 P+2=18。</w:t>
      </w:r>
    </w:p>
    <w:p>
      <w:pPr>
        <w:ind w:firstLine="480"/>
      </w:pPr>
      <w:r>
        <w:rPr>
          <w:rFonts w:ascii="宋体" w:hAnsi="宋体" w:eastAsia="宋体"/>
          <w:b w:val="0"/>
          <w:sz w:val="24"/>
        </w:rPr>
        <w:t>对 448×448 灰度图逐像素计算 LBP^{riu2}_{16,2} 编码值，统计 18-bin 直方图并归一化（密度估计），得到 18 维 LBP 特征向量：h_k = (1/N) · Σ_{i,j} 1[LBP(i,j) = k], k=0,1,...,17。</w:t>
      </w:r>
    </w:p>
    <w:p>
      <w:pPr>
        <w:ind w:firstLine="480"/>
      </w:pPr>
      <w:r>
        <w:rPr>
          <w:rFonts w:ascii="宋体" w:hAnsi="宋体" w:eastAsia="宋体"/>
          <w:b w:val="0"/>
          <w:sz w:val="24"/>
        </w:rPr>
        <w:t>物理含义：LBP 直方图刻画了图像中边缘、角点、斑点、平坦区域等微观纹理基元的分布比例。在集装箱表面检测中，正常金属表面的 LBP 直方图呈现特定的 uniform 模式分布（以平坦区域和弱边缘为主），而残损区域（凹陷、破洞、锈蚀）的纹理基元分布发生显著偏移——破洞和凹陷引入不规则的边缘/角点模式，锈蚀产生粗糙斑点状纹理。LBP 的旋转不变性对集装箱图像的不同拍摄角度具有鲁棒性，illumination 不变性使特征在光照变化条件下保持稳定。</w:t>
      </w:r>
    </w:p>
    <w:p>
      <w:pPr>
        <w:ind w:firstLine="480"/>
      </w:pPr>
      <w:r>
        <w:rPr>
          <w:rFonts w:ascii="宋体" w:hAnsi="宋体" w:eastAsia="宋体"/>
          <w:b w:val="0"/>
          <w:sz w:val="24"/>
        </w:rPr>
        <w:t>实验证明（详见第 3.6 节），LBP 特征是所有手工特征中判别力最强的单一模块——逻辑回归权重绝对值 Top-8 全部为 LBP 维度。仅凭 LBP 直方图的形状差异即可近乎完美地区分正常集装箱表面与各类破损表面。</w:t>
      </w:r>
    </w:p>
    <w:p>
      <w:pPr>
        <w:pStyle w:val="Heading3"/>
      </w:pPr>
      <w:r>
        <w:rPr>
          <w:rFonts w:ascii="黑体" w:hAnsi="黑体" w:eastAsia="黑体"/>
          <w:sz w:val="24"/>
        </w:rPr>
        <w:t>3.2.6  特征向量汇总</w:t>
      </w:r>
    </w:p>
    <w:p>
      <w:pPr>
        <w:ind w:firstLine="480"/>
      </w:pPr>
      <w:r>
        <w:rPr>
          <w:rFonts w:ascii="宋体" w:hAnsi="宋体" w:eastAsia="宋体"/>
          <w:b w:val="0"/>
          <w:sz w:val="24"/>
        </w:rPr>
        <w:t>GLCM(4) + 颜色矩(12) + Sobel(2) + HOG_PCA(15) + LBP(18) = 51 维。各模块互补：GLCM 捕获纹理粗糙度，颜色矩捕获色调/亮度统计，Sobel 捕获边缘密度，HOG 捕获梯度空间分布，LBP 捕获局部纹理微观结构。其中 LBP 的判别力最强，其余特征提供互补信息以增强模型鲁棒性。</w:t>
      </w:r>
    </w:p>
    <w:p>
      <w:pPr>
        <w:pStyle w:val="Heading2"/>
      </w:pPr>
      <w:r>
        <w:rPr>
          <w:rFonts w:ascii="黑体" w:hAnsi="黑体" w:eastAsia="黑体"/>
          <w:sz w:val="26"/>
        </w:rPr>
        <w:t>3.3  特征预处理</w:t>
      </w:r>
    </w:p>
    <w:p>
      <w:pPr>
        <w:pStyle w:val="Heading3"/>
      </w:pPr>
      <w:r>
        <w:rPr>
          <w:rFonts w:ascii="黑体" w:hAnsi="黑体" w:eastAsia="黑体"/>
          <w:sz w:val="24"/>
        </w:rPr>
        <w:t>3.3.1  Z-score标准化</w:t>
      </w:r>
    </w:p>
    <w:p>
      <w:pPr>
        <w:ind w:firstLine="480"/>
      </w:pPr>
      <w:r>
        <w:rPr>
          <w:rFonts w:ascii="宋体" w:hAnsi="宋体" w:eastAsia="宋体"/>
          <w:b w:val="0"/>
          <w:sz w:val="24"/>
        </w:rPr>
        <w:t>对每个特征分量 j，计算训练集的 μⱼ 和 σⱼ，做 z-score 标准化：x'ⱼ = (xⱼ-μⱼ)/σⱼ。保存 μⱼ 和 σⱼ 用于后续所有推理。经过标准化后，51 维特征直接送入逻辑回归，不再进行全局 PCA 降维。</w:t>
      </w:r>
    </w:p>
    <w:p>
      <w:pPr>
        <w:pStyle w:val="Heading3"/>
      </w:pPr>
      <w:r>
        <w:rPr>
          <w:rFonts w:ascii="黑体" w:hAnsi="黑体" w:eastAsia="黑体"/>
          <w:sz w:val="24"/>
        </w:rPr>
        <w:t>3.3.2  HOG PCA降维</w:t>
      </w:r>
    </w:p>
    <w:p>
      <w:pPr>
        <w:ind w:firstLine="480"/>
      </w:pPr>
      <w:r>
        <w:rPr>
          <w:rFonts w:ascii="宋体" w:hAnsi="宋体" w:eastAsia="宋体"/>
          <w:b w:val="0"/>
          <w:sz w:val="24"/>
        </w:rPr>
        <w:t>HOG 原始特征为 6084 维（14×14 网格，9 方向 × 4 cell/block = 36 维/block，13×13 = 169 个 block），远高于其他特征模块（4~18 维），若不做降维将主导整个特征空间。因此仅对 HOG 的 6084 维原始特征做 PCA，保留 15 个主成分（保留方差 &gt; 95%）。GLCM、颜色矩、Sobel、LBP 等维度较低（4~18 维），不做 PCA 直接使用。最终拼接得 51 维特征向量。</w:t>
      </w:r>
    </w:p>
    <w:p>
      <w:pPr>
        <w:pStyle w:val="Heading2"/>
      </w:pPr>
      <w:r>
        <w:rPr>
          <w:rFonts w:ascii="黑体" w:hAnsi="黑体" w:eastAsia="黑体"/>
          <w:sz w:val="26"/>
        </w:rPr>
        <w:t>3.4  逻辑回归分类器</w:t>
      </w:r>
    </w:p>
    <w:p>
      <w:pPr>
        <w:pStyle w:val="Heading3"/>
      </w:pPr>
      <w:r>
        <w:rPr>
          <w:rFonts w:ascii="黑体" w:hAnsi="黑体" w:eastAsia="黑体"/>
          <w:sz w:val="24"/>
        </w:rPr>
        <w:t>3.4.1  模型推导</w:t>
      </w:r>
    </w:p>
    <w:p>
      <w:pPr>
        <w:ind w:firstLine="480"/>
      </w:pPr>
      <w:r>
        <w:rPr>
          <w:rFonts w:ascii="宋体" w:hAnsi="宋体" w:eastAsia="宋体"/>
          <w:b/>
          <w:sz w:val="24"/>
        </w:rPr>
        <w:t>从对数几率比出发：log[P(y=1|x)/P(y=0|x)]=wᵀx+b → sigmoid 函数 P(y=1|x)=1/(1+e^{-(wᵀx+b)})。决策边界是 Rᵏ 中的超平面 wᵀx+b=0，具有明确的几何意义。公式推导：【待展开】</w:t>
      </w:r>
    </w:p>
    <w:p>
      <w:pPr>
        <w:pStyle w:val="Heading3"/>
      </w:pPr>
      <w:r>
        <w:rPr>
          <w:rFonts w:ascii="黑体" w:hAnsi="黑体" w:eastAsia="黑体"/>
          <w:sz w:val="24"/>
        </w:rPr>
        <w:t>3.4.2  参数求解</w:t>
      </w:r>
    </w:p>
    <w:p>
      <w:pPr>
        <w:ind w:firstLine="480"/>
      </w:pPr>
      <w:r>
        <w:rPr>
          <w:rFonts w:ascii="宋体" w:hAnsi="宋体" w:eastAsia="宋体"/>
          <w:b w:val="0"/>
          <w:sz w:val="24"/>
        </w:rPr>
        <w:t>极大似然估计 → 负对数似然（交叉熵损失）J(w,b)=-(1/n)Σᵢ[yᵢ·ln(pᵢ)+(1-yᵢ)·ln(1-pᵢ)] → 梯度 ∂J/∂wⱼ=(1/n)Σᵢ(pᵢ-yᵢ)·xᵢⱼ → 梯度下降迭代。</w:t>
      </w:r>
    </w:p>
    <w:p>
      <w:pPr>
        <w:ind w:firstLine="480"/>
      </w:pPr>
      <w:r>
        <w:rPr>
          <w:rFonts w:ascii="宋体" w:hAnsi="宋体" w:eastAsia="宋体"/>
          <w:b/>
          <w:sz w:val="24"/>
        </w:rPr>
        <w:t>收敛性：J(w,b) 关于 (w,b) 是凸函数（Hessian 矩阵半正定），梯度下降保证收敛到全局最优。证明：【待展开】</w:t>
      </w:r>
    </w:p>
    <w:p>
      <w:pPr>
        <w:ind w:firstLine="480"/>
      </w:pPr>
      <w:r>
        <w:rPr>
          <w:rFonts w:ascii="宋体" w:hAnsi="宋体" w:eastAsia="宋体"/>
          <w:b w:val="0"/>
          <w:sz w:val="24"/>
        </w:rPr>
        <w:t>超参数：学习率 η=0.01（指数衰减 ηₜ=η₀·γᵗ），L2 正则化系数 λ∈{0.001,0.01,0.1,1,10} 网格搜索，class_weight='balanced'。</w:t>
      </w:r>
    </w:p>
    <w:p>
      <w:pPr>
        <w:pStyle w:val="Heading2"/>
      </w:pPr>
      <w:r>
        <w:rPr>
          <w:rFonts w:ascii="黑体" w:hAnsi="黑体" w:eastAsia="黑体"/>
          <w:sz w:val="26"/>
        </w:rPr>
        <w:t>3.5  阈值选择 — Neyman-Pearson假设检验与可行性分析</w:t>
      </w:r>
    </w:p>
    <w:p>
      <w:pPr>
        <w:pStyle w:val="Heading3"/>
      </w:pPr>
      <w:r>
        <w:rPr>
          <w:rFonts w:ascii="黑体" w:hAnsi="黑体" w:eastAsia="黑体"/>
          <w:sz w:val="24"/>
        </w:rPr>
        <w:t>3.5.1  NP假设检验框架</w:t>
      </w:r>
    </w:p>
    <w:p>
      <w:pPr>
        <w:ind w:firstLine="480"/>
      </w:pPr>
      <w:r>
        <w:rPr>
          <w:rFonts w:ascii="宋体" w:hAnsi="宋体" w:eastAsia="宋体"/>
          <w:b w:val="0"/>
          <w:sz w:val="24"/>
        </w:rPr>
        <w:t>Neyman-Pearson（NP）引理为二元假设检验提供了最优决策准则。本文设定：H₀（零假设）：图像无残损；H₁（备择假设）：图像有残损。检验统计量取为逻辑回归输出的概率分数 s = P(y=1|x) ∈ [0,1]。NP 框架的决策规则为：给定显著性水平 α（I 类错误率——将无残损图像误判为有残损的概率上限），选择阈值 τ 使得在 H₀ 为真时，P(s &gt; τ | H₀) ≤ α。即 τ = F^{-1}_{H₀}(1−α)，其中 F_{H₀} 为 H₀ 下检验统计量 s 的累积分布函数（CDF）。NP 框架的核心特征是仅控制 I 类错误（误报率），不直接控制 II 类错误（漏检率）。该非对称性适用于误报代价远高于漏检的场景（如医疗筛查、安全检测），但在集装箱破损检测中，漏检（未发现真实损伤）的后果可能比误报（多一次人工复核）更为严重，这一方向性差异将在后续分析中体现。</w:t>
      </w:r>
    </w:p>
    <w:p>
      <w:pPr>
        <w:pStyle w:val="Heading3"/>
      </w:pPr>
      <w:r>
        <w:rPr>
          <w:rFonts w:ascii="黑体" w:hAnsi="黑体" w:eastAsia="黑体"/>
          <w:sz w:val="24"/>
        </w:rPr>
        <w:t>3.5.2  负样本分数分布的Beta MLE拟合</w:t>
      </w:r>
    </w:p>
    <w:p>
      <w:pPr>
        <w:ind w:firstLine="480"/>
      </w:pPr>
      <w:r>
        <w:rPr>
          <w:rFonts w:ascii="宋体" w:hAnsi="宋体" w:eastAsia="宋体"/>
          <w:b w:val="0"/>
          <w:sz w:val="24"/>
        </w:rPr>
        <w:t>由于 H₀ 下检验统计量 s 的真实分布未知，需要对负样本（y=0）的模型预测分数进行参数估计。鉴于 s∈[0,1] 为有界连续变量，选用 Beta 分布 Beta(s; α, β) 作为参数模型，其概率密度函数为：</w:t>
      </w:r>
    </w:p>
    <w:p>
      <w:pPr>
        <w:ind w:firstLine="480"/>
      </w:pPr>
      <w:r>
        <w:rPr>
          <w:rFonts w:ascii="宋体" w:hAnsi="宋体" w:eastAsia="宋体"/>
          <w:b w:val="0"/>
          <w:sz w:val="24"/>
        </w:rPr>
        <w:t xml:space="preserve">    f(s; α, β) = s^{α−1} (1−s)^{β−1} / B(α, β),   s ∈ (0,1)</w:t>
      </w:r>
    </w:p>
    <w:p>
      <w:pPr>
        <w:ind w:firstLine="480"/>
      </w:pPr>
      <w:r>
        <w:rPr>
          <w:rFonts w:ascii="宋体" w:hAnsi="宋体" w:eastAsia="宋体"/>
          <w:b w:val="0"/>
          <w:sz w:val="24"/>
        </w:rPr>
        <w:t>其中 B(α, β) = Γ(α)Γ(β)/Γ(α+β) 为 Beta 函数，Γ(·) 为 Gamma 函数。</w:t>
      </w:r>
    </w:p>
    <w:p>
      <w:pPr>
        <w:ind w:firstLine="480"/>
      </w:pPr>
      <w:r>
        <w:rPr>
          <w:rFonts w:ascii="宋体" w:hAnsi="宋体" w:eastAsia="宋体"/>
          <w:b w:val="0"/>
          <w:sz w:val="24"/>
        </w:rPr>
        <w:t>给定 n 个负样本的预测分数 s₁, s₂, ..., sₙ（n=1069），参数 (α, β) 的最大似然估计（MLE）通过极小化负对数似然求得：</w:t>
      </w:r>
    </w:p>
    <w:p>
      <w:pPr>
        <w:ind w:firstLine="480"/>
      </w:pPr>
      <w:r>
        <w:rPr>
          <w:rFonts w:ascii="宋体" w:hAnsi="宋体" w:eastAsia="宋体"/>
          <w:b w:val="0"/>
          <w:sz w:val="24"/>
        </w:rPr>
        <w:t xml:space="preserve">    (α̂, β̂) = argmin_{α,β&gt;0} { −Σ_{i=1}^{n} [ (α−1)ln s_i + (β−1)ln(1−s_i) − ln B(α, β) ] }</w:t>
      </w:r>
    </w:p>
    <w:p>
      <w:pPr>
        <w:ind w:firstLine="480"/>
      </w:pPr>
      <w:r>
        <w:rPr>
          <w:rFonts w:ascii="宋体" w:hAnsi="宋体" w:eastAsia="宋体"/>
          <w:b w:val="0"/>
          <w:sz w:val="24"/>
        </w:rPr>
        <w:t>该优化问题使用 L-BFGS-B 算法求解，初始值由矩估计给出：α₀ = μ[μ(1−μ)/σ² − 1], β₀ = (1−μ)[μ(1−μ)/σ² − 1]，其中 μ = (1/n)Σ s_i 为样本均值，σ² = (1/n)Σ (s_i−μ)² 为样本方差。</w:t>
      </w:r>
    </w:p>
    <w:p>
      <w:pPr>
        <w:ind w:firstLine="480"/>
      </w:pPr>
      <w:r>
        <w:rPr>
          <w:rFonts w:ascii="宋体" w:hAnsi="宋体" w:eastAsia="宋体"/>
          <w:b w:val="0"/>
          <w:sz w:val="24"/>
        </w:rPr>
        <w:t>在本实验的验证集负样本上，MLE 估计结果为：α̂ = 0.7076, β̂ = 1.9032。参数含义：α&lt;1 表明密度函数在 s→0 处趋于无穷（大量负样本得分极低），β&gt;1 表明右尾逐步衰减。分布的均值 E[s] = α/(α+β) = 0.2710，方差 Var[s] = αβ/[(α+β)²(α+β+1)] = 0.0572。</w:t>
      </w:r>
    </w:p>
    <w:p>
      <w:pPr>
        <w:pStyle w:val="Heading3"/>
      </w:pPr>
      <w:r>
        <w:rPr>
          <w:rFonts w:ascii="黑体" w:hAnsi="黑体" w:eastAsia="黑体"/>
          <w:sz w:val="24"/>
        </w:rPr>
        <w:t>3.5.3  Kolmogorov-Smirnov拟合优度检验</w:t>
      </w:r>
    </w:p>
    <w:p>
      <w:pPr>
        <w:ind w:firstLine="480"/>
      </w:pPr>
      <w:r>
        <w:rPr>
          <w:rFonts w:ascii="宋体" w:hAnsi="宋体" w:eastAsia="宋体"/>
          <w:b w:val="0"/>
          <w:sz w:val="24"/>
        </w:rPr>
        <w:t>为验证 Beta 分布假设是否合理，采用单样本 Kolmogorov-Smirnov（KS）检验对拟合优度进行统计推断。KS 检验统计量定义为经验分布函数 Fₙ(s) 与理论分布 F(s; α̂, β̂) 之间的最大绝对偏差：</w:t>
      </w:r>
    </w:p>
    <w:p>
      <w:pPr>
        <w:ind w:firstLine="480"/>
      </w:pPr>
      <w:r>
        <w:rPr>
          <w:rFonts w:ascii="宋体" w:hAnsi="宋体" w:eastAsia="宋体"/>
          <w:b w:val="0"/>
          <w:sz w:val="24"/>
        </w:rPr>
        <w:t xml:space="preserve">    Dₙ = sup_{s∈[0,1]} | Fₙ(s) − F(s; α̂, β̂) |</w:t>
      </w:r>
    </w:p>
    <w:p>
      <w:pPr>
        <w:ind w:firstLine="480"/>
      </w:pPr>
      <w:r>
        <w:rPr>
          <w:rFonts w:ascii="宋体" w:hAnsi="宋体" w:eastAsia="宋体"/>
          <w:b w:val="0"/>
          <w:sz w:val="24"/>
        </w:rPr>
        <w:t>其中经验分布函数 Fₙ(s) = (1/n) Σ_{i=1}^{n} 1[s_i ≤ s]。KS 检验的零假设 H₀^{KS} 为「数据服从 Beta(α̂, β̂) 分布」。</w:t>
      </w:r>
    </w:p>
    <w:p>
      <w:pPr>
        <w:ind w:firstLine="480"/>
      </w:pPr>
      <w:r>
        <w:rPr>
          <w:rFonts w:ascii="宋体" w:hAnsi="宋体" w:eastAsia="宋体"/>
          <w:b w:val="0"/>
          <w:sz w:val="24"/>
        </w:rPr>
        <w:t>在验证集 n=1069 个负样本上的检验结果：Dₙ = 0.0973，p &lt; 0.0001（实际 p ≈ 2.8×10^{−9}）。p 值远小于常规显著性水平 0.05，严格拒绝 H₀^{KS}——即负样本分数不服从 Beta 分布。</w:t>
      </w:r>
    </w:p>
    <w:p>
      <w:pPr>
        <w:ind w:firstLine="480"/>
      </w:pPr>
      <w:r>
        <w:rPr>
          <w:rFonts w:ascii="宋体" w:hAnsi="宋体" w:eastAsia="宋体"/>
          <w:b w:val="0"/>
          <w:sz w:val="24"/>
        </w:rPr>
        <w:t>进一步分析分位数拟合偏差（见表 3-1）：Beta 分布在低分位区（P50, P75）高估了理论分位数值（偏差约 +0.05），而在关键的 NP 阈值所在高分区（P90–P99）低估了实际分位数值（偏差 −0.02 至 −0.06）。这意味着实际负样本分数的右尾比 Beta 分布预测的更厚——存在比预期更多的「偏高」分数，Beta 分布在尾部拟合不足。</w:t>
      </w:r>
    </w:p>
    <w:p>
      <w:pPr>
        <w:spacing w:before="120" w:after="80"/>
        <w:jc w:val="center"/>
      </w:pPr>
      <w:r>
        <w:rPr>
          <w:rFonts w:ascii="宋体" w:hAnsi="宋体" w:eastAsia="宋体"/>
          <w:b/>
          <w:sz w:val="20"/>
        </w:rPr>
        <w:t>表3-1  Beta分布拟合的分位数偏差（验证集负样本，n=1069）</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18"/>
              </w:rPr>
              <w:t>分位数</w:t>
            </w:r>
          </w:p>
        </w:tc>
        <w:tc>
          <w:tcPr>
            <w:tcW w:type="dxa" w:w="2158"/>
          </w:tcPr>
          <w:p>
            <w:pPr>
              <w:jc w:val="center"/>
            </w:pPr>
            <w:r>
              <w:rPr>
                <w:b/>
                <w:sz w:val="18"/>
              </w:rPr>
              <w:t>Beta 理论值</w:t>
            </w:r>
          </w:p>
        </w:tc>
        <w:tc>
          <w:tcPr>
            <w:tcW w:type="dxa" w:w="2158"/>
          </w:tcPr>
          <w:p>
            <w:pPr>
              <w:jc w:val="center"/>
            </w:pPr>
            <w:r>
              <w:rPr>
                <w:b/>
                <w:sz w:val="18"/>
              </w:rPr>
              <w:t>经验值</w:t>
            </w:r>
          </w:p>
        </w:tc>
        <w:tc>
          <w:tcPr>
            <w:tcW w:type="dxa" w:w="2158"/>
          </w:tcPr>
          <w:p>
            <w:pPr>
              <w:jc w:val="center"/>
            </w:pPr>
            <w:r>
              <w:rPr>
                <w:b/>
                <w:sz w:val="18"/>
              </w:rPr>
              <w:t>偏差 Δ</w:t>
            </w:r>
          </w:p>
        </w:tc>
      </w:tr>
      <w:tr>
        <w:tc>
          <w:tcPr>
            <w:tcW w:type="dxa" w:w="2158"/>
          </w:tcPr>
          <w:p>
            <w:pPr>
              <w:jc w:val="center"/>
            </w:pPr>
            <w:r>
              <w:rPr>
                <w:sz w:val="18"/>
              </w:rPr>
              <w:t>P50</w:t>
            </w:r>
          </w:p>
        </w:tc>
        <w:tc>
          <w:tcPr>
            <w:tcW w:type="dxa" w:w="2158"/>
          </w:tcPr>
          <w:p>
            <w:pPr>
              <w:jc w:val="center"/>
            </w:pPr>
            <w:r>
              <w:rPr>
                <w:sz w:val="18"/>
              </w:rPr>
              <w:t>0.2087</w:t>
            </w:r>
          </w:p>
        </w:tc>
        <w:tc>
          <w:tcPr>
            <w:tcW w:type="dxa" w:w="2158"/>
          </w:tcPr>
          <w:p>
            <w:pPr>
              <w:jc w:val="center"/>
            </w:pPr>
            <w:r>
              <w:rPr>
                <w:sz w:val="18"/>
              </w:rPr>
              <w:t>0.1564</w:t>
            </w:r>
          </w:p>
        </w:tc>
        <w:tc>
          <w:tcPr>
            <w:tcW w:type="dxa" w:w="2158"/>
          </w:tcPr>
          <w:p>
            <w:pPr>
              <w:jc w:val="center"/>
            </w:pPr>
            <w:r>
              <w:rPr>
                <w:sz w:val="18"/>
              </w:rPr>
              <w:t>+0.0523</w:t>
            </w:r>
          </w:p>
        </w:tc>
      </w:tr>
      <w:tr>
        <w:tc>
          <w:tcPr>
            <w:tcW w:type="dxa" w:w="2158"/>
          </w:tcPr>
          <w:p>
            <w:pPr>
              <w:jc w:val="center"/>
            </w:pPr>
            <w:r>
              <w:rPr>
                <w:sz w:val="18"/>
              </w:rPr>
              <w:t>P75</w:t>
            </w:r>
          </w:p>
        </w:tc>
        <w:tc>
          <w:tcPr>
            <w:tcW w:type="dxa" w:w="2158"/>
          </w:tcPr>
          <w:p>
            <w:pPr>
              <w:jc w:val="center"/>
            </w:pPr>
            <w:r>
              <w:rPr>
                <w:sz w:val="18"/>
              </w:rPr>
              <w:t>0.4219</w:t>
            </w:r>
          </w:p>
        </w:tc>
        <w:tc>
          <w:tcPr>
            <w:tcW w:type="dxa" w:w="2158"/>
          </w:tcPr>
          <w:p>
            <w:pPr>
              <w:jc w:val="center"/>
            </w:pPr>
            <w:r>
              <w:rPr>
                <w:sz w:val="18"/>
              </w:rPr>
              <w:t>0.3703</w:t>
            </w:r>
          </w:p>
        </w:tc>
        <w:tc>
          <w:tcPr>
            <w:tcW w:type="dxa" w:w="2158"/>
          </w:tcPr>
          <w:p>
            <w:pPr>
              <w:jc w:val="center"/>
            </w:pPr>
            <w:r>
              <w:rPr>
                <w:sz w:val="18"/>
              </w:rPr>
              <w:t>+0.0516</w:t>
            </w:r>
          </w:p>
        </w:tc>
      </w:tr>
      <w:tr>
        <w:tc>
          <w:tcPr>
            <w:tcW w:type="dxa" w:w="2158"/>
          </w:tcPr>
          <w:p>
            <w:pPr>
              <w:jc w:val="center"/>
            </w:pPr>
            <w:r>
              <w:rPr>
                <w:sz w:val="18"/>
              </w:rPr>
              <w:t>P90</w:t>
            </w:r>
          </w:p>
        </w:tc>
        <w:tc>
          <w:tcPr>
            <w:tcW w:type="dxa" w:w="2158"/>
          </w:tcPr>
          <w:p>
            <w:pPr>
              <w:jc w:val="center"/>
            </w:pPr>
            <w:r>
              <w:rPr>
                <w:sz w:val="18"/>
              </w:rPr>
              <w:t>0.6304</w:t>
            </w:r>
          </w:p>
        </w:tc>
        <w:tc>
          <w:tcPr>
            <w:tcW w:type="dxa" w:w="2158"/>
          </w:tcPr>
          <w:p>
            <w:pPr>
              <w:jc w:val="center"/>
            </w:pPr>
            <w:r>
              <w:rPr>
                <w:sz w:val="18"/>
              </w:rPr>
              <w:t>0.6539</w:t>
            </w:r>
          </w:p>
        </w:tc>
        <w:tc>
          <w:tcPr>
            <w:tcW w:type="dxa" w:w="2158"/>
          </w:tcPr>
          <w:p>
            <w:pPr>
              <w:jc w:val="center"/>
            </w:pPr>
            <w:r>
              <w:rPr>
                <w:sz w:val="18"/>
              </w:rPr>
              <w:t>−0.0235</w:t>
            </w:r>
          </w:p>
        </w:tc>
      </w:tr>
      <w:tr>
        <w:tc>
          <w:tcPr>
            <w:tcW w:type="dxa" w:w="2158"/>
          </w:tcPr>
          <w:p>
            <w:pPr>
              <w:jc w:val="center"/>
            </w:pPr>
            <w:r>
              <w:rPr>
                <w:sz w:val="18"/>
              </w:rPr>
              <w:t>P95</w:t>
            </w:r>
          </w:p>
        </w:tc>
        <w:tc>
          <w:tcPr>
            <w:tcW w:type="dxa" w:w="2158"/>
          </w:tcPr>
          <w:p>
            <w:pPr>
              <w:jc w:val="center"/>
            </w:pPr>
            <w:r>
              <w:rPr>
                <w:sz w:val="18"/>
              </w:rPr>
              <w:t>0.7395</w:t>
            </w:r>
          </w:p>
        </w:tc>
        <w:tc>
          <w:tcPr>
            <w:tcW w:type="dxa" w:w="2158"/>
          </w:tcPr>
          <w:p>
            <w:pPr>
              <w:jc w:val="center"/>
            </w:pPr>
            <w:r>
              <w:rPr>
                <w:sz w:val="18"/>
              </w:rPr>
              <w:t>0.7891</w:t>
            </w:r>
          </w:p>
        </w:tc>
        <w:tc>
          <w:tcPr>
            <w:tcW w:type="dxa" w:w="2158"/>
          </w:tcPr>
          <w:p>
            <w:pPr>
              <w:jc w:val="center"/>
            </w:pPr>
            <w:r>
              <w:rPr>
                <w:sz w:val="18"/>
              </w:rPr>
              <w:t>−0.0496</w:t>
            </w:r>
          </w:p>
        </w:tc>
      </w:tr>
      <w:tr>
        <w:tc>
          <w:tcPr>
            <w:tcW w:type="dxa" w:w="2158"/>
          </w:tcPr>
          <w:p>
            <w:pPr>
              <w:jc w:val="center"/>
            </w:pPr>
            <w:r>
              <w:rPr>
                <w:sz w:val="18"/>
              </w:rPr>
              <w:t>P99</w:t>
            </w:r>
          </w:p>
        </w:tc>
        <w:tc>
          <w:tcPr>
            <w:tcW w:type="dxa" w:w="2158"/>
          </w:tcPr>
          <w:p>
            <w:pPr>
              <w:jc w:val="center"/>
            </w:pPr>
            <w:r>
              <w:rPr>
                <w:sz w:val="18"/>
              </w:rPr>
              <w:t>0.8862</w:t>
            </w:r>
          </w:p>
        </w:tc>
        <w:tc>
          <w:tcPr>
            <w:tcW w:type="dxa" w:w="2158"/>
          </w:tcPr>
          <w:p>
            <w:pPr>
              <w:jc w:val="center"/>
            </w:pPr>
            <w:r>
              <w:rPr>
                <w:sz w:val="18"/>
              </w:rPr>
              <w:t>0.9503</w:t>
            </w:r>
          </w:p>
        </w:tc>
        <w:tc>
          <w:tcPr>
            <w:tcW w:type="dxa" w:w="2158"/>
          </w:tcPr>
          <w:p>
            <w:pPr>
              <w:jc w:val="center"/>
            </w:pPr>
            <w:r>
              <w:rPr>
                <w:sz w:val="18"/>
              </w:rPr>
              <w:t>−0.0641</w:t>
            </w:r>
          </w:p>
        </w:tc>
      </w:tr>
    </w:tbl>
    <w:p/>
    <w:p>
      <w:pPr>
        <w:pStyle w:val="Heading3"/>
      </w:pPr>
      <w:r>
        <w:rPr>
          <w:rFonts w:ascii="黑体" w:hAnsi="黑体" w:eastAsia="黑体"/>
          <w:sz w:val="24"/>
        </w:rPr>
        <w:t>3.5.4  NP框架适用性的实证分析</w:t>
      </w:r>
    </w:p>
    <w:p>
      <w:pPr>
        <w:ind w:firstLine="480"/>
      </w:pPr>
      <w:r>
        <w:rPr>
          <w:rFonts w:ascii="宋体" w:hAnsi="宋体" w:eastAsia="宋体"/>
          <w:b w:val="0"/>
          <w:sz w:val="24"/>
        </w:rPr>
        <w:t>基于上述 KS 检验和分位数分析结果，以下从三个层面论证 NP 框架在当前数据集上的统计适用性问题。</w:t>
      </w:r>
    </w:p>
    <w:p>
      <w:pPr>
        <w:ind w:firstLine="480"/>
      </w:pPr>
      <w:r>
        <w:rPr>
          <w:rFonts w:ascii="宋体" w:hAnsi="宋体" w:eastAsia="宋体"/>
          <w:b w:val="0"/>
          <w:sz w:val="24"/>
        </w:rPr>
        <w:t>（一）分布假设不成立。NP 框架要求准确已知 H₀ 下检验统计量的分布，而 KS 检验以极强显著性（p≈10^{−9}）拒绝了 Beta 分布假设。当分布模型本身与数据不符时，由该分布导出的分位数 τ_NP = F^{-1}_{Beta}(0.95; α̂, β̂) = 0.7395 不具备理论保证的显著性水平。实测数据也证实了这一点：在 τ_NP=0.7395 处，设计误报率 α=0.05，实际误报率 α̂=69/(69+1004)=6.43%，已超出设计值约 29%。</w:t>
      </w:r>
    </w:p>
    <w:p>
      <w:pPr>
        <w:ind w:firstLine="480"/>
      </w:pPr>
      <w:r>
        <w:rPr>
          <w:rFonts w:ascii="宋体" w:hAnsi="宋体" w:eastAsia="宋体"/>
          <w:b w:val="0"/>
          <w:sz w:val="24"/>
        </w:rPr>
        <w:t>（二）负样本方差过小与语义偏差。负样本分数方差仅为 0.0572，反映模型对干净表面的判断高度一致。然而当前负样本全部来自有损伤图像中 bbox 外的干净表面 patch，其纹理特征仅代表「集装箱箱体上无损伤的局部区域」，而真实的 H₀ 应覆盖所有类型的无损伤集装箱图像——包括不同光照、涂装颜色、箱体标识（铆钉、编号、焊缝）等丰富纹理。两类样本的语义差异意味着当前负样本的分数方差可能显著低估了真实 H₀ 的方差。若真实 H₀ 的分数分布更加分散（方差更大），则正确的 NP 阈值应低于当前值 0.7395，否则将导致过高的漏检率。</w:t>
      </w:r>
    </w:p>
    <w:p>
      <w:pPr>
        <w:ind w:firstLine="480"/>
      </w:pPr>
      <w:r>
        <w:rPr>
          <w:rFonts w:ascii="宋体" w:hAnsi="宋体" w:eastAsia="宋体"/>
          <w:b w:val="0"/>
          <w:sz w:val="24"/>
        </w:rPr>
        <w:t>（三）NP 的非对称性与任务目标不匹配。NP 框架仅控制 I 类错误（误报），不控制 II 类错误（漏检）。在 τ_NP=0.7395 下，验证集漏检率高达 220/(220+438)=33.4%，即每 3 个实际有损伤的图像中就有 1 个被漏判为「无损伤」。在港口安检场景下，漏检可能导致破损集装箱被放行，其代价通常高于一次误报触发的人工复核。若以 F2-score 最大化确定阈值 τ_F2=0.31，则漏检率降至 27/(27+631)=4.1%，但误报率升至 327/(327+746)=30.5%。两阈值下的完整性能对比如表 3-2 所示。</w:t>
      </w:r>
    </w:p>
    <w:p>
      <w:pPr>
        <w:spacing w:before="120" w:after="80"/>
        <w:jc w:val="center"/>
      </w:pPr>
      <w:r>
        <w:rPr>
          <w:rFonts w:ascii="宋体" w:hAnsi="宋体" w:eastAsia="宋体"/>
          <w:b/>
          <w:sz w:val="20"/>
        </w:rPr>
        <w:t>表3-2  NP阈值与F2-max阈值的性能对比（验证集，n=1731）</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18"/>
              </w:rPr>
              <w:t>指标</w:t>
            </w:r>
          </w:p>
        </w:tc>
        <w:tc>
          <w:tcPr>
            <w:tcW w:type="dxa" w:w="2878"/>
          </w:tcPr>
          <w:p>
            <w:pPr>
              <w:jc w:val="center"/>
            </w:pPr>
            <w:r>
              <w:rPr>
                <w:b/>
                <w:sz w:val="18"/>
              </w:rPr>
              <w:t>τ_NP = 0.7395</w:t>
            </w:r>
          </w:p>
        </w:tc>
        <w:tc>
          <w:tcPr>
            <w:tcW w:type="dxa" w:w="2878"/>
          </w:tcPr>
          <w:p>
            <w:pPr>
              <w:jc w:val="center"/>
            </w:pPr>
            <w:r>
              <w:rPr>
                <w:b/>
                <w:sz w:val="18"/>
              </w:rPr>
              <w:t>τ_F2 = 0.31</w:t>
            </w:r>
          </w:p>
        </w:tc>
      </w:tr>
      <w:tr>
        <w:tc>
          <w:tcPr>
            <w:tcW w:type="dxa" w:w="2878"/>
          </w:tcPr>
          <w:p>
            <w:pPr>
              <w:jc w:val="center"/>
            </w:pPr>
            <w:r>
              <w:rPr>
                <w:sz w:val="18"/>
              </w:rPr>
              <w:t>I类错误（误报率）</w:t>
            </w:r>
          </w:p>
        </w:tc>
        <w:tc>
          <w:tcPr>
            <w:tcW w:type="dxa" w:w="2878"/>
          </w:tcPr>
          <w:p>
            <w:pPr>
              <w:jc w:val="center"/>
            </w:pPr>
            <w:r>
              <w:rPr>
                <w:sz w:val="18"/>
              </w:rPr>
              <w:t>6.43%</w:t>
            </w:r>
          </w:p>
        </w:tc>
        <w:tc>
          <w:tcPr>
            <w:tcW w:type="dxa" w:w="2878"/>
          </w:tcPr>
          <w:p>
            <w:pPr>
              <w:jc w:val="center"/>
            </w:pPr>
            <w:r>
              <w:rPr>
                <w:sz w:val="18"/>
              </w:rPr>
              <w:t>30.48%</w:t>
            </w:r>
          </w:p>
        </w:tc>
      </w:tr>
      <w:tr>
        <w:tc>
          <w:tcPr>
            <w:tcW w:type="dxa" w:w="2878"/>
          </w:tcPr>
          <w:p>
            <w:pPr>
              <w:jc w:val="center"/>
            </w:pPr>
            <w:r>
              <w:rPr>
                <w:sz w:val="18"/>
              </w:rPr>
              <w:t>II类错误（漏检率）</w:t>
            </w:r>
          </w:p>
        </w:tc>
        <w:tc>
          <w:tcPr>
            <w:tcW w:type="dxa" w:w="2878"/>
          </w:tcPr>
          <w:p>
            <w:pPr>
              <w:jc w:val="center"/>
            </w:pPr>
            <w:r>
              <w:rPr>
                <w:sz w:val="18"/>
              </w:rPr>
              <w:t>33.43%</w:t>
            </w:r>
          </w:p>
        </w:tc>
        <w:tc>
          <w:tcPr>
            <w:tcW w:type="dxa" w:w="2878"/>
          </w:tcPr>
          <w:p>
            <w:pPr>
              <w:jc w:val="center"/>
            </w:pPr>
            <w:r>
              <w:rPr>
                <w:sz w:val="18"/>
              </w:rPr>
              <w:t>4.10%</w:t>
            </w:r>
          </w:p>
        </w:tc>
      </w:tr>
      <w:tr>
        <w:tc>
          <w:tcPr>
            <w:tcW w:type="dxa" w:w="2878"/>
          </w:tcPr>
          <w:p>
            <w:pPr>
              <w:jc w:val="center"/>
            </w:pPr>
            <w:r>
              <w:rPr>
                <w:sz w:val="18"/>
              </w:rPr>
              <w:t>Accuracy</w:t>
            </w:r>
          </w:p>
        </w:tc>
        <w:tc>
          <w:tcPr>
            <w:tcW w:type="dxa" w:w="2878"/>
          </w:tcPr>
          <w:p>
            <w:pPr>
              <w:jc w:val="center"/>
            </w:pPr>
            <w:r>
              <w:rPr>
                <w:sz w:val="18"/>
              </w:rPr>
              <w:t>82.57%</w:t>
            </w:r>
          </w:p>
        </w:tc>
        <w:tc>
          <w:tcPr>
            <w:tcW w:type="dxa" w:w="2878"/>
          </w:tcPr>
          <w:p>
            <w:pPr>
              <w:jc w:val="center"/>
            </w:pPr>
            <w:r>
              <w:rPr>
                <w:sz w:val="18"/>
              </w:rPr>
              <w:t>79.56%</w:t>
            </w:r>
          </w:p>
        </w:tc>
      </w:tr>
      <w:tr>
        <w:tc>
          <w:tcPr>
            <w:tcW w:type="dxa" w:w="2878"/>
          </w:tcPr>
          <w:p>
            <w:pPr>
              <w:jc w:val="center"/>
            </w:pPr>
            <w:r>
              <w:rPr>
                <w:sz w:val="18"/>
              </w:rPr>
              <w:t>Precision</w:t>
            </w:r>
          </w:p>
        </w:tc>
        <w:tc>
          <w:tcPr>
            <w:tcW w:type="dxa" w:w="2878"/>
          </w:tcPr>
          <w:p>
            <w:pPr>
              <w:jc w:val="center"/>
            </w:pPr>
            <w:r>
              <w:rPr>
                <w:sz w:val="18"/>
              </w:rPr>
              <w:t>84.93%</w:t>
            </w:r>
          </w:p>
        </w:tc>
        <w:tc>
          <w:tcPr>
            <w:tcW w:type="dxa" w:w="2878"/>
          </w:tcPr>
          <w:p>
            <w:pPr>
              <w:jc w:val="center"/>
            </w:pPr>
            <w:r>
              <w:rPr>
                <w:sz w:val="18"/>
              </w:rPr>
              <w:t>65.87%</w:t>
            </w:r>
          </w:p>
        </w:tc>
      </w:tr>
      <w:tr>
        <w:tc>
          <w:tcPr>
            <w:tcW w:type="dxa" w:w="2878"/>
          </w:tcPr>
          <w:p>
            <w:pPr>
              <w:jc w:val="center"/>
            </w:pPr>
            <w:r>
              <w:rPr>
                <w:sz w:val="18"/>
              </w:rPr>
              <w:t>Recall</w:t>
            </w:r>
          </w:p>
        </w:tc>
        <w:tc>
          <w:tcPr>
            <w:tcW w:type="dxa" w:w="2878"/>
          </w:tcPr>
          <w:p>
            <w:pPr>
              <w:jc w:val="center"/>
            </w:pPr>
            <w:r>
              <w:rPr>
                <w:sz w:val="18"/>
              </w:rPr>
              <w:t>65.96%</w:t>
            </w:r>
          </w:p>
        </w:tc>
        <w:tc>
          <w:tcPr>
            <w:tcW w:type="dxa" w:w="2878"/>
          </w:tcPr>
          <w:p>
            <w:pPr>
              <w:jc w:val="center"/>
            </w:pPr>
            <w:r>
              <w:rPr>
                <w:sz w:val="18"/>
              </w:rPr>
              <w:t>95.90%</w:t>
            </w:r>
          </w:p>
        </w:tc>
      </w:tr>
      <w:tr>
        <w:tc>
          <w:tcPr>
            <w:tcW w:type="dxa" w:w="2878"/>
          </w:tcPr>
          <w:p>
            <w:pPr>
              <w:jc w:val="center"/>
            </w:pPr>
            <w:r>
              <w:rPr>
                <w:sz w:val="18"/>
              </w:rPr>
              <w:t>F2-score</w:t>
            </w:r>
          </w:p>
        </w:tc>
        <w:tc>
          <w:tcPr>
            <w:tcW w:type="dxa" w:w="2878"/>
          </w:tcPr>
          <w:p>
            <w:pPr>
              <w:jc w:val="center"/>
            </w:pPr>
            <w:r>
              <w:rPr>
                <w:sz w:val="18"/>
              </w:rPr>
              <w:t>0.6904</w:t>
            </w:r>
          </w:p>
        </w:tc>
        <w:tc>
          <w:tcPr>
            <w:tcW w:type="dxa" w:w="2878"/>
          </w:tcPr>
          <w:p>
            <w:pPr>
              <w:jc w:val="center"/>
            </w:pPr>
            <w:r>
              <w:rPr>
                <w:sz w:val="18"/>
              </w:rPr>
              <w:t>0.8828</w:t>
            </w:r>
          </w:p>
        </w:tc>
      </w:tr>
      <w:tr>
        <w:tc>
          <w:tcPr>
            <w:tcW w:type="dxa" w:w="2878"/>
          </w:tcPr>
          <w:p>
            <w:pPr>
              <w:jc w:val="center"/>
            </w:pPr>
            <w:r>
              <w:rPr>
                <w:sz w:val="18"/>
              </w:rPr>
              <w:t>TN / FP / FN / TP</w:t>
            </w:r>
          </w:p>
        </w:tc>
        <w:tc>
          <w:tcPr>
            <w:tcW w:type="dxa" w:w="2878"/>
          </w:tcPr>
          <w:p>
            <w:pPr>
              <w:jc w:val="center"/>
            </w:pPr>
            <w:r>
              <w:rPr>
                <w:sz w:val="18"/>
              </w:rPr>
              <w:t>1004/69/220/438</w:t>
            </w:r>
          </w:p>
        </w:tc>
        <w:tc>
          <w:tcPr>
            <w:tcW w:type="dxa" w:w="2878"/>
          </w:tcPr>
          <w:p>
            <w:pPr>
              <w:jc w:val="center"/>
            </w:pPr>
            <w:r>
              <w:rPr>
                <w:sz w:val="18"/>
              </w:rPr>
              <w:t>746/327/27/631</w:t>
            </w:r>
          </w:p>
        </w:tc>
      </w:tr>
    </w:tbl>
    <w:p/>
    <w:p>
      <w:pPr>
        <w:pStyle w:val="Heading3"/>
      </w:pPr>
      <w:r>
        <w:rPr>
          <w:rFonts w:ascii="黑体" w:hAnsi="黑体" w:eastAsia="黑体"/>
          <w:sz w:val="24"/>
        </w:rPr>
        <w:t>3.5.5  贝叶斯最小风险决策框架</w:t>
      </w:r>
    </w:p>
    <w:p>
      <w:pPr>
        <w:ind w:firstLine="480"/>
      </w:pPr>
      <w:r>
        <w:rPr>
          <w:rFonts w:ascii="宋体" w:hAnsi="宋体" w:eastAsia="宋体"/>
          <w:b w:val="0"/>
          <w:sz w:val="24"/>
        </w:rPr>
        <w:t>鉴于 NP 框架在当前数据上的统计前提不成立（第 3.5.3–3.5.4 节），本节引入贝叶斯最小风险决策理论，从损失函数和代价权衡的角度重新建立阈值选择的方法论基础。与 NP 框架不同，贝叶斯最小风险决策不需要对 H₀ 下检验统计量的分布做任何参数假设，而是直接从决策的期望代价出发推导最优阈值。</w:t>
      </w:r>
    </w:p>
    <w:p>
      <w:pPr>
        <w:ind w:firstLine="480"/>
      </w:pPr>
      <w:r>
        <w:rPr>
          <w:rFonts w:ascii="宋体" w:hAnsi="宋体" w:eastAsia="宋体"/>
          <w:b w:val="0"/>
          <w:sz w:val="24"/>
        </w:rPr>
        <w:t>设决策空间 A = {a₀, a₁}，其中 a₀ 表示「判定图像无残损」，a₁ 表示「判定图像有残损」。状态空间 Y = {0, 1}，其中 0 为真实无残损，1 为真实有残损。定义损失函数 L(a, y) 为采取决策 a 而真实状态为 y 时的代价：</w:t>
      </w:r>
    </w:p>
    <w:p>
      <w:pPr>
        <w:ind w:firstLine="480"/>
      </w:pPr>
      <w:r>
        <w:rPr>
          <w:rFonts w:ascii="宋体" w:hAnsi="宋体" w:eastAsia="宋体"/>
          <w:b w:val="0"/>
          <w:sz w:val="24"/>
        </w:rPr>
        <w:t xml:space="preserve">    L(a₀, 0) = 0          （正确判定无损伤，无代价）</w:t>
      </w:r>
    </w:p>
    <w:p>
      <w:pPr>
        <w:ind w:firstLine="480"/>
      </w:pPr>
      <w:r>
        <w:rPr>
          <w:rFonts w:ascii="宋体" w:hAnsi="宋体" w:eastAsia="宋体"/>
          <w:b w:val="0"/>
          <w:sz w:val="24"/>
        </w:rPr>
        <w:t xml:space="preserve">    L(a₁, 0) = C_FP       （误报：将好箱判为坏箱）</w:t>
      </w:r>
    </w:p>
    <w:p>
      <w:pPr>
        <w:ind w:firstLine="480"/>
      </w:pPr>
      <w:r>
        <w:rPr>
          <w:rFonts w:ascii="宋体" w:hAnsi="宋体" w:eastAsia="宋体"/>
          <w:b w:val="0"/>
          <w:sz w:val="24"/>
        </w:rPr>
        <w:t xml:space="preserve">    L(a₀, 1) = C_FN       （漏检：将坏箱判为好箱）</w:t>
      </w:r>
    </w:p>
    <w:p>
      <w:pPr>
        <w:ind w:firstLine="480"/>
      </w:pPr>
      <w:r>
        <w:rPr>
          <w:rFonts w:ascii="宋体" w:hAnsi="宋体" w:eastAsia="宋体"/>
          <w:b w:val="0"/>
          <w:sz w:val="24"/>
        </w:rPr>
        <w:t xml:space="preserve">    L(a₁, 1) = 0          （正确判定有损伤，无代价）</w:t>
      </w:r>
    </w:p>
    <w:p>
      <w:pPr>
        <w:ind w:firstLine="480"/>
      </w:pPr>
      <w:r>
        <w:rPr>
          <w:rFonts w:ascii="宋体" w:hAnsi="宋体" w:eastAsia="宋体"/>
          <w:b w:val="0"/>
          <w:sz w:val="24"/>
        </w:rPr>
        <w:t>其中 C_FP &gt; 0 为误报代价（触发不必要的人工复核），C_FN &gt; 0 为漏检代价（破损集装箱被放行）。给定输入图像 x 及其逻辑回归输出的后验概率 p = P(y=1|x)，两个决策的期望损失（贝叶斯风险）分别为：</w:t>
      </w:r>
    </w:p>
    <w:p>
      <w:pPr>
        <w:ind w:firstLine="480"/>
      </w:pPr>
      <w:r>
        <w:rPr>
          <w:rFonts w:ascii="宋体" w:hAnsi="宋体" w:eastAsia="宋体"/>
          <w:b w:val="0"/>
          <w:sz w:val="24"/>
        </w:rPr>
        <w:t xml:space="preserve">    R(a₀ | x) = C_FN · p</w:t>
      </w:r>
    </w:p>
    <w:p>
      <w:pPr>
        <w:ind w:firstLine="480"/>
      </w:pPr>
      <w:r>
        <w:rPr>
          <w:rFonts w:ascii="宋体" w:hAnsi="宋体" w:eastAsia="宋体"/>
          <w:b w:val="0"/>
          <w:sz w:val="24"/>
        </w:rPr>
        <w:t xml:space="preserve">    R(a₁ | x) = C_FP · (1 − p)</w:t>
      </w:r>
    </w:p>
    <w:p>
      <w:pPr>
        <w:ind w:firstLine="480"/>
      </w:pPr>
      <w:r>
        <w:rPr>
          <w:rFonts w:ascii="宋体" w:hAnsi="宋体" w:eastAsia="宋体"/>
          <w:b w:val="0"/>
          <w:sz w:val="24"/>
        </w:rPr>
        <w:t>贝叶斯最优决策规则为选择期望损失最小的行动。判定 a₁（有损伤）当且仅当 R(a₁ | x) &lt; R(a₀ | x)，即：</w:t>
      </w:r>
    </w:p>
    <w:p>
      <w:pPr>
        <w:ind w:firstLine="480"/>
      </w:pPr>
      <w:r>
        <w:rPr>
          <w:rFonts w:ascii="宋体" w:hAnsi="宋体" w:eastAsia="宋体"/>
          <w:b w:val="0"/>
          <w:sz w:val="24"/>
        </w:rPr>
        <w:t xml:space="preserve">    C_FP · (1 − p) &lt; C_FN · p   ⇒   p &gt; C_FP / (C_FP + C_FN)</w:t>
      </w:r>
    </w:p>
    <w:p>
      <w:pPr>
        <w:ind w:firstLine="480"/>
      </w:pPr>
      <w:r>
        <w:rPr>
          <w:rFonts w:ascii="宋体" w:hAnsi="宋体" w:eastAsia="宋体"/>
          <w:b w:val="0"/>
          <w:sz w:val="24"/>
        </w:rPr>
        <w:t>定义代价比 λ = C_FP / C_FN ∈ (0, ∞)，则最优决策阈值的闭合形式为：</w:t>
      </w:r>
    </w:p>
    <w:p>
      <w:pPr>
        <w:ind w:firstLine="480"/>
      </w:pPr>
      <w:r>
        <w:rPr>
          <w:rFonts w:ascii="宋体" w:hAnsi="宋体" w:eastAsia="宋体"/>
          <w:b w:val="0"/>
          <w:sz w:val="24"/>
        </w:rPr>
        <w:t xml:space="preserve">    τ_Bayes(λ) = λ / (1 + λ)</w:t>
      </w:r>
    </w:p>
    <w:p>
      <w:pPr>
        <w:ind w:firstLine="480"/>
      </w:pPr>
      <w:r>
        <w:rPr>
          <w:rFonts w:ascii="宋体" w:hAnsi="宋体" w:eastAsia="宋体"/>
          <w:b w:val="0"/>
          <w:sz w:val="24"/>
        </w:rPr>
        <w:t>λ 具有直观的经济解释：λ &lt; 1 表示漏检代价大于误报代价（倾向于降低漏检），λ &gt; 1 表示误报代价大于漏检代价（倾向于降低误报），λ = 1 表示两类错误代价相等（中性策略，τ = 0.5）。</w:t>
      </w:r>
    </w:p>
    <w:p>
      <w:pPr>
        <w:pStyle w:val="Heading3"/>
      </w:pPr>
      <w:r>
        <w:rPr>
          <w:rFonts w:ascii="黑体" w:hAnsi="黑体" w:eastAsia="黑体"/>
          <w:sz w:val="24"/>
        </w:rPr>
        <w:t>3.5.6  贝叶斯框架的假设与适用条件</w:t>
      </w:r>
    </w:p>
    <w:p>
      <w:pPr>
        <w:ind w:firstLine="480"/>
      </w:pPr>
      <w:r>
        <w:rPr>
          <w:rFonts w:ascii="宋体" w:hAnsi="宋体" w:eastAsia="宋体"/>
          <w:b w:val="0"/>
          <w:sz w:val="24"/>
        </w:rPr>
        <w:t>贝叶斯最小风险决策框架的成立依赖于以下四条假设。结合本任务的实际数据和模型，逐条检验其满足情况：</w:t>
      </w:r>
    </w:p>
    <w:p>
      <w:pPr>
        <w:ind w:firstLine="480"/>
      </w:pPr>
      <w:r>
        <w:rPr>
          <w:rFonts w:ascii="宋体" w:hAnsi="宋体" w:eastAsia="宋体"/>
          <w:b w:val="0"/>
          <w:sz w:val="24"/>
        </w:rPr>
        <w:t>假设 1（概率校准性）：分类器输出的分数 s = P(y=1|x) 需要是对真实后验概率的良好估计。检验方法：将验证集样本按预测分数分箱，计算每箱内预测分数的均值与真实正样本率的偏差（Expected Calibration Error, ECE）。在 [0, 0.25), [0.25, 0.5), [0.5, 0.75), [0.75, 1.0] 四个分箱上的检验结果如表 3-3 所示。各箱偏差均不超过 0.12，逻辑回归的输出具有良好的概率校准性，假设 1 成立。</w:t>
      </w:r>
    </w:p>
    <w:p>
      <w:pPr>
        <w:ind w:firstLine="480"/>
      </w:pPr>
      <w:r>
        <w:rPr>
          <w:rFonts w:ascii="宋体" w:hAnsi="宋体" w:eastAsia="宋体"/>
          <w:b w:val="0"/>
          <w:sz w:val="24"/>
        </w:rPr>
        <w:t>假设 2（代价恒定）：C_FP 和 C_FN 对所有样本恒定，不随图像内容或残损类型变化。在实际港口场景中，一次误报的代价（人工复核约 2–3 分钟）和一次漏检的代价（破损箱放行可能导致的运输安全事故）在不同图像间基本稳定。对于极端情况（如大面积严重破损被漏检），C_FN 可能显著升高，但作为一阶近似，假设 2 合理成立。</w:t>
      </w:r>
    </w:p>
    <w:p>
      <w:pPr>
        <w:ind w:firstLine="480"/>
      </w:pPr>
      <w:r>
        <w:rPr>
          <w:rFonts w:ascii="宋体" w:hAnsi="宋体" w:eastAsia="宋体"/>
          <w:b w:val="0"/>
          <w:sz w:val="24"/>
        </w:rPr>
        <w:t>假设 3（决策独立性）：各图像的分类决策相互独立，互不影响。本任务中每张集装箱图像独立采集、独立判断，该假设自然成立。</w:t>
      </w:r>
    </w:p>
    <w:p>
      <w:pPr>
        <w:ind w:firstLine="480"/>
      </w:pPr>
      <w:r>
        <w:rPr>
          <w:rFonts w:ascii="宋体" w:hAnsi="宋体" w:eastAsia="宋体"/>
          <w:b w:val="0"/>
          <w:sz w:val="24"/>
        </w:rPr>
        <w:t>假设 4（风险中性）：决策者以最小化期望损失为目标，而非追求最坏情况下的性能保证（后者是 minimax 准则）。在批量检测场景下，港口运营方关心的是一段时间内的总损失（总误报次数 × C_FP + 总漏检次数 × C_FN），而非单张图像的最坏情况，假设 4 与运营实际相符。</w:t>
      </w:r>
    </w:p>
    <w:p>
      <w:pPr>
        <w:ind w:firstLine="480"/>
      </w:pPr>
      <w:r>
        <w:rPr>
          <w:rFonts w:ascii="宋体" w:hAnsi="宋体" w:eastAsia="宋体"/>
          <w:b w:val="0"/>
          <w:sz w:val="24"/>
        </w:rPr>
        <w:t>此外，贝叶斯框架具有两个 NP 框架不具备的关键优势：(a) 不需要对 H₀ 下检验统计量的分布做参数假设——该优点在第 3.5.3 节证明 Beta 分布不成立后显得尤为关键；(b) 对称地同时控制 I 类和 II 类错误——通过代价比 λ 显式权衡，而非 NP 框架的单边控制。事实上，NP 框架可视为贝叶斯框架在 C_FP → ∞（即误报代价无限大、绝不容忍误报）时的极限特例，两者的数学关系为：令 λ → ∞，则 τ_Bayes → 1，等同于 NP 的 α → 0 极限。</w:t>
      </w:r>
    </w:p>
    <w:p>
      <w:pPr>
        <w:spacing w:before="120" w:after="80"/>
        <w:jc w:val="center"/>
      </w:pPr>
      <w:r>
        <w:rPr>
          <w:rFonts w:ascii="宋体" w:hAnsi="宋体" w:eastAsia="宋体"/>
          <w:b/>
          <w:sz w:val="20"/>
        </w:rPr>
        <w:t>表3-3  概率校准检验（验证集，n=1726）</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18"/>
              </w:rPr>
              <w:t>分数区间</w:t>
            </w:r>
          </w:p>
        </w:tc>
        <w:tc>
          <w:tcPr>
            <w:tcW w:type="dxa" w:w="1727"/>
          </w:tcPr>
          <w:p>
            <w:pPr>
              <w:jc w:val="center"/>
            </w:pPr>
            <w:r>
              <w:rPr>
                <w:b/>
                <w:sz w:val="18"/>
              </w:rPr>
              <w:t>样本数</w:t>
            </w:r>
          </w:p>
        </w:tc>
        <w:tc>
          <w:tcPr>
            <w:tcW w:type="dxa" w:w="1727"/>
          </w:tcPr>
          <w:p>
            <w:pPr>
              <w:jc w:val="center"/>
            </w:pPr>
            <w:r>
              <w:rPr>
                <w:b/>
                <w:sz w:val="18"/>
              </w:rPr>
              <w:t>预测均值</w:t>
            </w:r>
          </w:p>
        </w:tc>
        <w:tc>
          <w:tcPr>
            <w:tcW w:type="dxa" w:w="1727"/>
          </w:tcPr>
          <w:p>
            <w:pPr>
              <w:jc w:val="center"/>
            </w:pPr>
            <w:r>
              <w:rPr>
                <w:b/>
                <w:sz w:val="18"/>
              </w:rPr>
              <w:t>真实正样本率</w:t>
            </w:r>
          </w:p>
        </w:tc>
        <w:tc>
          <w:tcPr>
            <w:tcW w:type="dxa" w:w="1727"/>
          </w:tcPr>
          <w:p>
            <w:pPr>
              <w:jc w:val="center"/>
            </w:pPr>
            <w:r>
              <w:rPr>
                <w:b/>
                <w:sz w:val="18"/>
              </w:rPr>
              <w:t>偏差</w:t>
            </w:r>
          </w:p>
        </w:tc>
      </w:tr>
      <w:tr>
        <w:tc>
          <w:tcPr>
            <w:tcW w:type="dxa" w:w="1727"/>
          </w:tcPr>
          <w:p>
            <w:pPr>
              <w:jc w:val="center"/>
            </w:pPr>
            <w:r>
              <w:rPr>
                <w:sz w:val="18"/>
              </w:rPr>
              <w:t>[0.00, 0.25)</w:t>
            </w:r>
          </w:p>
        </w:tc>
        <w:tc>
          <w:tcPr>
            <w:tcW w:type="dxa" w:w="1727"/>
          </w:tcPr>
          <w:p>
            <w:pPr>
              <w:jc w:val="center"/>
            </w:pPr>
            <w:r>
              <w:rPr>
                <w:sz w:val="18"/>
              </w:rPr>
              <w:t>696</w:t>
            </w:r>
          </w:p>
        </w:tc>
        <w:tc>
          <w:tcPr>
            <w:tcW w:type="dxa" w:w="1727"/>
          </w:tcPr>
          <w:p>
            <w:pPr>
              <w:jc w:val="center"/>
            </w:pPr>
            <w:r>
              <w:rPr>
                <w:sz w:val="18"/>
              </w:rPr>
              <w:t>0.099</w:t>
            </w:r>
          </w:p>
        </w:tc>
        <w:tc>
          <w:tcPr>
            <w:tcW w:type="dxa" w:w="1727"/>
          </w:tcPr>
          <w:p>
            <w:pPr>
              <w:jc w:val="center"/>
            </w:pPr>
            <w:r>
              <w:rPr>
                <w:sz w:val="18"/>
              </w:rPr>
              <w:t>0.030</w:t>
            </w:r>
          </w:p>
        </w:tc>
        <w:tc>
          <w:tcPr>
            <w:tcW w:type="dxa" w:w="1727"/>
          </w:tcPr>
          <w:p>
            <w:pPr>
              <w:jc w:val="center"/>
            </w:pPr>
            <w:r>
              <w:rPr>
                <w:sz w:val="18"/>
              </w:rPr>
              <w:t>0.069</w:t>
            </w:r>
          </w:p>
        </w:tc>
      </w:tr>
      <w:tr>
        <w:tc>
          <w:tcPr>
            <w:tcW w:type="dxa" w:w="1727"/>
          </w:tcPr>
          <w:p>
            <w:pPr>
              <w:jc w:val="center"/>
            </w:pPr>
            <w:r>
              <w:rPr>
                <w:sz w:val="18"/>
              </w:rPr>
              <w:t>[0.25, 0.50)</w:t>
            </w:r>
          </w:p>
        </w:tc>
        <w:tc>
          <w:tcPr>
            <w:tcW w:type="dxa" w:w="1727"/>
          </w:tcPr>
          <w:p>
            <w:pPr>
              <w:jc w:val="center"/>
            </w:pPr>
            <w:r>
              <w:rPr>
                <w:sz w:val="18"/>
              </w:rPr>
              <w:t>274</w:t>
            </w:r>
          </w:p>
        </w:tc>
        <w:tc>
          <w:tcPr>
            <w:tcW w:type="dxa" w:w="1727"/>
          </w:tcPr>
          <w:p>
            <w:pPr>
              <w:jc w:val="center"/>
            </w:pPr>
            <w:r>
              <w:rPr>
                <w:sz w:val="18"/>
              </w:rPr>
              <w:t>0.370</w:t>
            </w:r>
          </w:p>
        </w:tc>
        <w:tc>
          <w:tcPr>
            <w:tcW w:type="dxa" w:w="1727"/>
          </w:tcPr>
          <w:p>
            <w:pPr>
              <w:jc w:val="center"/>
            </w:pPr>
            <w:r>
              <w:rPr>
                <w:sz w:val="18"/>
              </w:rPr>
              <w:t>0.277</w:t>
            </w:r>
          </w:p>
        </w:tc>
        <w:tc>
          <w:tcPr>
            <w:tcW w:type="dxa" w:w="1727"/>
          </w:tcPr>
          <w:p>
            <w:pPr>
              <w:jc w:val="center"/>
            </w:pPr>
            <w:r>
              <w:rPr>
                <w:sz w:val="18"/>
              </w:rPr>
              <w:t>0.093</w:t>
            </w:r>
          </w:p>
        </w:tc>
      </w:tr>
      <w:tr>
        <w:tc>
          <w:tcPr>
            <w:tcW w:type="dxa" w:w="1727"/>
          </w:tcPr>
          <w:p>
            <w:pPr>
              <w:jc w:val="center"/>
            </w:pPr>
            <w:r>
              <w:rPr>
                <w:sz w:val="18"/>
              </w:rPr>
              <w:t>[0.50, 0.75)</w:t>
            </w:r>
          </w:p>
        </w:tc>
        <w:tc>
          <w:tcPr>
            <w:tcW w:type="dxa" w:w="1727"/>
          </w:tcPr>
          <w:p>
            <w:pPr>
              <w:jc w:val="center"/>
            </w:pPr>
            <w:r>
              <w:rPr>
                <w:sz w:val="18"/>
              </w:rPr>
              <w:t>249</w:t>
            </w:r>
          </w:p>
        </w:tc>
        <w:tc>
          <w:tcPr>
            <w:tcW w:type="dxa" w:w="1727"/>
          </w:tcPr>
          <w:p>
            <w:pPr>
              <w:jc w:val="center"/>
            </w:pPr>
            <w:r>
              <w:rPr>
                <w:sz w:val="18"/>
              </w:rPr>
              <w:t>0.623</w:t>
            </w:r>
          </w:p>
        </w:tc>
        <w:tc>
          <w:tcPr>
            <w:tcW w:type="dxa" w:w="1727"/>
          </w:tcPr>
          <w:p>
            <w:pPr>
              <w:jc w:val="center"/>
            </w:pPr>
            <w:r>
              <w:rPr>
                <w:sz w:val="18"/>
              </w:rPr>
              <w:t>0.510</w:t>
            </w:r>
          </w:p>
        </w:tc>
        <w:tc>
          <w:tcPr>
            <w:tcW w:type="dxa" w:w="1727"/>
          </w:tcPr>
          <w:p>
            <w:pPr>
              <w:jc w:val="center"/>
            </w:pPr>
            <w:r>
              <w:rPr>
                <w:sz w:val="18"/>
              </w:rPr>
              <w:t>0.113</w:t>
            </w:r>
          </w:p>
        </w:tc>
      </w:tr>
      <w:tr>
        <w:tc>
          <w:tcPr>
            <w:tcW w:type="dxa" w:w="1727"/>
          </w:tcPr>
          <w:p>
            <w:pPr>
              <w:jc w:val="center"/>
            </w:pPr>
            <w:r>
              <w:rPr>
                <w:sz w:val="18"/>
              </w:rPr>
              <w:t>[0.75, 1.00]</w:t>
            </w:r>
          </w:p>
        </w:tc>
        <w:tc>
          <w:tcPr>
            <w:tcW w:type="dxa" w:w="1727"/>
          </w:tcPr>
          <w:p>
            <w:pPr>
              <w:jc w:val="center"/>
            </w:pPr>
            <w:r>
              <w:rPr>
                <w:sz w:val="18"/>
              </w:rPr>
              <w:t>507</w:t>
            </w:r>
          </w:p>
        </w:tc>
        <w:tc>
          <w:tcPr>
            <w:tcW w:type="dxa" w:w="1727"/>
          </w:tcPr>
          <w:p>
            <w:pPr>
              <w:jc w:val="center"/>
            </w:pPr>
            <w:r>
              <w:rPr>
                <w:sz w:val="18"/>
              </w:rPr>
              <w:t>0.913</w:t>
            </w:r>
          </w:p>
        </w:tc>
        <w:tc>
          <w:tcPr>
            <w:tcW w:type="dxa" w:w="1727"/>
          </w:tcPr>
          <w:p>
            <w:pPr>
              <w:jc w:val="center"/>
            </w:pPr>
            <w:r>
              <w:rPr>
                <w:sz w:val="18"/>
              </w:rPr>
              <w:t>0.856</w:t>
            </w:r>
          </w:p>
        </w:tc>
        <w:tc>
          <w:tcPr>
            <w:tcW w:type="dxa" w:w="1727"/>
          </w:tcPr>
          <w:p>
            <w:pPr>
              <w:jc w:val="center"/>
            </w:pPr>
            <w:r>
              <w:rPr>
                <w:sz w:val="18"/>
              </w:rPr>
              <w:t>0.057</w:t>
            </w:r>
          </w:p>
        </w:tc>
      </w:tr>
    </w:tbl>
    <w:p/>
    <w:p>
      <w:pPr>
        <w:pStyle w:val="Heading3"/>
      </w:pPr>
      <w:r>
        <w:rPr>
          <w:rFonts w:ascii="黑体" w:hAnsi="黑体" w:eastAsia="黑体"/>
          <w:sz w:val="24"/>
        </w:rPr>
        <w:t>3.5.7  贝叶斯框架的实测验证</w:t>
      </w:r>
    </w:p>
    <w:p>
      <w:pPr>
        <w:ind w:firstLine="480"/>
      </w:pPr>
      <w:r>
        <w:rPr>
          <w:rFonts w:ascii="宋体" w:hAnsi="宋体" w:eastAsia="宋体"/>
          <w:b w:val="0"/>
          <w:sz w:val="24"/>
        </w:rPr>
        <w:t>为验证贝叶斯最小风险决策框架的实际有效性，在验证集（n=1726）上对不同代价比 λ 进行扫描，计算对应的 τ_Bayes(λ) 及分类性能。结果如表 3-4 所示。</w:t>
      </w:r>
    </w:p>
    <w:p>
      <w:pPr>
        <w:ind w:firstLine="480"/>
      </w:pPr>
      <w:r>
        <w:rPr>
          <w:rFonts w:ascii="宋体" w:hAnsi="宋体" w:eastAsia="宋体"/>
          <w:b w:val="0"/>
          <w:sz w:val="24"/>
        </w:rPr>
        <w:t>扫描结果显示：随着 λ 从 0.01 增大到 9.0，τ_Bayes 从 0.0099 单调增大到 0.9，FPR 从 97.3% 单调减小到 2.6%，FNR 从 0% 单调增大到 56.5%。F2-score 在 λ ∈ [0.25, 0.5] 区间内达到最大值约 0.876，对应的最优阈值 τ* ≈ 0.20–0.33。在此区间内，漏检率控制在 2%–5%，虽然误报率约 28%–43%，但误报仅需人工复核即可纠正，在工程上可以接受。</w:t>
      </w:r>
    </w:p>
    <w:p>
      <w:pPr>
        <w:ind w:firstLine="480"/>
      </w:pPr>
      <w:r>
        <w:rPr>
          <w:rFonts w:ascii="宋体" w:hAnsi="宋体" w:eastAsia="宋体"/>
          <w:b w:val="0"/>
          <w:sz w:val="24"/>
        </w:rPr>
        <w:t>将贝叶斯框架与 NP 框架进行对比（见表 3-5）：在贝叶斯框架下取 λ = 0.5（漏检代价为误报代价的 2 倍），τ_Bayes = 0.333，漏检率从 NP 的 33.4% 大幅下降至 5.3%，F2-score 从 0.696 提升至 0.876。性能提升的根本原因是贝叶斯框架不需要为了控制一个统计上不成立的误报率上限而牺牲检测能力。该结果充分验证了贝叶斯最小风险决策框架在当前任务上的有效性和必要性。</w:t>
      </w:r>
    </w:p>
    <w:p>
      <w:pPr>
        <w:spacing w:before="120" w:after="80"/>
        <w:jc w:val="center"/>
      </w:pPr>
      <w:r>
        <w:rPr>
          <w:rFonts w:ascii="宋体" w:hAnsi="宋体" w:eastAsia="宋体"/>
          <w:b/>
          <w:sz w:val="20"/>
        </w:rPr>
        <w:t>表3-4  代价比 λ 扫描 — 贝叶斯阈值与分类性能（验证集，n=1726）</w:t>
      </w:r>
    </w:p>
    <w:tbl>
      <w:tblPr>
        <w:tblStyle w:val="TableGrid"/>
        <w:tblW w:type="auto" w:w="0"/>
        <w:tblLook w:firstColumn="1" w:firstRow="1" w:lastColumn="0" w:lastRow="0" w:noHBand="0" w:noVBand="1" w:val="04A0"/>
      </w:tblPr>
      <w:tblGrid>
        <w:gridCol w:w="863"/>
        <w:gridCol w:w="863"/>
        <w:gridCol w:w="863"/>
        <w:gridCol w:w="863"/>
        <w:gridCol w:w="863"/>
        <w:gridCol w:w="863"/>
        <w:gridCol w:w="863"/>
        <w:gridCol w:w="863"/>
        <w:gridCol w:w="863"/>
        <w:gridCol w:w="863"/>
      </w:tblGrid>
      <w:tr>
        <w:tc>
          <w:tcPr>
            <w:tcW w:type="dxa" w:w="863"/>
          </w:tcPr>
          <w:p>
            <w:pPr>
              <w:jc w:val="center"/>
            </w:pPr>
            <w:r>
              <w:rPr>
                <w:b/>
                <w:sz w:val="18"/>
              </w:rPr>
              <w:t>λ</w:t>
            </w:r>
          </w:p>
        </w:tc>
        <w:tc>
          <w:tcPr>
            <w:tcW w:type="dxa" w:w="863"/>
          </w:tcPr>
          <w:p>
            <w:pPr>
              <w:jc w:val="center"/>
            </w:pPr>
            <w:r>
              <w:rPr>
                <w:b/>
                <w:sz w:val="18"/>
              </w:rPr>
              <w:t>τ_Bayes</w:t>
            </w:r>
          </w:p>
        </w:tc>
        <w:tc>
          <w:tcPr>
            <w:tcW w:type="dxa" w:w="863"/>
          </w:tcPr>
          <w:p>
            <w:pPr>
              <w:jc w:val="center"/>
            </w:pPr>
            <w:r>
              <w:rPr>
                <w:b/>
                <w:sz w:val="18"/>
              </w:rPr>
              <w:t>FPR</w:t>
            </w:r>
          </w:p>
        </w:tc>
        <w:tc>
          <w:tcPr>
            <w:tcW w:type="dxa" w:w="863"/>
          </w:tcPr>
          <w:p>
            <w:pPr>
              <w:jc w:val="center"/>
            </w:pPr>
            <w:r>
              <w:rPr>
                <w:b/>
                <w:sz w:val="18"/>
              </w:rPr>
              <w:t>FNR</w:t>
            </w:r>
          </w:p>
        </w:tc>
        <w:tc>
          <w:tcPr>
            <w:tcW w:type="dxa" w:w="863"/>
          </w:tcPr>
          <w:p>
            <w:pPr>
              <w:jc w:val="center"/>
            </w:pPr>
            <w:r>
              <w:rPr>
                <w:b/>
                <w:sz w:val="18"/>
              </w:rPr>
              <w:t>F2</w:t>
            </w:r>
          </w:p>
        </w:tc>
        <w:tc>
          <w:tcPr>
            <w:tcW w:type="dxa" w:w="863"/>
          </w:tcPr>
          <w:p>
            <w:pPr>
              <w:jc w:val="center"/>
            </w:pPr>
            <w:r>
              <w:rPr>
                <w:b/>
                <w:sz w:val="18"/>
              </w:rPr>
              <w:t>Accuracy</w:t>
            </w:r>
          </w:p>
        </w:tc>
        <w:tc>
          <w:tcPr>
            <w:tcW w:type="dxa" w:w="863"/>
          </w:tcPr>
          <w:p>
            <w:pPr>
              <w:jc w:val="center"/>
            </w:pPr>
            <w:r>
              <w:rPr>
                <w:b/>
                <w:sz w:val="18"/>
              </w:rPr>
              <w:t>TP</w:t>
            </w:r>
          </w:p>
        </w:tc>
        <w:tc>
          <w:tcPr>
            <w:tcW w:type="dxa" w:w="863"/>
          </w:tcPr>
          <w:p>
            <w:pPr>
              <w:jc w:val="center"/>
            </w:pPr>
            <w:r>
              <w:rPr>
                <w:b/>
                <w:sz w:val="18"/>
              </w:rPr>
              <w:t>FN</w:t>
            </w:r>
          </w:p>
        </w:tc>
        <w:tc>
          <w:tcPr>
            <w:tcW w:type="dxa" w:w="863"/>
          </w:tcPr>
          <w:p>
            <w:pPr>
              <w:jc w:val="center"/>
            </w:pPr>
            <w:r>
              <w:rPr>
                <w:b/>
                <w:sz w:val="18"/>
              </w:rPr>
              <w:t>FP</w:t>
            </w:r>
          </w:p>
        </w:tc>
        <w:tc>
          <w:tcPr>
            <w:tcW w:type="dxa" w:w="863"/>
          </w:tcPr>
          <w:p>
            <w:pPr>
              <w:jc w:val="center"/>
            </w:pPr>
            <w:r>
              <w:rPr>
                <w:b/>
                <w:sz w:val="18"/>
              </w:rPr>
              <w:t>TN</w:t>
            </w:r>
          </w:p>
        </w:tc>
      </w:tr>
      <w:tr>
        <w:tc>
          <w:tcPr>
            <w:tcW w:type="dxa" w:w="863"/>
          </w:tcPr>
          <w:p>
            <w:pPr>
              <w:jc w:val="center"/>
            </w:pPr>
            <w:r>
              <w:rPr>
                <w:sz w:val="18"/>
              </w:rPr>
              <w:t>0.01 (漏检100x)</w:t>
            </w:r>
          </w:p>
        </w:tc>
        <w:tc>
          <w:tcPr>
            <w:tcW w:type="dxa" w:w="863"/>
          </w:tcPr>
          <w:p>
            <w:pPr>
              <w:jc w:val="center"/>
            </w:pPr>
            <w:r>
              <w:rPr>
                <w:sz w:val="18"/>
              </w:rPr>
              <w:t>0.010</w:t>
            </w:r>
          </w:p>
        </w:tc>
        <w:tc>
          <w:tcPr>
            <w:tcW w:type="dxa" w:w="863"/>
          </w:tcPr>
          <w:p>
            <w:pPr>
              <w:jc w:val="center"/>
            </w:pPr>
            <w:r>
              <w:rPr>
                <w:sz w:val="18"/>
              </w:rPr>
              <w:t>0.973</w:t>
            </w:r>
          </w:p>
        </w:tc>
        <w:tc>
          <w:tcPr>
            <w:tcW w:type="dxa" w:w="863"/>
          </w:tcPr>
          <w:p>
            <w:pPr>
              <w:jc w:val="center"/>
            </w:pPr>
            <w:r>
              <w:rPr>
                <w:sz w:val="18"/>
              </w:rPr>
              <w:t>0.000</w:t>
            </w:r>
          </w:p>
        </w:tc>
        <w:tc>
          <w:tcPr>
            <w:tcW w:type="dxa" w:w="863"/>
          </w:tcPr>
          <w:p>
            <w:pPr>
              <w:jc w:val="center"/>
            </w:pPr>
            <w:r>
              <w:rPr>
                <w:sz w:val="18"/>
              </w:rPr>
              <w:t>0.760</w:t>
            </w:r>
          </w:p>
        </w:tc>
        <w:tc>
          <w:tcPr>
            <w:tcW w:type="dxa" w:w="863"/>
          </w:tcPr>
          <w:p>
            <w:pPr>
              <w:jc w:val="center"/>
            </w:pPr>
            <w:r>
              <w:rPr>
                <w:sz w:val="18"/>
              </w:rPr>
              <w:t>0.398</w:t>
            </w:r>
          </w:p>
        </w:tc>
        <w:tc>
          <w:tcPr>
            <w:tcW w:type="dxa" w:w="863"/>
          </w:tcPr>
          <w:p>
            <w:pPr>
              <w:jc w:val="center"/>
            </w:pPr>
            <w:r>
              <w:rPr>
                <w:sz w:val="18"/>
              </w:rPr>
              <w:t>658</w:t>
            </w:r>
          </w:p>
        </w:tc>
        <w:tc>
          <w:tcPr>
            <w:tcW w:type="dxa" w:w="863"/>
          </w:tcPr>
          <w:p>
            <w:pPr>
              <w:jc w:val="center"/>
            </w:pPr>
            <w:r>
              <w:rPr>
                <w:sz w:val="18"/>
              </w:rPr>
              <w:t>0</w:t>
            </w:r>
          </w:p>
        </w:tc>
        <w:tc>
          <w:tcPr>
            <w:tcW w:type="dxa" w:w="863"/>
          </w:tcPr>
          <w:p>
            <w:pPr>
              <w:jc w:val="center"/>
            </w:pPr>
            <w:r>
              <w:rPr>
                <w:sz w:val="18"/>
              </w:rPr>
              <w:t>1039</w:t>
            </w:r>
          </w:p>
        </w:tc>
        <w:tc>
          <w:tcPr>
            <w:tcW w:type="dxa" w:w="863"/>
          </w:tcPr>
          <w:p>
            <w:pPr>
              <w:jc w:val="center"/>
            </w:pPr>
            <w:r>
              <w:rPr>
                <w:sz w:val="18"/>
              </w:rPr>
              <w:t>29</w:t>
            </w:r>
          </w:p>
        </w:tc>
      </w:tr>
      <w:tr>
        <w:tc>
          <w:tcPr>
            <w:tcW w:type="dxa" w:w="863"/>
          </w:tcPr>
          <w:p>
            <w:pPr>
              <w:jc w:val="center"/>
            </w:pPr>
            <w:r>
              <w:rPr>
                <w:sz w:val="18"/>
              </w:rPr>
              <w:t>0.05</w:t>
            </w:r>
          </w:p>
        </w:tc>
        <w:tc>
          <w:tcPr>
            <w:tcW w:type="dxa" w:w="863"/>
          </w:tcPr>
          <w:p>
            <w:pPr>
              <w:jc w:val="center"/>
            </w:pPr>
            <w:r>
              <w:rPr>
                <w:sz w:val="18"/>
              </w:rPr>
              <w:t>0.048</w:t>
            </w:r>
          </w:p>
        </w:tc>
        <w:tc>
          <w:tcPr>
            <w:tcW w:type="dxa" w:w="863"/>
          </w:tcPr>
          <w:p>
            <w:pPr>
              <w:jc w:val="center"/>
            </w:pPr>
            <w:r>
              <w:rPr>
                <w:sz w:val="18"/>
              </w:rPr>
              <w:t>0.820</w:t>
            </w:r>
          </w:p>
        </w:tc>
        <w:tc>
          <w:tcPr>
            <w:tcW w:type="dxa" w:w="863"/>
          </w:tcPr>
          <w:p>
            <w:pPr>
              <w:jc w:val="center"/>
            </w:pPr>
            <w:r>
              <w:rPr>
                <w:sz w:val="18"/>
              </w:rPr>
              <w:t>0.002</w:t>
            </w:r>
          </w:p>
        </w:tc>
        <w:tc>
          <w:tcPr>
            <w:tcW w:type="dxa" w:w="863"/>
          </w:tcPr>
          <w:p>
            <w:pPr>
              <w:jc w:val="center"/>
            </w:pPr>
            <w:r>
              <w:rPr>
                <w:sz w:val="18"/>
              </w:rPr>
              <w:t>0.789</w:t>
            </w:r>
          </w:p>
        </w:tc>
        <w:tc>
          <w:tcPr>
            <w:tcW w:type="dxa" w:w="863"/>
          </w:tcPr>
          <w:p>
            <w:pPr>
              <w:jc w:val="center"/>
            </w:pPr>
            <w:r>
              <w:rPr>
                <w:sz w:val="18"/>
              </w:rPr>
              <w:t>0.492</w:t>
            </w:r>
          </w:p>
        </w:tc>
        <w:tc>
          <w:tcPr>
            <w:tcW w:type="dxa" w:w="863"/>
          </w:tcPr>
          <w:p>
            <w:pPr>
              <w:jc w:val="center"/>
            </w:pPr>
            <w:r>
              <w:rPr>
                <w:sz w:val="18"/>
              </w:rPr>
              <w:t>657</w:t>
            </w:r>
          </w:p>
        </w:tc>
        <w:tc>
          <w:tcPr>
            <w:tcW w:type="dxa" w:w="863"/>
          </w:tcPr>
          <w:p>
            <w:pPr>
              <w:jc w:val="center"/>
            </w:pPr>
            <w:r>
              <w:rPr>
                <w:sz w:val="18"/>
              </w:rPr>
              <w:t>1</w:t>
            </w:r>
          </w:p>
        </w:tc>
        <w:tc>
          <w:tcPr>
            <w:tcW w:type="dxa" w:w="863"/>
          </w:tcPr>
          <w:p>
            <w:pPr>
              <w:jc w:val="center"/>
            </w:pPr>
            <w:r>
              <w:rPr>
                <w:sz w:val="18"/>
              </w:rPr>
              <w:t>876</w:t>
            </w:r>
          </w:p>
        </w:tc>
        <w:tc>
          <w:tcPr>
            <w:tcW w:type="dxa" w:w="863"/>
          </w:tcPr>
          <w:p>
            <w:pPr>
              <w:jc w:val="center"/>
            </w:pPr>
            <w:r>
              <w:rPr>
                <w:sz w:val="18"/>
              </w:rPr>
              <w:t>192</w:t>
            </w:r>
          </w:p>
        </w:tc>
      </w:tr>
      <w:tr>
        <w:tc>
          <w:tcPr>
            <w:tcW w:type="dxa" w:w="863"/>
          </w:tcPr>
          <w:p>
            <w:pPr>
              <w:jc w:val="center"/>
            </w:pPr>
            <w:r>
              <w:rPr>
                <w:sz w:val="18"/>
              </w:rPr>
              <w:t>0.10</w:t>
            </w:r>
          </w:p>
        </w:tc>
        <w:tc>
          <w:tcPr>
            <w:tcW w:type="dxa" w:w="863"/>
          </w:tcPr>
          <w:p>
            <w:pPr>
              <w:jc w:val="center"/>
            </w:pPr>
            <w:r>
              <w:rPr>
                <w:sz w:val="18"/>
              </w:rPr>
              <w:t>0.091</w:t>
            </w:r>
          </w:p>
        </w:tc>
        <w:tc>
          <w:tcPr>
            <w:tcW w:type="dxa" w:w="863"/>
          </w:tcPr>
          <w:p>
            <w:pPr>
              <w:jc w:val="center"/>
            </w:pPr>
            <w:r>
              <w:rPr>
                <w:sz w:val="18"/>
              </w:rPr>
              <w:t>0.657</w:t>
            </w:r>
          </w:p>
        </w:tc>
        <w:tc>
          <w:tcPr>
            <w:tcW w:type="dxa" w:w="863"/>
          </w:tcPr>
          <w:p>
            <w:pPr>
              <w:jc w:val="center"/>
            </w:pPr>
            <w:r>
              <w:rPr>
                <w:sz w:val="18"/>
              </w:rPr>
              <w:t>0.003</w:t>
            </w:r>
          </w:p>
        </w:tc>
        <w:tc>
          <w:tcPr>
            <w:tcW w:type="dxa" w:w="863"/>
          </w:tcPr>
          <w:p>
            <w:pPr>
              <w:jc w:val="center"/>
            </w:pPr>
            <w:r>
              <w:rPr>
                <w:sz w:val="18"/>
              </w:rPr>
              <w:t>0.822</w:t>
            </w:r>
          </w:p>
        </w:tc>
        <w:tc>
          <w:tcPr>
            <w:tcW w:type="dxa" w:w="863"/>
          </w:tcPr>
          <w:p>
            <w:pPr>
              <w:jc w:val="center"/>
            </w:pPr>
            <w:r>
              <w:rPr>
                <w:sz w:val="18"/>
              </w:rPr>
              <w:t>0.592</w:t>
            </w:r>
          </w:p>
        </w:tc>
        <w:tc>
          <w:tcPr>
            <w:tcW w:type="dxa" w:w="863"/>
          </w:tcPr>
          <w:p>
            <w:pPr>
              <w:jc w:val="center"/>
            </w:pPr>
            <w:r>
              <w:rPr>
                <w:sz w:val="18"/>
              </w:rPr>
              <w:t>656</w:t>
            </w:r>
          </w:p>
        </w:tc>
        <w:tc>
          <w:tcPr>
            <w:tcW w:type="dxa" w:w="863"/>
          </w:tcPr>
          <w:p>
            <w:pPr>
              <w:jc w:val="center"/>
            </w:pPr>
            <w:r>
              <w:rPr>
                <w:sz w:val="18"/>
              </w:rPr>
              <w:t>2</w:t>
            </w:r>
          </w:p>
        </w:tc>
        <w:tc>
          <w:tcPr>
            <w:tcW w:type="dxa" w:w="863"/>
          </w:tcPr>
          <w:p>
            <w:pPr>
              <w:jc w:val="center"/>
            </w:pPr>
            <w:r>
              <w:rPr>
                <w:sz w:val="18"/>
              </w:rPr>
              <w:t>702</w:t>
            </w:r>
          </w:p>
        </w:tc>
        <w:tc>
          <w:tcPr>
            <w:tcW w:type="dxa" w:w="863"/>
          </w:tcPr>
          <w:p>
            <w:pPr>
              <w:jc w:val="center"/>
            </w:pPr>
            <w:r>
              <w:rPr>
                <w:sz w:val="18"/>
              </w:rPr>
              <w:t>366</w:t>
            </w:r>
          </w:p>
        </w:tc>
      </w:tr>
      <w:tr>
        <w:tc>
          <w:tcPr>
            <w:tcW w:type="dxa" w:w="863"/>
          </w:tcPr>
          <w:p>
            <w:pPr>
              <w:jc w:val="center"/>
            </w:pPr>
            <w:r>
              <w:rPr>
                <w:sz w:val="18"/>
              </w:rPr>
              <w:t>0.20</w:t>
            </w:r>
          </w:p>
        </w:tc>
        <w:tc>
          <w:tcPr>
            <w:tcW w:type="dxa" w:w="863"/>
          </w:tcPr>
          <w:p>
            <w:pPr>
              <w:jc w:val="center"/>
            </w:pPr>
            <w:r>
              <w:rPr>
                <w:sz w:val="18"/>
              </w:rPr>
              <w:t>0.167</w:t>
            </w:r>
          </w:p>
        </w:tc>
        <w:tc>
          <w:tcPr>
            <w:tcW w:type="dxa" w:w="863"/>
          </w:tcPr>
          <w:p>
            <w:pPr>
              <w:jc w:val="center"/>
            </w:pPr>
            <w:r>
              <w:rPr>
                <w:sz w:val="18"/>
              </w:rPr>
              <w:t>0.479</w:t>
            </w:r>
          </w:p>
        </w:tc>
        <w:tc>
          <w:tcPr>
            <w:tcW w:type="dxa" w:w="863"/>
          </w:tcPr>
          <w:p>
            <w:pPr>
              <w:jc w:val="center"/>
            </w:pPr>
            <w:r>
              <w:rPr>
                <w:sz w:val="18"/>
              </w:rPr>
              <w:t>0.015</w:t>
            </w:r>
          </w:p>
        </w:tc>
        <w:tc>
          <w:tcPr>
            <w:tcW w:type="dxa" w:w="863"/>
          </w:tcPr>
          <w:p>
            <w:pPr>
              <w:jc w:val="center"/>
            </w:pPr>
            <w:r>
              <w:rPr>
                <w:sz w:val="18"/>
              </w:rPr>
              <w:t>0.854</w:t>
            </w:r>
          </w:p>
        </w:tc>
        <w:tc>
          <w:tcPr>
            <w:tcW w:type="dxa" w:w="863"/>
          </w:tcPr>
          <w:p>
            <w:pPr>
              <w:jc w:val="center"/>
            </w:pPr>
            <w:r>
              <w:rPr>
                <w:sz w:val="18"/>
              </w:rPr>
              <w:t>0.698</w:t>
            </w:r>
          </w:p>
        </w:tc>
        <w:tc>
          <w:tcPr>
            <w:tcW w:type="dxa" w:w="863"/>
          </w:tcPr>
          <w:p>
            <w:pPr>
              <w:jc w:val="center"/>
            </w:pPr>
            <w:r>
              <w:rPr>
                <w:sz w:val="18"/>
              </w:rPr>
              <w:t>648</w:t>
            </w:r>
          </w:p>
        </w:tc>
        <w:tc>
          <w:tcPr>
            <w:tcW w:type="dxa" w:w="863"/>
          </w:tcPr>
          <w:p>
            <w:pPr>
              <w:jc w:val="center"/>
            </w:pPr>
            <w:r>
              <w:rPr>
                <w:sz w:val="18"/>
              </w:rPr>
              <w:t>10</w:t>
            </w:r>
          </w:p>
        </w:tc>
        <w:tc>
          <w:tcPr>
            <w:tcW w:type="dxa" w:w="863"/>
          </w:tcPr>
          <w:p>
            <w:pPr>
              <w:jc w:val="center"/>
            </w:pPr>
            <w:r>
              <w:rPr>
                <w:sz w:val="18"/>
              </w:rPr>
              <w:t>512</w:t>
            </w:r>
          </w:p>
        </w:tc>
        <w:tc>
          <w:tcPr>
            <w:tcW w:type="dxa" w:w="863"/>
          </w:tcPr>
          <w:p>
            <w:pPr>
              <w:jc w:val="center"/>
            </w:pPr>
            <w:r>
              <w:rPr>
                <w:sz w:val="18"/>
              </w:rPr>
              <w:t>556</w:t>
            </w:r>
          </w:p>
        </w:tc>
      </w:tr>
      <w:tr>
        <w:tc>
          <w:tcPr>
            <w:tcW w:type="dxa" w:w="863"/>
          </w:tcPr>
          <w:p>
            <w:pPr>
              <w:jc w:val="center"/>
            </w:pPr>
            <w:r>
              <w:rPr>
                <w:sz w:val="18"/>
              </w:rPr>
              <w:t>0.25</w:t>
            </w:r>
          </w:p>
        </w:tc>
        <w:tc>
          <w:tcPr>
            <w:tcW w:type="dxa" w:w="863"/>
          </w:tcPr>
          <w:p>
            <w:pPr>
              <w:jc w:val="center"/>
            </w:pPr>
            <w:r>
              <w:rPr>
                <w:sz w:val="18"/>
              </w:rPr>
              <w:t>0.200</w:t>
            </w:r>
          </w:p>
        </w:tc>
        <w:tc>
          <w:tcPr>
            <w:tcW w:type="dxa" w:w="863"/>
          </w:tcPr>
          <w:p>
            <w:pPr>
              <w:jc w:val="center"/>
            </w:pPr>
            <w:r>
              <w:rPr>
                <w:sz w:val="18"/>
              </w:rPr>
              <w:t>0.426</w:t>
            </w:r>
          </w:p>
        </w:tc>
        <w:tc>
          <w:tcPr>
            <w:tcW w:type="dxa" w:w="863"/>
          </w:tcPr>
          <w:p>
            <w:pPr>
              <w:jc w:val="center"/>
            </w:pPr>
            <w:r>
              <w:rPr>
                <w:sz w:val="18"/>
              </w:rPr>
              <w:t>0.020</w:t>
            </w:r>
          </w:p>
        </w:tc>
        <w:tc>
          <w:tcPr>
            <w:tcW w:type="dxa" w:w="863"/>
          </w:tcPr>
          <w:p>
            <w:pPr>
              <w:jc w:val="center"/>
            </w:pPr>
            <w:r>
              <w:rPr>
                <w:sz w:val="18"/>
              </w:rPr>
              <w:t>0.864</w:t>
            </w:r>
          </w:p>
        </w:tc>
        <w:tc>
          <w:tcPr>
            <w:tcW w:type="dxa" w:w="863"/>
          </w:tcPr>
          <w:p>
            <w:pPr>
              <w:jc w:val="center"/>
            </w:pPr>
            <w:r>
              <w:rPr>
                <w:sz w:val="18"/>
              </w:rPr>
              <w:t>0.729</w:t>
            </w:r>
          </w:p>
        </w:tc>
        <w:tc>
          <w:tcPr>
            <w:tcW w:type="dxa" w:w="863"/>
          </w:tcPr>
          <w:p>
            <w:pPr>
              <w:jc w:val="center"/>
            </w:pPr>
            <w:r>
              <w:rPr>
                <w:sz w:val="18"/>
              </w:rPr>
              <w:t>645</w:t>
            </w:r>
          </w:p>
        </w:tc>
        <w:tc>
          <w:tcPr>
            <w:tcW w:type="dxa" w:w="863"/>
          </w:tcPr>
          <w:p>
            <w:pPr>
              <w:jc w:val="center"/>
            </w:pPr>
            <w:r>
              <w:rPr>
                <w:sz w:val="18"/>
              </w:rPr>
              <w:t>13</w:t>
            </w:r>
          </w:p>
        </w:tc>
        <w:tc>
          <w:tcPr>
            <w:tcW w:type="dxa" w:w="863"/>
          </w:tcPr>
          <w:p>
            <w:pPr>
              <w:jc w:val="center"/>
            </w:pPr>
            <w:r>
              <w:rPr>
                <w:sz w:val="18"/>
              </w:rPr>
              <w:t>455</w:t>
            </w:r>
          </w:p>
        </w:tc>
        <w:tc>
          <w:tcPr>
            <w:tcW w:type="dxa" w:w="863"/>
          </w:tcPr>
          <w:p>
            <w:pPr>
              <w:jc w:val="center"/>
            </w:pPr>
            <w:r>
              <w:rPr>
                <w:sz w:val="18"/>
              </w:rPr>
              <w:t>613</w:t>
            </w:r>
          </w:p>
        </w:tc>
      </w:tr>
      <w:tr>
        <w:tc>
          <w:tcPr>
            <w:tcW w:type="dxa" w:w="863"/>
          </w:tcPr>
          <w:p>
            <w:pPr>
              <w:jc w:val="center"/>
            </w:pPr>
            <w:r>
              <w:rPr>
                <w:sz w:val="18"/>
              </w:rPr>
              <w:t>0.33</w:t>
            </w:r>
          </w:p>
        </w:tc>
        <w:tc>
          <w:tcPr>
            <w:tcW w:type="dxa" w:w="863"/>
          </w:tcPr>
          <w:p>
            <w:pPr>
              <w:jc w:val="center"/>
            </w:pPr>
            <w:r>
              <w:rPr>
                <w:sz w:val="18"/>
              </w:rPr>
              <w:t>0.248</w:t>
            </w:r>
          </w:p>
        </w:tc>
        <w:tc>
          <w:tcPr>
            <w:tcW w:type="dxa" w:w="863"/>
          </w:tcPr>
          <w:p>
            <w:pPr>
              <w:jc w:val="center"/>
            </w:pPr>
            <w:r>
              <w:rPr>
                <w:sz w:val="18"/>
              </w:rPr>
              <w:t>0.371</w:t>
            </w:r>
          </w:p>
        </w:tc>
        <w:tc>
          <w:tcPr>
            <w:tcW w:type="dxa" w:w="863"/>
          </w:tcPr>
          <w:p>
            <w:pPr>
              <w:jc w:val="center"/>
            </w:pPr>
            <w:r>
              <w:rPr>
                <w:sz w:val="18"/>
              </w:rPr>
              <w:t>0.032</w:t>
            </w:r>
          </w:p>
        </w:tc>
        <w:tc>
          <w:tcPr>
            <w:tcW w:type="dxa" w:w="863"/>
          </w:tcPr>
          <w:p>
            <w:pPr>
              <w:jc w:val="center"/>
            </w:pPr>
            <w:r>
              <w:rPr>
                <w:sz w:val="18"/>
              </w:rPr>
              <w:t>0.869</w:t>
            </w:r>
          </w:p>
        </w:tc>
        <w:tc>
          <w:tcPr>
            <w:tcW w:type="dxa" w:w="863"/>
          </w:tcPr>
          <w:p>
            <w:pPr>
              <w:jc w:val="center"/>
            </w:pPr>
            <w:r>
              <w:rPr>
                <w:sz w:val="18"/>
              </w:rPr>
              <w:t>0.758</w:t>
            </w:r>
          </w:p>
        </w:tc>
        <w:tc>
          <w:tcPr>
            <w:tcW w:type="dxa" w:w="863"/>
          </w:tcPr>
          <w:p>
            <w:pPr>
              <w:jc w:val="center"/>
            </w:pPr>
            <w:r>
              <w:rPr>
                <w:sz w:val="18"/>
              </w:rPr>
              <w:t>637</w:t>
            </w:r>
          </w:p>
        </w:tc>
        <w:tc>
          <w:tcPr>
            <w:tcW w:type="dxa" w:w="863"/>
          </w:tcPr>
          <w:p>
            <w:pPr>
              <w:jc w:val="center"/>
            </w:pPr>
            <w:r>
              <w:rPr>
                <w:sz w:val="18"/>
              </w:rPr>
              <w:t>21</w:t>
            </w:r>
          </w:p>
        </w:tc>
        <w:tc>
          <w:tcPr>
            <w:tcW w:type="dxa" w:w="863"/>
          </w:tcPr>
          <w:p>
            <w:pPr>
              <w:jc w:val="center"/>
            </w:pPr>
            <w:r>
              <w:rPr>
                <w:sz w:val="18"/>
              </w:rPr>
              <w:t>396</w:t>
            </w:r>
          </w:p>
        </w:tc>
        <w:tc>
          <w:tcPr>
            <w:tcW w:type="dxa" w:w="863"/>
          </w:tcPr>
          <w:p>
            <w:pPr>
              <w:jc w:val="center"/>
            </w:pPr>
            <w:r>
              <w:rPr>
                <w:sz w:val="18"/>
              </w:rPr>
              <w:t>672</w:t>
            </w:r>
          </w:p>
        </w:tc>
      </w:tr>
      <w:tr>
        <w:tc>
          <w:tcPr>
            <w:tcW w:type="dxa" w:w="863"/>
          </w:tcPr>
          <w:p>
            <w:pPr>
              <w:jc w:val="center"/>
            </w:pPr>
            <w:r>
              <w:rPr>
                <w:sz w:val="18"/>
              </w:rPr>
              <w:t>0.50 (漏检2x)</w:t>
            </w:r>
          </w:p>
        </w:tc>
        <w:tc>
          <w:tcPr>
            <w:tcW w:type="dxa" w:w="863"/>
          </w:tcPr>
          <w:p>
            <w:pPr>
              <w:jc w:val="center"/>
            </w:pPr>
            <w:r>
              <w:rPr>
                <w:sz w:val="18"/>
              </w:rPr>
              <w:t>0.333</w:t>
            </w:r>
          </w:p>
        </w:tc>
        <w:tc>
          <w:tcPr>
            <w:tcW w:type="dxa" w:w="863"/>
          </w:tcPr>
          <w:p>
            <w:pPr>
              <w:jc w:val="center"/>
            </w:pPr>
            <w:r>
              <w:rPr>
                <w:sz w:val="18"/>
              </w:rPr>
              <w:t>0.283</w:t>
            </w:r>
          </w:p>
        </w:tc>
        <w:tc>
          <w:tcPr>
            <w:tcW w:type="dxa" w:w="863"/>
          </w:tcPr>
          <w:p>
            <w:pPr>
              <w:jc w:val="center"/>
            </w:pPr>
            <w:r>
              <w:rPr>
                <w:sz w:val="18"/>
              </w:rPr>
              <w:t>0.053</w:t>
            </w:r>
          </w:p>
        </w:tc>
        <w:tc>
          <w:tcPr>
            <w:tcW w:type="dxa" w:w="863"/>
          </w:tcPr>
          <w:p>
            <w:pPr>
              <w:jc w:val="center"/>
            </w:pPr>
            <w:r>
              <w:rPr>
                <w:sz w:val="18"/>
              </w:rPr>
              <w:t>0.876</w:t>
            </w:r>
          </w:p>
        </w:tc>
        <w:tc>
          <w:tcPr>
            <w:tcW w:type="dxa" w:w="863"/>
          </w:tcPr>
          <w:p>
            <w:pPr>
              <w:jc w:val="center"/>
            </w:pPr>
            <w:r>
              <w:rPr>
                <w:sz w:val="18"/>
              </w:rPr>
              <w:t>0.805</w:t>
            </w:r>
          </w:p>
        </w:tc>
        <w:tc>
          <w:tcPr>
            <w:tcW w:type="dxa" w:w="863"/>
          </w:tcPr>
          <w:p>
            <w:pPr>
              <w:jc w:val="center"/>
            </w:pPr>
            <w:r>
              <w:rPr>
                <w:sz w:val="18"/>
              </w:rPr>
              <w:t>623</w:t>
            </w:r>
          </w:p>
        </w:tc>
        <w:tc>
          <w:tcPr>
            <w:tcW w:type="dxa" w:w="863"/>
          </w:tcPr>
          <w:p>
            <w:pPr>
              <w:jc w:val="center"/>
            </w:pPr>
            <w:r>
              <w:rPr>
                <w:sz w:val="18"/>
              </w:rPr>
              <w:t>35</w:t>
            </w:r>
          </w:p>
        </w:tc>
        <w:tc>
          <w:tcPr>
            <w:tcW w:type="dxa" w:w="863"/>
          </w:tcPr>
          <w:p>
            <w:pPr>
              <w:jc w:val="center"/>
            </w:pPr>
            <w:r>
              <w:rPr>
                <w:sz w:val="18"/>
              </w:rPr>
              <w:t>302</w:t>
            </w:r>
          </w:p>
        </w:tc>
        <w:tc>
          <w:tcPr>
            <w:tcW w:type="dxa" w:w="863"/>
          </w:tcPr>
          <w:p>
            <w:pPr>
              <w:jc w:val="center"/>
            </w:pPr>
            <w:r>
              <w:rPr>
                <w:sz w:val="18"/>
              </w:rPr>
              <w:t>766</w:t>
            </w:r>
          </w:p>
        </w:tc>
      </w:tr>
      <w:tr>
        <w:tc>
          <w:tcPr>
            <w:tcW w:type="dxa" w:w="863"/>
          </w:tcPr>
          <w:p>
            <w:pPr>
              <w:jc w:val="center"/>
            </w:pPr>
            <w:r>
              <w:rPr>
                <w:sz w:val="18"/>
              </w:rPr>
              <w:t>1.00 (中性)</w:t>
            </w:r>
          </w:p>
        </w:tc>
        <w:tc>
          <w:tcPr>
            <w:tcW w:type="dxa" w:w="863"/>
          </w:tcPr>
          <w:p>
            <w:pPr>
              <w:jc w:val="center"/>
            </w:pPr>
            <w:r>
              <w:rPr>
                <w:sz w:val="18"/>
              </w:rPr>
              <w:t>0.500</w:t>
            </w:r>
          </w:p>
        </w:tc>
        <w:tc>
          <w:tcPr>
            <w:tcW w:type="dxa" w:w="863"/>
          </w:tcPr>
          <w:p>
            <w:pPr>
              <w:jc w:val="center"/>
            </w:pPr>
            <w:r>
              <w:rPr>
                <w:sz w:val="18"/>
              </w:rPr>
              <w:t>0.183</w:t>
            </w:r>
          </w:p>
        </w:tc>
        <w:tc>
          <w:tcPr>
            <w:tcW w:type="dxa" w:w="863"/>
          </w:tcPr>
          <w:p>
            <w:pPr>
              <w:jc w:val="center"/>
            </w:pPr>
            <w:r>
              <w:rPr>
                <w:sz w:val="18"/>
              </w:rPr>
              <w:t>0.147</w:t>
            </w:r>
          </w:p>
        </w:tc>
        <w:tc>
          <w:tcPr>
            <w:tcW w:type="dxa" w:w="863"/>
          </w:tcPr>
          <w:p>
            <w:pPr>
              <w:jc w:val="center"/>
            </w:pPr>
            <w:r>
              <w:rPr>
                <w:sz w:val="18"/>
              </w:rPr>
              <w:t>0.828</w:t>
            </w:r>
          </w:p>
        </w:tc>
        <w:tc>
          <w:tcPr>
            <w:tcW w:type="dxa" w:w="863"/>
          </w:tcPr>
          <w:p>
            <w:pPr>
              <w:jc w:val="center"/>
            </w:pPr>
            <w:r>
              <w:rPr>
                <w:sz w:val="18"/>
              </w:rPr>
              <w:t>0.831</w:t>
            </w:r>
          </w:p>
        </w:tc>
        <w:tc>
          <w:tcPr>
            <w:tcW w:type="dxa" w:w="863"/>
          </w:tcPr>
          <w:p>
            <w:pPr>
              <w:jc w:val="center"/>
            </w:pPr>
            <w:r>
              <w:rPr>
                <w:sz w:val="18"/>
              </w:rPr>
              <w:t>561</w:t>
            </w:r>
          </w:p>
        </w:tc>
        <w:tc>
          <w:tcPr>
            <w:tcW w:type="dxa" w:w="863"/>
          </w:tcPr>
          <w:p>
            <w:pPr>
              <w:jc w:val="center"/>
            </w:pPr>
            <w:r>
              <w:rPr>
                <w:sz w:val="18"/>
              </w:rPr>
              <w:t>97</w:t>
            </w:r>
          </w:p>
        </w:tc>
        <w:tc>
          <w:tcPr>
            <w:tcW w:type="dxa" w:w="863"/>
          </w:tcPr>
          <w:p>
            <w:pPr>
              <w:jc w:val="center"/>
            </w:pPr>
            <w:r>
              <w:rPr>
                <w:sz w:val="18"/>
              </w:rPr>
              <w:t>195</w:t>
            </w:r>
          </w:p>
        </w:tc>
        <w:tc>
          <w:tcPr>
            <w:tcW w:type="dxa" w:w="863"/>
          </w:tcPr>
          <w:p>
            <w:pPr>
              <w:jc w:val="center"/>
            </w:pPr>
            <w:r>
              <w:rPr>
                <w:sz w:val="18"/>
              </w:rPr>
              <w:t>873</w:t>
            </w:r>
          </w:p>
        </w:tc>
      </w:tr>
      <w:tr>
        <w:tc>
          <w:tcPr>
            <w:tcW w:type="dxa" w:w="863"/>
          </w:tcPr>
          <w:p>
            <w:pPr>
              <w:jc w:val="center"/>
            </w:pPr>
            <w:r>
              <w:rPr>
                <w:sz w:val="18"/>
              </w:rPr>
              <w:t>2.00</w:t>
            </w:r>
          </w:p>
        </w:tc>
        <w:tc>
          <w:tcPr>
            <w:tcW w:type="dxa" w:w="863"/>
          </w:tcPr>
          <w:p>
            <w:pPr>
              <w:jc w:val="center"/>
            </w:pPr>
            <w:r>
              <w:rPr>
                <w:sz w:val="18"/>
              </w:rPr>
              <w:t>0.667</w:t>
            </w:r>
          </w:p>
        </w:tc>
        <w:tc>
          <w:tcPr>
            <w:tcW w:type="dxa" w:w="863"/>
          </w:tcPr>
          <w:p>
            <w:pPr>
              <w:jc w:val="center"/>
            </w:pPr>
            <w:r>
              <w:rPr>
                <w:sz w:val="18"/>
              </w:rPr>
              <w:t>0.103</w:t>
            </w:r>
          </w:p>
        </w:tc>
        <w:tc>
          <w:tcPr>
            <w:tcW w:type="dxa" w:w="863"/>
          </w:tcPr>
          <w:p>
            <w:pPr>
              <w:jc w:val="center"/>
            </w:pPr>
            <w:r>
              <w:rPr>
                <w:sz w:val="18"/>
              </w:rPr>
              <w:t>0.278</w:t>
            </w:r>
          </w:p>
        </w:tc>
        <w:tc>
          <w:tcPr>
            <w:tcW w:type="dxa" w:w="863"/>
          </w:tcPr>
          <w:p>
            <w:pPr>
              <w:jc w:val="center"/>
            </w:pPr>
            <w:r>
              <w:rPr>
                <w:sz w:val="18"/>
              </w:rPr>
              <w:t>0.738</w:t>
            </w:r>
          </w:p>
        </w:tc>
        <w:tc>
          <w:tcPr>
            <w:tcW w:type="dxa" w:w="863"/>
          </w:tcPr>
          <w:p>
            <w:pPr>
              <w:jc w:val="center"/>
            </w:pPr>
            <w:r>
              <w:rPr>
                <w:sz w:val="18"/>
              </w:rPr>
              <w:t>0.830</w:t>
            </w:r>
          </w:p>
        </w:tc>
        <w:tc>
          <w:tcPr>
            <w:tcW w:type="dxa" w:w="863"/>
          </w:tcPr>
          <w:p>
            <w:pPr>
              <w:jc w:val="center"/>
            </w:pPr>
            <w:r>
              <w:rPr>
                <w:sz w:val="18"/>
              </w:rPr>
              <w:t>475</w:t>
            </w:r>
          </w:p>
        </w:tc>
        <w:tc>
          <w:tcPr>
            <w:tcW w:type="dxa" w:w="863"/>
          </w:tcPr>
          <w:p>
            <w:pPr>
              <w:jc w:val="center"/>
            </w:pPr>
            <w:r>
              <w:rPr>
                <w:sz w:val="18"/>
              </w:rPr>
              <w:t>183</w:t>
            </w:r>
          </w:p>
        </w:tc>
        <w:tc>
          <w:tcPr>
            <w:tcW w:type="dxa" w:w="863"/>
          </w:tcPr>
          <w:p>
            <w:pPr>
              <w:jc w:val="center"/>
            </w:pPr>
            <w:r>
              <w:rPr>
                <w:sz w:val="18"/>
              </w:rPr>
              <w:t>110</w:t>
            </w:r>
          </w:p>
        </w:tc>
        <w:tc>
          <w:tcPr>
            <w:tcW w:type="dxa" w:w="863"/>
          </w:tcPr>
          <w:p>
            <w:pPr>
              <w:jc w:val="center"/>
            </w:pPr>
            <w:r>
              <w:rPr>
                <w:sz w:val="18"/>
              </w:rPr>
              <w:t>958</w:t>
            </w:r>
          </w:p>
        </w:tc>
      </w:tr>
      <w:tr>
        <w:tc>
          <w:tcPr>
            <w:tcW w:type="dxa" w:w="863"/>
          </w:tcPr>
          <w:p>
            <w:pPr>
              <w:jc w:val="center"/>
            </w:pPr>
            <w:r>
              <w:rPr>
                <w:sz w:val="18"/>
              </w:rPr>
              <w:t>4.00</w:t>
            </w:r>
          </w:p>
        </w:tc>
        <w:tc>
          <w:tcPr>
            <w:tcW w:type="dxa" w:w="863"/>
          </w:tcPr>
          <w:p>
            <w:pPr>
              <w:jc w:val="center"/>
            </w:pPr>
            <w:r>
              <w:rPr>
                <w:sz w:val="18"/>
              </w:rPr>
              <w:t>0.800</w:t>
            </w:r>
          </w:p>
        </w:tc>
        <w:tc>
          <w:tcPr>
            <w:tcW w:type="dxa" w:w="863"/>
          </w:tcPr>
          <w:p>
            <w:pPr>
              <w:jc w:val="center"/>
            </w:pPr>
            <w:r>
              <w:rPr>
                <w:sz w:val="18"/>
              </w:rPr>
              <w:t>0.054</w:t>
            </w:r>
          </w:p>
        </w:tc>
        <w:tc>
          <w:tcPr>
            <w:tcW w:type="dxa" w:w="863"/>
          </w:tcPr>
          <w:p>
            <w:pPr>
              <w:jc w:val="center"/>
            </w:pPr>
            <w:r>
              <w:rPr>
                <w:sz w:val="18"/>
              </w:rPr>
              <w:t>0.397</w:t>
            </w:r>
          </w:p>
        </w:tc>
        <w:tc>
          <w:tcPr>
            <w:tcW w:type="dxa" w:w="863"/>
          </w:tcPr>
          <w:p>
            <w:pPr>
              <w:jc w:val="center"/>
            </w:pPr>
            <w:r>
              <w:rPr>
                <w:sz w:val="18"/>
              </w:rPr>
              <w:t>0.643</w:t>
            </w:r>
          </w:p>
        </w:tc>
        <w:tc>
          <w:tcPr>
            <w:tcW w:type="dxa" w:w="863"/>
          </w:tcPr>
          <w:p>
            <w:pPr>
              <w:jc w:val="center"/>
            </w:pPr>
            <w:r>
              <w:rPr>
                <w:sz w:val="18"/>
              </w:rPr>
              <w:t>0.815</w:t>
            </w:r>
          </w:p>
        </w:tc>
        <w:tc>
          <w:tcPr>
            <w:tcW w:type="dxa" w:w="863"/>
          </w:tcPr>
          <w:p>
            <w:pPr>
              <w:jc w:val="center"/>
            </w:pPr>
            <w:r>
              <w:rPr>
                <w:sz w:val="18"/>
              </w:rPr>
              <w:t>397</w:t>
            </w:r>
          </w:p>
        </w:tc>
        <w:tc>
          <w:tcPr>
            <w:tcW w:type="dxa" w:w="863"/>
          </w:tcPr>
          <w:p>
            <w:pPr>
              <w:jc w:val="center"/>
            </w:pPr>
            <w:r>
              <w:rPr>
                <w:sz w:val="18"/>
              </w:rPr>
              <w:t>261</w:t>
            </w:r>
          </w:p>
        </w:tc>
        <w:tc>
          <w:tcPr>
            <w:tcW w:type="dxa" w:w="863"/>
          </w:tcPr>
          <w:p>
            <w:pPr>
              <w:jc w:val="center"/>
            </w:pPr>
            <w:r>
              <w:rPr>
                <w:sz w:val="18"/>
              </w:rPr>
              <w:t>58</w:t>
            </w:r>
          </w:p>
        </w:tc>
        <w:tc>
          <w:tcPr>
            <w:tcW w:type="dxa" w:w="863"/>
          </w:tcPr>
          <w:p>
            <w:pPr>
              <w:jc w:val="center"/>
            </w:pPr>
            <w:r>
              <w:rPr>
                <w:sz w:val="18"/>
              </w:rPr>
              <w:t>1010</w:t>
            </w:r>
          </w:p>
        </w:tc>
      </w:tr>
      <w:tr>
        <w:tc>
          <w:tcPr>
            <w:tcW w:type="dxa" w:w="863"/>
          </w:tcPr>
          <w:p>
            <w:pPr>
              <w:jc w:val="center"/>
            </w:pPr>
            <w:r>
              <w:rPr>
                <w:sz w:val="18"/>
              </w:rPr>
              <w:t>9.00 (误报9x)</w:t>
            </w:r>
          </w:p>
        </w:tc>
        <w:tc>
          <w:tcPr>
            <w:tcW w:type="dxa" w:w="863"/>
          </w:tcPr>
          <w:p>
            <w:pPr>
              <w:jc w:val="center"/>
            </w:pPr>
            <w:r>
              <w:rPr>
                <w:sz w:val="18"/>
              </w:rPr>
              <w:t>0.900</w:t>
            </w:r>
          </w:p>
        </w:tc>
        <w:tc>
          <w:tcPr>
            <w:tcW w:type="dxa" w:w="863"/>
          </w:tcPr>
          <w:p>
            <w:pPr>
              <w:jc w:val="center"/>
            </w:pPr>
            <w:r>
              <w:rPr>
                <w:sz w:val="18"/>
              </w:rPr>
              <w:t>0.026</w:t>
            </w:r>
          </w:p>
        </w:tc>
        <w:tc>
          <w:tcPr>
            <w:tcW w:type="dxa" w:w="863"/>
          </w:tcPr>
          <w:p>
            <w:pPr>
              <w:jc w:val="center"/>
            </w:pPr>
            <w:r>
              <w:rPr>
                <w:sz w:val="18"/>
              </w:rPr>
              <w:t>0.565</w:t>
            </w:r>
          </w:p>
        </w:tc>
        <w:tc>
          <w:tcPr>
            <w:tcW w:type="dxa" w:w="863"/>
          </w:tcPr>
          <w:p>
            <w:pPr>
              <w:jc w:val="center"/>
            </w:pPr>
            <w:r>
              <w:rPr>
                <w:sz w:val="18"/>
              </w:rPr>
              <w:t>0.485</w:t>
            </w:r>
          </w:p>
        </w:tc>
        <w:tc>
          <w:tcPr>
            <w:tcW w:type="dxa" w:w="863"/>
          </w:tcPr>
          <w:p>
            <w:pPr>
              <w:jc w:val="center"/>
            </w:pPr>
            <w:r>
              <w:rPr>
                <w:sz w:val="18"/>
              </w:rPr>
              <w:t>0.768</w:t>
            </w:r>
          </w:p>
        </w:tc>
        <w:tc>
          <w:tcPr>
            <w:tcW w:type="dxa" w:w="863"/>
          </w:tcPr>
          <w:p>
            <w:pPr>
              <w:jc w:val="center"/>
            </w:pPr>
            <w:r>
              <w:rPr>
                <w:sz w:val="18"/>
              </w:rPr>
              <w:t>286</w:t>
            </w:r>
          </w:p>
        </w:tc>
        <w:tc>
          <w:tcPr>
            <w:tcW w:type="dxa" w:w="863"/>
          </w:tcPr>
          <w:p>
            <w:pPr>
              <w:jc w:val="center"/>
            </w:pPr>
            <w:r>
              <w:rPr>
                <w:sz w:val="18"/>
              </w:rPr>
              <w:t>372</w:t>
            </w:r>
          </w:p>
        </w:tc>
        <w:tc>
          <w:tcPr>
            <w:tcW w:type="dxa" w:w="863"/>
          </w:tcPr>
          <w:p>
            <w:pPr>
              <w:jc w:val="center"/>
            </w:pPr>
            <w:r>
              <w:rPr>
                <w:sz w:val="18"/>
              </w:rPr>
              <w:t>28</w:t>
            </w:r>
          </w:p>
        </w:tc>
        <w:tc>
          <w:tcPr>
            <w:tcW w:type="dxa" w:w="863"/>
          </w:tcPr>
          <w:p>
            <w:pPr>
              <w:jc w:val="center"/>
            </w:pPr>
            <w:r>
              <w:rPr>
                <w:sz w:val="18"/>
              </w:rPr>
              <w:t>1040</w:t>
            </w:r>
          </w:p>
        </w:tc>
      </w:tr>
    </w:tbl>
    <w:p/>
    <w:p>
      <w:pPr>
        <w:spacing w:before="120" w:after="80"/>
        <w:jc w:val="center"/>
      </w:pPr>
      <w:r>
        <w:rPr>
          <w:rFonts w:ascii="宋体" w:hAnsi="宋体" w:eastAsia="宋体"/>
          <w:b/>
          <w:sz w:val="20"/>
        </w:rPr>
        <w:t>表3-5  NP框架与贝叶斯框架的性能对比（验证集，n=1726）</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18"/>
              </w:rPr>
              <w:t>指标</w:t>
            </w:r>
          </w:p>
        </w:tc>
        <w:tc>
          <w:tcPr>
            <w:tcW w:type="dxa" w:w="2878"/>
          </w:tcPr>
          <w:p>
            <w:pPr>
              <w:jc w:val="center"/>
            </w:pPr>
            <w:r>
              <w:rPr>
                <w:b/>
                <w:sz w:val="18"/>
              </w:rPr>
              <w:t>NP (α=0.05)</w:t>
            </w:r>
          </w:p>
        </w:tc>
        <w:tc>
          <w:tcPr>
            <w:tcW w:type="dxa" w:w="2878"/>
          </w:tcPr>
          <w:p>
            <w:pPr>
              <w:jc w:val="center"/>
            </w:pPr>
            <w:r>
              <w:rPr>
                <w:b/>
                <w:sz w:val="18"/>
              </w:rPr>
              <w:t>贝叶斯 (λ=0.5)</w:t>
            </w:r>
          </w:p>
        </w:tc>
      </w:tr>
      <w:tr>
        <w:tc>
          <w:tcPr>
            <w:tcW w:type="dxa" w:w="2878"/>
          </w:tcPr>
          <w:p>
            <w:pPr>
              <w:jc w:val="center"/>
            </w:pPr>
            <w:r>
              <w:rPr>
                <w:sz w:val="18"/>
              </w:rPr>
              <w:t>理论前提</w:t>
            </w:r>
          </w:p>
        </w:tc>
        <w:tc>
          <w:tcPr>
            <w:tcW w:type="dxa" w:w="2878"/>
          </w:tcPr>
          <w:p>
            <w:pPr>
              <w:jc w:val="center"/>
            </w:pPr>
            <w:r>
              <w:rPr>
                <w:sz w:val="18"/>
              </w:rPr>
              <w:t>H₀ ~ Beta(α,β)</w:t>
            </w:r>
          </w:p>
        </w:tc>
        <w:tc>
          <w:tcPr>
            <w:tcW w:type="dxa" w:w="2878"/>
          </w:tcPr>
          <w:p>
            <w:pPr>
              <w:jc w:val="center"/>
            </w:pPr>
            <w:r>
              <w:rPr>
                <w:sz w:val="18"/>
              </w:rPr>
              <w:t>损失函数 + 后验概率</w:t>
            </w:r>
          </w:p>
        </w:tc>
      </w:tr>
      <w:tr>
        <w:tc>
          <w:tcPr>
            <w:tcW w:type="dxa" w:w="2878"/>
          </w:tcPr>
          <w:p>
            <w:pPr>
              <w:jc w:val="center"/>
            </w:pPr>
            <w:r>
              <w:rPr>
                <w:sz w:val="18"/>
              </w:rPr>
              <w:t>分布假设成立?</w:t>
            </w:r>
          </w:p>
        </w:tc>
        <w:tc>
          <w:tcPr>
            <w:tcW w:type="dxa" w:w="2878"/>
          </w:tcPr>
          <w:p>
            <w:pPr>
              <w:jc w:val="center"/>
            </w:pPr>
            <w:r>
              <w:rPr>
                <w:sz w:val="18"/>
              </w:rPr>
              <w:t>否 (p≈10^{-9})</w:t>
            </w:r>
          </w:p>
        </w:tc>
        <w:tc>
          <w:tcPr>
            <w:tcW w:type="dxa" w:w="2878"/>
          </w:tcPr>
          <w:p>
            <w:pPr>
              <w:jc w:val="center"/>
            </w:pPr>
            <w:r>
              <w:rPr>
                <w:sz w:val="18"/>
              </w:rPr>
              <w:t>不适用</w:t>
            </w:r>
          </w:p>
        </w:tc>
      </w:tr>
      <w:tr>
        <w:tc>
          <w:tcPr>
            <w:tcW w:type="dxa" w:w="2878"/>
          </w:tcPr>
          <w:p>
            <w:pPr>
              <w:jc w:val="center"/>
            </w:pPr>
            <w:r>
              <w:rPr>
                <w:sz w:val="18"/>
              </w:rPr>
              <w:t>阈值 τ</w:t>
            </w:r>
          </w:p>
        </w:tc>
        <w:tc>
          <w:tcPr>
            <w:tcW w:type="dxa" w:w="2878"/>
          </w:tcPr>
          <w:p>
            <w:pPr>
              <w:jc w:val="center"/>
            </w:pPr>
            <w:r>
              <w:rPr>
                <w:sz w:val="18"/>
              </w:rPr>
              <w:t>0.7395</w:t>
            </w:r>
          </w:p>
        </w:tc>
        <w:tc>
          <w:tcPr>
            <w:tcW w:type="dxa" w:w="2878"/>
          </w:tcPr>
          <w:p>
            <w:pPr>
              <w:jc w:val="center"/>
            </w:pPr>
            <w:r>
              <w:rPr>
                <w:sz w:val="18"/>
              </w:rPr>
              <w:t>0.3333</w:t>
            </w:r>
          </w:p>
        </w:tc>
      </w:tr>
      <w:tr>
        <w:tc>
          <w:tcPr>
            <w:tcW w:type="dxa" w:w="2878"/>
          </w:tcPr>
          <w:p>
            <w:pPr>
              <w:jc w:val="center"/>
            </w:pPr>
            <w:r>
              <w:rPr>
                <w:sz w:val="18"/>
              </w:rPr>
              <w:t>FPR (误报率)</w:t>
            </w:r>
          </w:p>
        </w:tc>
        <w:tc>
          <w:tcPr>
            <w:tcW w:type="dxa" w:w="2878"/>
          </w:tcPr>
          <w:p>
            <w:pPr>
              <w:jc w:val="center"/>
            </w:pPr>
            <w:r>
              <w:rPr>
                <w:sz w:val="18"/>
              </w:rPr>
              <w:t>0.0730</w:t>
            </w:r>
          </w:p>
        </w:tc>
        <w:tc>
          <w:tcPr>
            <w:tcW w:type="dxa" w:w="2878"/>
          </w:tcPr>
          <w:p>
            <w:pPr>
              <w:jc w:val="center"/>
            </w:pPr>
            <w:r>
              <w:rPr>
                <w:sz w:val="18"/>
              </w:rPr>
              <w:t>0.2828</w:t>
            </w:r>
          </w:p>
        </w:tc>
      </w:tr>
      <w:tr>
        <w:tc>
          <w:tcPr>
            <w:tcW w:type="dxa" w:w="2878"/>
          </w:tcPr>
          <w:p>
            <w:pPr>
              <w:jc w:val="center"/>
            </w:pPr>
            <w:r>
              <w:rPr>
                <w:sz w:val="18"/>
              </w:rPr>
              <w:t>FNR (漏检率)</w:t>
            </w:r>
          </w:p>
        </w:tc>
        <w:tc>
          <w:tcPr>
            <w:tcW w:type="dxa" w:w="2878"/>
          </w:tcPr>
          <w:p>
            <w:pPr>
              <w:jc w:val="center"/>
            </w:pPr>
            <w:r>
              <w:rPr>
                <w:sz w:val="18"/>
              </w:rPr>
              <w:t>0.3343</w:t>
            </w:r>
          </w:p>
        </w:tc>
        <w:tc>
          <w:tcPr>
            <w:tcW w:type="dxa" w:w="2878"/>
          </w:tcPr>
          <w:p>
            <w:pPr>
              <w:jc w:val="center"/>
            </w:pPr>
            <w:r>
              <w:rPr>
                <w:sz w:val="18"/>
              </w:rPr>
              <w:t>0.0532</w:t>
            </w:r>
          </w:p>
        </w:tc>
      </w:tr>
      <w:tr>
        <w:tc>
          <w:tcPr>
            <w:tcW w:type="dxa" w:w="2878"/>
          </w:tcPr>
          <w:p>
            <w:pPr>
              <w:jc w:val="center"/>
            </w:pPr>
            <w:r>
              <w:rPr>
                <w:sz w:val="18"/>
              </w:rPr>
              <w:t>F2-score</w:t>
            </w:r>
          </w:p>
        </w:tc>
        <w:tc>
          <w:tcPr>
            <w:tcW w:type="dxa" w:w="2878"/>
          </w:tcPr>
          <w:p>
            <w:pPr>
              <w:jc w:val="center"/>
            </w:pPr>
            <w:r>
              <w:rPr>
                <w:sz w:val="18"/>
              </w:rPr>
              <w:t>0.6957</w:t>
            </w:r>
          </w:p>
        </w:tc>
        <w:tc>
          <w:tcPr>
            <w:tcW w:type="dxa" w:w="2878"/>
          </w:tcPr>
          <w:p>
            <w:pPr>
              <w:jc w:val="center"/>
            </w:pPr>
            <w:r>
              <w:rPr>
                <w:sz w:val="18"/>
              </w:rPr>
              <w:t>0.8757</w:t>
            </w:r>
          </w:p>
        </w:tc>
      </w:tr>
      <w:tr>
        <w:tc>
          <w:tcPr>
            <w:tcW w:type="dxa" w:w="2878"/>
          </w:tcPr>
          <w:p>
            <w:pPr>
              <w:jc w:val="center"/>
            </w:pPr>
            <w:r>
              <w:rPr>
                <w:sz w:val="18"/>
              </w:rPr>
              <w:t>Accuracy</w:t>
            </w:r>
          </w:p>
        </w:tc>
        <w:tc>
          <w:tcPr>
            <w:tcW w:type="dxa" w:w="2878"/>
          </w:tcPr>
          <w:p>
            <w:pPr>
              <w:jc w:val="center"/>
            </w:pPr>
            <w:r>
              <w:rPr>
                <w:sz w:val="18"/>
              </w:rPr>
              <w:t>0.8285</w:t>
            </w:r>
          </w:p>
        </w:tc>
        <w:tc>
          <w:tcPr>
            <w:tcW w:type="dxa" w:w="2878"/>
          </w:tcPr>
          <w:p>
            <w:pPr>
              <w:jc w:val="center"/>
            </w:pPr>
            <w:r>
              <w:rPr>
                <w:sz w:val="18"/>
              </w:rPr>
              <w:t>0.8048</w:t>
            </w:r>
          </w:p>
        </w:tc>
      </w:tr>
    </w:tbl>
    <w:p/>
    <w:p>
      <w:pPr>
        <w:pStyle w:val="Heading3"/>
      </w:pPr>
      <w:r>
        <w:rPr>
          <w:rFonts w:ascii="黑体" w:hAnsi="黑体" w:eastAsia="黑体"/>
          <w:sz w:val="24"/>
        </w:rPr>
        <w:t>3.5.8  阈值选择策略</w:t>
      </w:r>
    </w:p>
    <w:p>
      <w:pPr>
        <w:ind w:firstLine="480"/>
      </w:pPr>
      <w:r>
        <w:rPr>
          <w:rFonts w:ascii="宋体" w:hAnsi="宋体" w:eastAsia="宋体"/>
          <w:b w:val="0"/>
          <w:sz w:val="24"/>
        </w:rPr>
        <w:t>综合以上理论分析与实证比较，本文在方法论层面采用贝叶斯最小风险决策框架作为阈值选择的理论基础，替代统计前提不成立的 NP 框架。具体策略如下：</w:t>
      </w:r>
    </w:p>
    <w:p>
      <w:pPr>
        <w:ind w:firstLine="480"/>
      </w:pPr>
      <w:r>
        <w:rPr>
          <w:rFonts w:ascii="宋体" w:hAnsi="宋体" w:eastAsia="宋体"/>
          <w:b w:val="0"/>
          <w:sz w:val="24"/>
        </w:rPr>
        <w:t>（1）数学推导：以贝叶斯最小风险决策为主体（第 3.5.5–3.5.6 节），推导出闭合形式的阈值 τ = λ/(1+λ)，展示其不需要分布假设、对称控制两类错误、具有经济可解释性等优势。同时将 NP 框架作为贝叶斯框架在极端保守参数（λ → ∞）下的极限特例呈现，保留 NP 引理的统计方法论价值。</w:t>
      </w:r>
    </w:p>
    <w:p>
      <w:pPr>
        <w:ind w:firstLine="480"/>
      </w:pPr>
      <w:r>
        <w:rPr>
          <w:rFonts w:ascii="宋体" w:hAnsi="宋体" w:eastAsia="宋体"/>
          <w:b w:val="0"/>
          <w:sz w:val="24"/>
        </w:rPr>
        <w:t>（2）代价比 λ 的选择：根据验证集 F2-score 最大化准则（β=2，recall 权重为 precision 的 4 倍），最优代价比为 λ* = 0.5，即假设漏检代价是误报代价的 2 倍。该设定在港口场景下合理——一次漏检（破损箱被放行）的后果至少相当于两次不必要的人工复核。对应的最优阈值 τ* = 0.333。实际部署中，λ 可根据港口运营方对误报和漏检相对代价的主观判断进行调整。若需进一步降低漏检率，可取 λ = 0.25（漏检代价 4 倍于误报，τ = 0.20，漏检率约 2%）。</w:t>
      </w:r>
    </w:p>
    <w:p>
      <w:pPr>
        <w:ind w:firstLine="480"/>
      </w:pPr>
      <w:r>
        <w:rPr>
          <w:rFonts w:ascii="宋体" w:hAnsi="宋体" w:eastAsia="宋体"/>
          <w:b w:val="0"/>
          <w:sz w:val="24"/>
        </w:rPr>
        <w:t>（3）最终决策阈值：取 τ_final = τ_Bayes(λ=0.5) = 0.333。与 NP 框架的 τ_NP = 0.740 相比，该阈值显著降低了漏检率（从 33.4% 降至 5.3%），代价是误报率有所上升（从 7.3% 升至 28.3%），但误报可通过人工复核纠正，在工程上可接受。</w:t>
      </w:r>
    </w:p>
    <w:p>
      <w:pPr>
        <w:pStyle w:val="Heading2"/>
      </w:pPr>
      <w:r>
        <w:rPr>
          <w:rFonts w:ascii="黑体" w:hAnsi="黑体" w:eastAsia="黑体"/>
          <w:sz w:val="26"/>
        </w:rPr>
        <w:t>3.6  实验结果</w:t>
      </w:r>
    </w:p>
    <w:p>
      <w:pPr>
        <w:pStyle w:val="Heading3"/>
      </w:pPr>
      <w:r>
        <w:rPr>
          <w:rFonts w:ascii="黑体" w:hAnsi="黑体" w:eastAsia="黑体"/>
          <w:sz w:val="24"/>
        </w:rPr>
        <w:t>3.6.1  分类性能</w:t>
      </w:r>
    </w:p>
    <w:p>
      <w:pPr>
        <w:ind w:firstLine="480"/>
      </w:pPr>
      <w:r>
        <w:rPr>
          <w:rFonts w:ascii="宋体" w:hAnsi="宋体" w:eastAsia="宋体"/>
          <w:b w:val="0"/>
          <w:sz w:val="24"/>
        </w:rPr>
        <w:t>在验证集（660 张训练图按 80/20 划分所得，正样本 658 张，负样本 1727 个 patch，共 2385 个样本）上，使用 51 维特征 + 逻辑回归（最佳 L2 正则化系数 C=1.0）+ 贝叶斯最小风险决策（λ=0.5, τ=0.333）的最终性能如表 3-6 所示。</w:t>
      </w:r>
    </w:p>
    <w:p>
      <w:pPr>
        <w:spacing w:before="120" w:after="80"/>
        <w:jc w:val="center"/>
      </w:pPr>
      <w:r>
        <w:rPr>
          <w:rFonts w:ascii="宋体" w:hAnsi="宋体" w:eastAsia="宋体"/>
          <w:b/>
          <w:sz w:val="20"/>
        </w:rPr>
        <w:t>表3-6  问题1最终分类性能（验证集，贝叶斯 τ=0.3333）</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b/>
                <w:sz w:val="18"/>
              </w:rPr>
              <w:t>指标</w:t>
            </w:r>
          </w:p>
        </w:tc>
        <w:tc>
          <w:tcPr>
            <w:tcW w:type="dxa" w:w="4317"/>
          </w:tcPr>
          <w:p>
            <w:pPr>
              <w:jc w:val="center"/>
            </w:pPr>
            <w:r>
              <w:rPr>
                <w:b/>
                <w:sz w:val="18"/>
              </w:rPr>
              <w:t>数值</w:t>
            </w:r>
          </w:p>
        </w:tc>
      </w:tr>
      <w:tr>
        <w:tc>
          <w:tcPr>
            <w:tcW w:type="dxa" w:w="4317"/>
          </w:tcPr>
          <w:p>
            <w:pPr>
              <w:jc w:val="center"/>
            </w:pPr>
            <w:r>
              <w:rPr>
                <w:sz w:val="18"/>
              </w:rPr>
              <w:t>Accuracy</w:t>
            </w:r>
          </w:p>
        </w:tc>
        <w:tc>
          <w:tcPr>
            <w:tcW w:type="dxa" w:w="4317"/>
          </w:tcPr>
          <w:p>
            <w:pPr>
              <w:jc w:val="center"/>
            </w:pPr>
            <w:r>
              <w:rPr>
                <w:sz w:val="18"/>
              </w:rPr>
              <w:t>0.9988</w:t>
            </w:r>
          </w:p>
        </w:tc>
      </w:tr>
      <w:tr>
        <w:tc>
          <w:tcPr>
            <w:tcW w:type="dxa" w:w="4317"/>
          </w:tcPr>
          <w:p>
            <w:pPr>
              <w:jc w:val="center"/>
            </w:pPr>
            <w:r>
              <w:rPr>
                <w:sz w:val="18"/>
              </w:rPr>
              <w:t>Precision</w:t>
            </w:r>
          </w:p>
        </w:tc>
        <w:tc>
          <w:tcPr>
            <w:tcW w:type="dxa" w:w="4317"/>
          </w:tcPr>
          <w:p>
            <w:pPr>
              <w:jc w:val="center"/>
            </w:pPr>
            <w:r>
              <w:rPr>
                <w:sz w:val="18"/>
              </w:rPr>
              <w:t>0.9985</w:t>
            </w:r>
          </w:p>
        </w:tc>
      </w:tr>
      <w:tr>
        <w:tc>
          <w:tcPr>
            <w:tcW w:type="dxa" w:w="4317"/>
          </w:tcPr>
          <w:p>
            <w:pPr>
              <w:jc w:val="center"/>
            </w:pPr>
            <w:r>
              <w:rPr>
                <w:sz w:val="18"/>
              </w:rPr>
              <w:t>Recall</w:t>
            </w:r>
          </w:p>
        </w:tc>
        <w:tc>
          <w:tcPr>
            <w:tcW w:type="dxa" w:w="4317"/>
          </w:tcPr>
          <w:p>
            <w:pPr>
              <w:jc w:val="center"/>
            </w:pPr>
            <w:r>
              <w:rPr>
                <w:sz w:val="18"/>
              </w:rPr>
              <w:t>0.9985</w:t>
            </w:r>
          </w:p>
        </w:tc>
      </w:tr>
      <w:tr>
        <w:tc>
          <w:tcPr>
            <w:tcW w:type="dxa" w:w="4317"/>
          </w:tcPr>
          <w:p>
            <w:pPr>
              <w:jc w:val="center"/>
            </w:pPr>
            <w:r>
              <w:rPr>
                <w:sz w:val="18"/>
              </w:rPr>
              <w:t>F1-score</w:t>
            </w:r>
          </w:p>
        </w:tc>
        <w:tc>
          <w:tcPr>
            <w:tcW w:type="dxa" w:w="4317"/>
          </w:tcPr>
          <w:p>
            <w:pPr>
              <w:jc w:val="center"/>
            </w:pPr>
            <w:r>
              <w:rPr>
                <w:sz w:val="18"/>
              </w:rPr>
              <w:t>0.9985</w:t>
            </w:r>
          </w:p>
        </w:tc>
      </w:tr>
      <w:tr>
        <w:tc>
          <w:tcPr>
            <w:tcW w:type="dxa" w:w="4317"/>
          </w:tcPr>
          <w:p>
            <w:pPr>
              <w:jc w:val="center"/>
            </w:pPr>
            <w:r>
              <w:rPr>
                <w:sz w:val="18"/>
              </w:rPr>
              <w:t>F2-score</w:t>
            </w:r>
          </w:p>
        </w:tc>
        <w:tc>
          <w:tcPr>
            <w:tcW w:type="dxa" w:w="4317"/>
          </w:tcPr>
          <w:p>
            <w:pPr>
              <w:jc w:val="center"/>
            </w:pPr>
            <w:r>
              <w:rPr>
                <w:sz w:val="18"/>
              </w:rPr>
              <w:t>0.9985</w:t>
            </w:r>
          </w:p>
        </w:tc>
      </w:tr>
      <w:tr>
        <w:tc>
          <w:tcPr>
            <w:tcW w:type="dxa" w:w="4317"/>
          </w:tcPr>
          <w:p>
            <w:pPr>
              <w:jc w:val="center"/>
            </w:pPr>
            <w:r>
              <w:rPr>
                <w:sz w:val="18"/>
              </w:rPr>
              <w:t>AUC</w:t>
            </w:r>
          </w:p>
        </w:tc>
        <w:tc>
          <w:tcPr>
            <w:tcW w:type="dxa" w:w="4317"/>
          </w:tcPr>
          <w:p>
            <w:pPr>
              <w:jc w:val="center"/>
            </w:pPr>
            <w:r>
              <w:rPr>
                <w:sz w:val="18"/>
              </w:rPr>
              <w:t>1.0000</w:t>
            </w:r>
          </w:p>
        </w:tc>
      </w:tr>
      <w:tr>
        <w:tc>
          <w:tcPr>
            <w:tcW w:type="dxa" w:w="4317"/>
          </w:tcPr>
          <w:p>
            <w:pPr>
              <w:jc w:val="center"/>
            </w:pPr>
            <w:r>
              <w:rPr>
                <w:sz w:val="18"/>
              </w:rPr>
              <w:t>TN / FP / FN / TP</w:t>
            </w:r>
          </w:p>
        </w:tc>
        <w:tc>
          <w:tcPr>
            <w:tcW w:type="dxa" w:w="4317"/>
          </w:tcPr>
          <w:p>
            <w:pPr>
              <w:jc w:val="center"/>
            </w:pPr>
            <w:r>
              <w:rPr>
                <w:sz w:val="18"/>
              </w:rPr>
              <w:t>1068 / 1 / 1 / 657</w:t>
            </w:r>
          </w:p>
        </w:tc>
      </w:tr>
    </w:tbl>
    <w:p/>
    <w:p>
      <w:pPr>
        <w:ind w:firstLine="480"/>
      </w:pPr>
      <w:r>
        <w:rPr>
          <w:rFonts w:ascii="宋体" w:hAnsi="宋体" w:eastAsia="宋体"/>
          <w:b w:val="0"/>
          <w:sz w:val="24"/>
        </w:rPr>
        <w:t>从混淆矩阵来看，1068 个负样本中仅 1 个被误判为有损伤（FPR=0.09%），657 个正样本中仅 1 个被漏判为无损伤（FNR=0.15%）。模型在准确率和召回率上均达到了接近完美的水平。ROC 曲线下的 AUC 为 1.0000（如图 3-1 所示），说明模型对正负样本的分数具有几乎完全的区分力。</w:t>
      </w:r>
    </w:p>
    <w:p>
      <w:pPr>
        <w:jc w:val="center"/>
      </w:pPr>
      <w:r>
        <w:drawing>
          <wp:inline xmlns:a="http://schemas.openxmlformats.org/drawingml/2006/main" xmlns:pic="http://schemas.openxmlformats.org/drawingml/2006/picture">
            <wp:extent cx="4680000" cy="3699000"/>
            <wp:docPr id="6" name="Picture 6"/>
            <wp:cNvGraphicFramePr>
              <a:graphicFrameLocks noChangeAspect="1"/>
            </wp:cNvGraphicFramePr>
            <a:graphic>
              <a:graphicData uri="http://schemas.openxmlformats.org/drawingml/2006/picture">
                <pic:pic>
                  <pic:nvPicPr>
                    <pic:cNvPr id="0" name="roc_curve_problem1.png"/>
                    <pic:cNvPicPr/>
                  </pic:nvPicPr>
                  <pic:blipFill>
                    <a:blip r:embed="rId14"/>
                    <a:stretch>
                      <a:fillRect/>
                    </a:stretch>
                  </pic:blipFill>
                  <pic:spPr>
                    <a:xfrm>
                      <a:off x="0" y="0"/>
                      <a:ext cx="4680000" cy="3699000"/>
                    </a:xfrm>
                    <a:prstGeom prst="rect"/>
                  </pic:spPr>
                </pic:pic>
              </a:graphicData>
            </a:graphic>
          </wp:inline>
        </w:drawing>
      </w:r>
    </w:p>
    <w:p>
      <w:pPr>
        <w:spacing w:before="80" w:after="240"/>
        <w:jc w:val="center"/>
      </w:pPr>
      <w:r>
        <w:rPr>
          <w:rFonts w:ascii="宋体" w:hAnsi="宋体" w:eastAsia="宋体"/>
          <w:sz w:val="20"/>
        </w:rPr>
        <w:t>图3-1  ROC 曲线（AUC=1.0000）</w:t>
      </w:r>
    </w:p>
    <w:p>
      <w:pPr>
        <w:pStyle w:val="Heading3"/>
      </w:pPr>
      <w:r>
        <w:rPr>
          <w:rFonts w:ascii="黑体" w:hAnsi="黑体" w:eastAsia="黑体"/>
          <w:sz w:val="24"/>
        </w:rPr>
        <w:t>3.6.2  特征重要性分析</w:t>
      </w:r>
    </w:p>
    <w:p>
      <w:pPr>
        <w:ind w:firstLine="480"/>
      </w:pPr>
      <w:r>
        <w:rPr>
          <w:rFonts w:ascii="宋体" w:hAnsi="宋体" w:eastAsia="宋体"/>
          <w:b w:val="0"/>
          <w:sz w:val="24"/>
        </w:rPr>
        <w:t>逻辑回归权重 w 的绝对值 |wⱼ| 反映了各特征维度对决策的贡献程度（在线性模型中，|wⱼ| 越大，特征 xⱼ 的一个标准差变化对 log-odds 的影响越大）。51 维特征的 |wⱼ| 排序 Top-8 如表 3-7 所示。</w:t>
      </w:r>
    </w:p>
    <w:p>
      <w:pPr>
        <w:spacing w:before="120" w:after="80"/>
        <w:jc w:val="center"/>
      </w:pPr>
      <w:r>
        <w:rPr>
          <w:rFonts w:ascii="宋体" w:hAnsi="宋体" w:eastAsia="宋体"/>
          <w:b/>
          <w:sz w:val="20"/>
        </w:rPr>
        <w:t>表3-7  特征重要性排序（|wⱼ| Top-8）</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18"/>
              </w:rPr>
              <w:t>排名</w:t>
            </w:r>
          </w:p>
        </w:tc>
        <w:tc>
          <w:tcPr>
            <w:tcW w:type="dxa" w:w="2158"/>
          </w:tcPr>
          <w:p>
            <w:pPr>
              <w:jc w:val="center"/>
            </w:pPr>
            <w:r>
              <w:rPr>
                <w:b/>
                <w:sz w:val="18"/>
              </w:rPr>
              <w:t>特征</w:t>
            </w:r>
          </w:p>
        </w:tc>
        <w:tc>
          <w:tcPr>
            <w:tcW w:type="dxa" w:w="2158"/>
          </w:tcPr>
          <w:p>
            <w:pPr>
              <w:jc w:val="center"/>
            </w:pPr>
            <w:r>
              <w:rPr>
                <w:b/>
                <w:sz w:val="18"/>
              </w:rPr>
              <w:t>|w|</w:t>
            </w:r>
          </w:p>
        </w:tc>
        <w:tc>
          <w:tcPr>
            <w:tcW w:type="dxa" w:w="2158"/>
          </w:tcPr>
          <w:p>
            <w:pPr>
              <w:jc w:val="center"/>
            </w:pPr>
            <w:r>
              <w:rPr>
                <w:b/>
                <w:sz w:val="18"/>
              </w:rPr>
              <w:t>物理含义</w:t>
            </w:r>
          </w:p>
        </w:tc>
      </w:tr>
      <w:tr>
        <w:tc>
          <w:tcPr>
            <w:tcW w:type="dxa" w:w="2158"/>
          </w:tcPr>
          <w:p>
            <w:pPr>
              <w:jc w:val="center"/>
            </w:pPr>
            <w:r>
              <w:rPr>
                <w:sz w:val="18"/>
              </w:rPr>
              <w:t>1</w:t>
            </w:r>
          </w:p>
        </w:tc>
        <w:tc>
          <w:tcPr>
            <w:tcW w:type="dxa" w:w="2158"/>
          </w:tcPr>
          <w:p>
            <w:pPr>
              <w:jc w:val="center"/>
            </w:pPr>
            <w:r>
              <w:rPr>
                <w:sz w:val="18"/>
              </w:rPr>
              <w:t>LBP_12</w:t>
            </w:r>
          </w:p>
        </w:tc>
        <w:tc>
          <w:tcPr>
            <w:tcW w:type="dxa" w:w="2158"/>
          </w:tcPr>
          <w:p>
            <w:pPr>
              <w:jc w:val="center"/>
            </w:pPr>
            <w:r>
              <w:rPr>
                <w:sz w:val="18"/>
              </w:rPr>
              <w:t>4.647</w:t>
            </w:r>
          </w:p>
        </w:tc>
        <w:tc>
          <w:tcPr>
            <w:tcW w:type="dxa" w:w="2158"/>
          </w:tcPr>
          <w:p>
            <w:pPr>
              <w:jc w:val="center"/>
            </w:pPr>
            <w:r>
              <w:rPr>
                <w:sz w:val="18"/>
              </w:rPr>
              <w:t>特定 uniform LBP 模式占比</w:t>
            </w:r>
          </w:p>
        </w:tc>
      </w:tr>
      <w:tr>
        <w:tc>
          <w:tcPr>
            <w:tcW w:type="dxa" w:w="2158"/>
          </w:tcPr>
          <w:p>
            <w:pPr>
              <w:jc w:val="center"/>
            </w:pPr>
            <w:r>
              <w:rPr>
                <w:sz w:val="18"/>
              </w:rPr>
              <w:t>2</w:t>
            </w:r>
          </w:p>
        </w:tc>
        <w:tc>
          <w:tcPr>
            <w:tcW w:type="dxa" w:w="2158"/>
          </w:tcPr>
          <w:p>
            <w:pPr>
              <w:jc w:val="center"/>
            </w:pPr>
            <w:r>
              <w:rPr>
                <w:sz w:val="18"/>
              </w:rPr>
              <w:t>LBP_1</w:t>
            </w:r>
          </w:p>
        </w:tc>
        <w:tc>
          <w:tcPr>
            <w:tcW w:type="dxa" w:w="2158"/>
          </w:tcPr>
          <w:p>
            <w:pPr>
              <w:jc w:val="center"/>
            </w:pPr>
            <w:r>
              <w:rPr>
                <w:sz w:val="18"/>
              </w:rPr>
              <w:t>3.714</w:t>
            </w:r>
          </w:p>
        </w:tc>
        <w:tc>
          <w:tcPr>
            <w:tcW w:type="dxa" w:w="2158"/>
          </w:tcPr>
          <w:p>
            <w:pPr>
              <w:jc w:val="center"/>
            </w:pPr>
            <w:r>
              <w:rPr>
                <w:sz w:val="18"/>
              </w:rPr>
              <w:t>特定 uniform LBP 模式占比</w:t>
            </w:r>
          </w:p>
        </w:tc>
      </w:tr>
      <w:tr>
        <w:tc>
          <w:tcPr>
            <w:tcW w:type="dxa" w:w="2158"/>
          </w:tcPr>
          <w:p>
            <w:pPr>
              <w:jc w:val="center"/>
            </w:pPr>
            <w:r>
              <w:rPr>
                <w:sz w:val="18"/>
              </w:rPr>
              <w:t>3</w:t>
            </w:r>
          </w:p>
        </w:tc>
        <w:tc>
          <w:tcPr>
            <w:tcW w:type="dxa" w:w="2158"/>
          </w:tcPr>
          <w:p>
            <w:pPr>
              <w:jc w:val="center"/>
            </w:pPr>
            <w:r>
              <w:rPr>
                <w:sz w:val="18"/>
              </w:rPr>
              <w:t>LBP_17</w:t>
            </w:r>
          </w:p>
        </w:tc>
        <w:tc>
          <w:tcPr>
            <w:tcW w:type="dxa" w:w="2158"/>
          </w:tcPr>
          <w:p>
            <w:pPr>
              <w:jc w:val="center"/>
            </w:pPr>
            <w:r>
              <w:rPr>
                <w:sz w:val="18"/>
              </w:rPr>
              <w:t>3.610</w:t>
            </w:r>
          </w:p>
        </w:tc>
        <w:tc>
          <w:tcPr>
            <w:tcW w:type="dxa" w:w="2158"/>
          </w:tcPr>
          <w:p>
            <w:pPr>
              <w:jc w:val="center"/>
            </w:pPr>
            <w:r>
              <w:rPr>
                <w:sz w:val="18"/>
              </w:rPr>
              <w:t>非 uniform 模式汇总（噪声/不规则纹理）</w:t>
            </w:r>
          </w:p>
        </w:tc>
      </w:tr>
      <w:tr>
        <w:tc>
          <w:tcPr>
            <w:tcW w:type="dxa" w:w="2158"/>
          </w:tcPr>
          <w:p>
            <w:pPr>
              <w:jc w:val="center"/>
            </w:pPr>
            <w:r>
              <w:rPr>
                <w:sz w:val="18"/>
              </w:rPr>
              <w:t>4</w:t>
            </w:r>
          </w:p>
        </w:tc>
        <w:tc>
          <w:tcPr>
            <w:tcW w:type="dxa" w:w="2158"/>
          </w:tcPr>
          <w:p>
            <w:pPr>
              <w:jc w:val="center"/>
            </w:pPr>
            <w:r>
              <w:rPr>
                <w:sz w:val="18"/>
              </w:rPr>
              <w:t>LBP_11</w:t>
            </w:r>
          </w:p>
        </w:tc>
        <w:tc>
          <w:tcPr>
            <w:tcW w:type="dxa" w:w="2158"/>
          </w:tcPr>
          <w:p>
            <w:pPr>
              <w:jc w:val="center"/>
            </w:pPr>
            <w:r>
              <w:rPr>
                <w:sz w:val="18"/>
              </w:rPr>
              <w:t>3.433</w:t>
            </w:r>
          </w:p>
        </w:tc>
        <w:tc>
          <w:tcPr>
            <w:tcW w:type="dxa" w:w="2158"/>
          </w:tcPr>
          <w:p>
            <w:pPr>
              <w:jc w:val="center"/>
            </w:pPr>
            <w:r>
              <w:rPr>
                <w:sz w:val="18"/>
              </w:rPr>
              <w:t>特定 uniform LBP 模式占比</w:t>
            </w:r>
          </w:p>
        </w:tc>
      </w:tr>
      <w:tr>
        <w:tc>
          <w:tcPr>
            <w:tcW w:type="dxa" w:w="2158"/>
          </w:tcPr>
          <w:p>
            <w:pPr>
              <w:jc w:val="center"/>
            </w:pPr>
            <w:r>
              <w:rPr>
                <w:sz w:val="18"/>
              </w:rPr>
              <w:t>5</w:t>
            </w:r>
          </w:p>
        </w:tc>
        <w:tc>
          <w:tcPr>
            <w:tcW w:type="dxa" w:w="2158"/>
          </w:tcPr>
          <w:p>
            <w:pPr>
              <w:jc w:val="center"/>
            </w:pPr>
            <w:r>
              <w:rPr>
                <w:sz w:val="18"/>
              </w:rPr>
              <w:t>LBP_10</w:t>
            </w:r>
          </w:p>
        </w:tc>
        <w:tc>
          <w:tcPr>
            <w:tcW w:type="dxa" w:w="2158"/>
          </w:tcPr>
          <w:p>
            <w:pPr>
              <w:jc w:val="center"/>
            </w:pPr>
            <w:r>
              <w:rPr>
                <w:sz w:val="18"/>
              </w:rPr>
              <w:t>3.083</w:t>
            </w:r>
          </w:p>
        </w:tc>
        <w:tc>
          <w:tcPr>
            <w:tcW w:type="dxa" w:w="2158"/>
          </w:tcPr>
          <w:p>
            <w:pPr>
              <w:jc w:val="center"/>
            </w:pPr>
            <w:r>
              <w:rPr>
                <w:sz w:val="18"/>
              </w:rPr>
              <w:t>特定 uniform LBP 模式占比</w:t>
            </w:r>
          </w:p>
        </w:tc>
      </w:tr>
      <w:tr>
        <w:tc>
          <w:tcPr>
            <w:tcW w:type="dxa" w:w="2158"/>
          </w:tcPr>
          <w:p>
            <w:pPr>
              <w:jc w:val="center"/>
            </w:pPr>
            <w:r>
              <w:rPr>
                <w:sz w:val="18"/>
              </w:rPr>
              <w:t>6</w:t>
            </w:r>
          </w:p>
        </w:tc>
        <w:tc>
          <w:tcPr>
            <w:tcW w:type="dxa" w:w="2158"/>
          </w:tcPr>
          <w:p>
            <w:pPr>
              <w:jc w:val="center"/>
            </w:pPr>
            <w:r>
              <w:rPr>
                <w:sz w:val="18"/>
              </w:rPr>
              <w:t>LBP_2</w:t>
            </w:r>
          </w:p>
        </w:tc>
        <w:tc>
          <w:tcPr>
            <w:tcW w:type="dxa" w:w="2158"/>
          </w:tcPr>
          <w:p>
            <w:pPr>
              <w:jc w:val="center"/>
            </w:pPr>
            <w:r>
              <w:rPr>
                <w:sz w:val="18"/>
              </w:rPr>
              <w:t>2.777</w:t>
            </w:r>
          </w:p>
        </w:tc>
        <w:tc>
          <w:tcPr>
            <w:tcW w:type="dxa" w:w="2158"/>
          </w:tcPr>
          <w:p>
            <w:pPr>
              <w:jc w:val="center"/>
            </w:pPr>
            <w:r>
              <w:rPr>
                <w:sz w:val="18"/>
              </w:rPr>
              <w:t>特定 uniform LBP 模式占比</w:t>
            </w:r>
          </w:p>
        </w:tc>
      </w:tr>
      <w:tr>
        <w:tc>
          <w:tcPr>
            <w:tcW w:type="dxa" w:w="2158"/>
          </w:tcPr>
          <w:p>
            <w:pPr>
              <w:jc w:val="center"/>
            </w:pPr>
            <w:r>
              <w:rPr>
                <w:sz w:val="18"/>
              </w:rPr>
              <w:t>7</w:t>
            </w:r>
          </w:p>
        </w:tc>
        <w:tc>
          <w:tcPr>
            <w:tcW w:type="dxa" w:w="2158"/>
          </w:tcPr>
          <w:p>
            <w:pPr>
              <w:jc w:val="center"/>
            </w:pPr>
            <w:r>
              <w:rPr>
                <w:sz w:val="18"/>
              </w:rPr>
              <w:t>LBP_4</w:t>
            </w:r>
          </w:p>
        </w:tc>
        <w:tc>
          <w:tcPr>
            <w:tcW w:type="dxa" w:w="2158"/>
          </w:tcPr>
          <w:p>
            <w:pPr>
              <w:jc w:val="center"/>
            </w:pPr>
            <w:r>
              <w:rPr>
                <w:sz w:val="18"/>
              </w:rPr>
              <w:t>2.747</w:t>
            </w:r>
          </w:p>
        </w:tc>
        <w:tc>
          <w:tcPr>
            <w:tcW w:type="dxa" w:w="2158"/>
          </w:tcPr>
          <w:p>
            <w:pPr>
              <w:jc w:val="center"/>
            </w:pPr>
            <w:r>
              <w:rPr>
                <w:sz w:val="18"/>
              </w:rPr>
              <w:t>特定 uniform LBP 模式占比</w:t>
            </w:r>
          </w:p>
        </w:tc>
      </w:tr>
      <w:tr>
        <w:tc>
          <w:tcPr>
            <w:tcW w:type="dxa" w:w="2158"/>
          </w:tcPr>
          <w:p>
            <w:pPr>
              <w:jc w:val="center"/>
            </w:pPr>
            <w:r>
              <w:rPr>
                <w:sz w:val="18"/>
              </w:rPr>
              <w:t>8</w:t>
            </w:r>
          </w:p>
        </w:tc>
        <w:tc>
          <w:tcPr>
            <w:tcW w:type="dxa" w:w="2158"/>
          </w:tcPr>
          <w:p>
            <w:pPr>
              <w:jc w:val="center"/>
            </w:pPr>
            <w:r>
              <w:rPr>
                <w:sz w:val="18"/>
              </w:rPr>
              <w:t>LBP_9</w:t>
            </w:r>
          </w:p>
        </w:tc>
        <w:tc>
          <w:tcPr>
            <w:tcW w:type="dxa" w:w="2158"/>
          </w:tcPr>
          <w:p>
            <w:pPr>
              <w:jc w:val="center"/>
            </w:pPr>
            <w:r>
              <w:rPr>
                <w:sz w:val="18"/>
              </w:rPr>
              <w:t>2.092</w:t>
            </w:r>
          </w:p>
        </w:tc>
        <w:tc>
          <w:tcPr>
            <w:tcW w:type="dxa" w:w="2158"/>
          </w:tcPr>
          <w:p>
            <w:pPr>
              <w:jc w:val="center"/>
            </w:pPr>
            <w:r>
              <w:rPr>
                <w:sz w:val="18"/>
              </w:rPr>
              <w:t>特定 uniform LBP 模式占比</w:t>
            </w:r>
          </w:p>
        </w:tc>
      </w:tr>
    </w:tbl>
    <w:p/>
    <w:p>
      <w:pPr>
        <w:ind w:firstLine="480"/>
      </w:pPr>
      <w:r>
        <w:rPr>
          <w:rFonts w:ascii="宋体" w:hAnsi="宋体" w:eastAsia="宋体"/>
          <w:b w:val="0"/>
          <w:sz w:val="24"/>
        </w:rPr>
        <w:t>Top-8 特征全部为 LBP 维度，其权重绝对值远大于非 LBP 特征（第 9 名为 GLCM_correlation，|w|=1.534，约为第 1 名的 33%）。这一结果强有力地证明了 LBP 局部纹理特征在区分正常集装箱表面与各类破损表面方面的卓越判别力。LBP_17（非 uniform 模式汇总 bin）排名第 3，表明破损区域的纹理不规则性（高 U 值模式的聚集）是关键的判别线索。</w:t>
      </w:r>
    </w:p>
    <w:p>
      <w:pPr>
        <w:pStyle w:val="Heading3"/>
      </w:pPr>
      <w:r>
        <w:rPr>
          <w:rFonts w:ascii="黑体" w:hAnsi="黑体" w:eastAsia="黑体"/>
          <w:sz w:val="24"/>
        </w:rPr>
        <w:t>3.6.3  特征消融实验</w:t>
      </w:r>
    </w:p>
    <w:p>
      <w:pPr>
        <w:ind w:firstLine="480"/>
      </w:pPr>
      <w:r>
        <w:rPr>
          <w:rFonts w:ascii="宋体" w:hAnsi="宋体" w:eastAsia="宋体"/>
          <w:b w:val="0"/>
          <w:sz w:val="24"/>
        </w:rPr>
        <w:t>为量化各特征模块的独立贡献，进行消融实验：以 51 维全特征为基准，逐一观察去掉某个模块后的性能变化。此外，与仅用 33 维特征（无 LBP）的 baseline 进行比较。结果如表 3-8 所示。</w:t>
      </w:r>
    </w:p>
    <w:p>
      <w:pPr>
        <w:spacing w:before="120" w:after="80"/>
        <w:jc w:val="center"/>
      </w:pPr>
      <w:r>
        <w:rPr>
          <w:rFonts w:ascii="宋体" w:hAnsi="宋体" w:eastAsia="宋体"/>
          <w:b/>
          <w:sz w:val="20"/>
        </w:rPr>
        <w:t>表3-8  特征消融实验结果</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b/>
                <w:sz w:val="18"/>
              </w:rPr>
              <w:t>特征组合</w:t>
            </w:r>
          </w:p>
        </w:tc>
        <w:tc>
          <w:tcPr>
            <w:tcW w:type="dxa" w:w="1439"/>
          </w:tcPr>
          <w:p>
            <w:pPr>
              <w:jc w:val="center"/>
            </w:pPr>
            <w:r>
              <w:rPr>
                <w:b/>
                <w:sz w:val="18"/>
              </w:rPr>
              <w:t>维度</w:t>
            </w:r>
          </w:p>
        </w:tc>
        <w:tc>
          <w:tcPr>
            <w:tcW w:type="dxa" w:w="1439"/>
          </w:tcPr>
          <w:p>
            <w:pPr>
              <w:jc w:val="center"/>
            </w:pPr>
            <w:r>
              <w:rPr>
                <w:b/>
                <w:sz w:val="18"/>
              </w:rPr>
              <w:t>F2-score</w:t>
            </w:r>
          </w:p>
        </w:tc>
        <w:tc>
          <w:tcPr>
            <w:tcW w:type="dxa" w:w="1439"/>
          </w:tcPr>
          <w:p>
            <w:pPr>
              <w:jc w:val="center"/>
            </w:pPr>
            <w:r>
              <w:rPr>
                <w:b/>
                <w:sz w:val="18"/>
              </w:rPr>
              <w:t>Precision</w:t>
            </w:r>
          </w:p>
        </w:tc>
        <w:tc>
          <w:tcPr>
            <w:tcW w:type="dxa" w:w="1439"/>
          </w:tcPr>
          <w:p>
            <w:pPr>
              <w:jc w:val="center"/>
            </w:pPr>
            <w:r>
              <w:rPr>
                <w:b/>
                <w:sz w:val="18"/>
              </w:rPr>
              <w:t>Recall</w:t>
            </w:r>
          </w:p>
        </w:tc>
        <w:tc>
          <w:tcPr>
            <w:tcW w:type="dxa" w:w="1439"/>
          </w:tcPr>
          <w:p>
            <w:pPr>
              <w:jc w:val="center"/>
            </w:pPr>
            <w:r>
              <w:rPr>
                <w:b/>
                <w:sz w:val="18"/>
              </w:rPr>
              <w:t>AUC</w:t>
            </w:r>
          </w:p>
        </w:tc>
      </w:tr>
      <w:tr>
        <w:tc>
          <w:tcPr>
            <w:tcW w:type="dxa" w:w="1439"/>
          </w:tcPr>
          <w:p>
            <w:pPr>
              <w:jc w:val="center"/>
            </w:pPr>
            <w:r>
              <w:rPr>
                <w:sz w:val="18"/>
              </w:rPr>
              <w:t>全特征 (baseline+LBP)</w:t>
            </w:r>
          </w:p>
        </w:tc>
        <w:tc>
          <w:tcPr>
            <w:tcW w:type="dxa" w:w="1439"/>
          </w:tcPr>
          <w:p>
            <w:pPr>
              <w:jc w:val="center"/>
            </w:pPr>
            <w:r>
              <w:rPr>
                <w:sz w:val="18"/>
              </w:rPr>
              <w:t>51</w:t>
            </w:r>
          </w:p>
        </w:tc>
        <w:tc>
          <w:tcPr>
            <w:tcW w:type="dxa" w:w="1439"/>
          </w:tcPr>
          <w:p>
            <w:pPr>
              <w:jc w:val="center"/>
            </w:pPr>
            <w:r>
              <w:rPr>
                <w:sz w:val="18"/>
              </w:rPr>
              <w:t>0.9985</w:t>
            </w:r>
          </w:p>
        </w:tc>
        <w:tc>
          <w:tcPr>
            <w:tcW w:type="dxa" w:w="1439"/>
          </w:tcPr>
          <w:p>
            <w:pPr>
              <w:jc w:val="center"/>
            </w:pPr>
            <w:r>
              <w:rPr>
                <w:sz w:val="18"/>
              </w:rPr>
              <w:t>0.9985</w:t>
            </w:r>
          </w:p>
        </w:tc>
        <w:tc>
          <w:tcPr>
            <w:tcW w:type="dxa" w:w="1439"/>
          </w:tcPr>
          <w:p>
            <w:pPr>
              <w:jc w:val="center"/>
            </w:pPr>
            <w:r>
              <w:rPr>
                <w:sz w:val="18"/>
              </w:rPr>
              <w:t>0.9985</w:t>
            </w:r>
          </w:p>
        </w:tc>
        <w:tc>
          <w:tcPr>
            <w:tcW w:type="dxa" w:w="1439"/>
          </w:tcPr>
          <w:p>
            <w:pPr>
              <w:jc w:val="center"/>
            </w:pPr>
            <w:r>
              <w:rPr>
                <w:sz w:val="18"/>
              </w:rPr>
              <w:t>1.0000</w:t>
            </w:r>
          </w:p>
        </w:tc>
      </w:tr>
      <w:tr>
        <w:tc>
          <w:tcPr>
            <w:tcW w:type="dxa" w:w="1439"/>
          </w:tcPr>
          <w:p>
            <w:pPr>
              <w:jc w:val="center"/>
            </w:pPr>
            <w:r>
              <w:rPr>
                <w:sz w:val="18"/>
              </w:rPr>
              <w:t>baseline (GLCM+HSV+Sobel+HOG)</w:t>
            </w:r>
          </w:p>
        </w:tc>
        <w:tc>
          <w:tcPr>
            <w:tcW w:type="dxa" w:w="1439"/>
          </w:tcPr>
          <w:p>
            <w:pPr>
              <w:jc w:val="center"/>
            </w:pPr>
            <w:r>
              <w:rPr>
                <w:sz w:val="18"/>
              </w:rPr>
              <w:t>33</w:t>
            </w:r>
          </w:p>
        </w:tc>
        <w:tc>
          <w:tcPr>
            <w:tcW w:type="dxa" w:w="1439"/>
          </w:tcPr>
          <w:p>
            <w:pPr>
              <w:jc w:val="center"/>
            </w:pPr>
            <w:r>
              <w:rPr>
                <w:sz w:val="18"/>
              </w:rPr>
              <w:t>0.948</w:t>
            </w:r>
          </w:p>
        </w:tc>
        <w:tc>
          <w:tcPr>
            <w:tcW w:type="dxa" w:w="1439"/>
          </w:tcPr>
          <w:p>
            <w:pPr>
              <w:jc w:val="center"/>
            </w:pPr>
            <w:r>
              <w:rPr>
                <w:sz w:val="18"/>
              </w:rPr>
              <w:t>0.818</w:t>
            </w:r>
          </w:p>
        </w:tc>
        <w:tc>
          <w:tcPr>
            <w:tcW w:type="dxa" w:w="1439"/>
          </w:tcPr>
          <w:p>
            <w:pPr>
              <w:jc w:val="center"/>
            </w:pPr>
            <w:r>
              <w:rPr>
                <w:sz w:val="18"/>
              </w:rPr>
              <w:t>0.987</w:t>
            </w:r>
          </w:p>
        </w:tc>
        <w:tc>
          <w:tcPr>
            <w:tcW w:type="dxa" w:w="1439"/>
          </w:tcPr>
          <w:p>
            <w:pPr>
              <w:jc w:val="center"/>
            </w:pPr>
            <w:r>
              <w:rPr>
                <w:sz w:val="18"/>
              </w:rPr>
              <w:t>0.986</w:t>
            </w:r>
          </w:p>
        </w:tc>
      </w:tr>
      <w:tr>
        <w:tc>
          <w:tcPr>
            <w:tcW w:type="dxa" w:w="1439"/>
          </w:tcPr>
          <w:p>
            <w:pPr>
              <w:jc w:val="center"/>
            </w:pPr>
            <w:r>
              <w:rPr>
                <w:sz w:val="18"/>
              </w:rPr>
              <w:t>baseline+LBP 去掉 GLCM</w:t>
            </w:r>
          </w:p>
        </w:tc>
        <w:tc>
          <w:tcPr>
            <w:tcW w:type="dxa" w:w="1439"/>
          </w:tcPr>
          <w:p>
            <w:pPr>
              <w:jc w:val="center"/>
            </w:pPr>
            <w:r>
              <w:rPr>
                <w:sz w:val="18"/>
              </w:rPr>
              <w:t>47</w:t>
            </w:r>
          </w:p>
        </w:tc>
        <w:tc>
          <w:tcPr>
            <w:tcW w:type="dxa" w:w="1439"/>
          </w:tcPr>
          <w:p>
            <w:pPr>
              <w:jc w:val="center"/>
            </w:pPr>
            <w:r>
              <w:rPr>
                <w:sz w:val="18"/>
              </w:rPr>
              <w:t>~0.998</w:t>
            </w:r>
          </w:p>
        </w:tc>
        <w:tc>
          <w:tcPr>
            <w:tcW w:type="dxa" w:w="1439"/>
          </w:tcPr>
          <w:p>
            <w:pPr>
              <w:jc w:val="center"/>
            </w:pPr>
            <w:r>
              <w:rPr>
                <w:sz w:val="18"/>
              </w:rPr>
              <w:t>—</w:t>
            </w:r>
          </w:p>
        </w:tc>
        <w:tc>
          <w:tcPr>
            <w:tcW w:type="dxa" w:w="1439"/>
          </w:tcPr>
          <w:p>
            <w:pPr>
              <w:jc w:val="center"/>
            </w:pPr>
            <w:r>
              <w:rPr>
                <w:sz w:val="18"/>
              </w:rPr>
              <w:t>—</w:t>
            </w:r>
          </w:p>
        </w:tc>
        <w:tc>
          <w:tcPr>
            <w:tcW w:type="dxa" w:w="1439"/>
          </w:tcPr>
          <w:p>
            <w:pPr>
              <w:jc w:val="center"/>
            </w:pPr>
            <w:r>
              <w:rPr>
                <w:sz w:val="18"/>
              </w:rPr>
              <w:t>—</w:t>
            </w:r>
          </w:p>
        </w:tc>
      </w:tr>
      <w:tr>
        <w:tc>
          <w:tcPr>
            <w:tcW w:type="dxa" w:w="1439"/>
          </w:tcPr>
          <w:p>
            <w:pPr>
              <w:jc w:val="center"/>
            </w:pPr>
            <w:r>
              <w:rPr>
                <w:sz w:val="18"/>
              </w:rPr>
              <w:t>baseline+LBP 去掉 HOG_PCA</w:t>
            </w:r>
          </w:p>
        </w:tc>
        <w:tc>
          <w:tcPr>
            <w:tcW w:type="dxa" w:w="1439"/>
          </w:tcPr>
          <w:p>
            <w:pPr>
              <w:jc w:val="center"/>
            </w:pPr>
            <w:r>
              <w:rPr>
                <w:sz w:val="18"/>
              </w:rPr>
              <w:t>36</w:t>
            </w:r>
          </w:p>
        </w:tc>
        <w:tc>
          <w:tcPr>
            <w:tcW w:type="dxa" w:w="1439"/>
          </w:tcPr>
          <w:p>
            <w:pPr>
              <w:jc w:val="center"/>
            </w:pPr>
            <w:r>
              <w:rPr>
                <w:sz w:val="18"/>
              </w:rPr>
              <w:t>~0.998</w:t>
            </w:r>
          </w:p>
        </w:tc>
        <w:tc>
          <w:tcPr>
            <w:tcW w:type="dxa" w:w="1439"/>
          </w:tcPr>
          <w:p>
            <w:pPr>
              <w:jc w:val="center"/>
            </w:pPr>
            <w:r>
              <w:rPr>
                <w:sz w:val="18"/>
              </w:rPr>
              <w:t>—</w:t>
            </w:r>
          </w:p>
        </w:tc>
        <w:tc>
          <w:tcPr>
            <w:tcW w:type="dxa" w:w="1439"/>
          </w:tcPr>
          <w:p>
            <w:pPr>
              <w:jc w:val="center"/>
            </w:pPr>
            <w:r>
              <w:rPr>
                <w:sz w:val="18"/>
              </w:rPr>
              <w:t>—</w:t>
            </w:r>
          </w:p>
        </w:tc>
        <w:tc>
          <w:tcPr>
            <w:tcW w:type="dxa" w:w="1439"/>
          </w:tcPr>
          <w:p>
            <w:pPr>
              <w:jc w:val="center"/>
            </w:pPr>
            <w:r>
              <w:rPr>
                <w:sz w:val="18"/>
              </w:rPr>
              <w:t>—</w:t>
            </w:r>
          </w:p>
        </w:tc>
      </w:tr>
    </w:tbl>
    <w:p/>
    <w:p>
      <w:pPr>
        <w:ind w:firstLine="480"/>
      </w:pPr>
      <w:r>
        <w:rPr>
          <w:rFonts w:ascii="宋体" w:hAnsi="宋体" w:eastAsia="宋体"/>
          <w:b w:val="0"/>
          <w:sz w:val="24"/>
        </w:rPr>
        <w:t>消融实验的核心发现：(a) 加入 LBP 后，F2 从 0.948 提升至 0.9985，提升幅度达 5.3 个百分点，且 Precision 从 0.818 大幅提升至 0.9985，说明 LBP 提供的局部纹理微观结构信息是区分损伤表面与正常表面的关键；(b) baseline 已有较高 Recall（0.987），说明原 33 维特征的漏检问题不大，主要瓶颈在误报（FP=33），而 LBP 恰好将误报几乎完全消除（FP=1）；(c) 其他特征模块（GLCM、HOG_PCA）在 LBP 存在时的边际贡献较小，但保留它们可增加模型的鲁棒性和冗余度。</w:t>
      </w:r>
    </w:p>
    <w:p>
      <w:pPr>
        <w:pStyle w:val="Heading3"/>
      </w:pPr>
      <w:r>
        <w:rPr>
          <w:rFonts w:ascii="黑体" w:hAnsi="黑体" w:eastAsia="黑体"/>
          <w:sz w:val="24"/>
        </w:rPr>
        <w:t>3.6.4  与优化前性能对比</w:t>
      </w:r>
    </w:p>
    <w:p>
      <w:pPr>
        <w:ind w:firstLine="480"/>
      </w:pPr>
      <w:r>
        <w:rPr>
          <w:rFonts w:ascii="宋体" w:hAnsi="宋体" w:eastAsia="宋体"/>
          <w:b w:val="0"/>
          <w:sz w:val="24"/>
        </w:rPr>
        <w:t>本文的模型经历了两次重要迭代优化，表 3-9 汇总了各阶段的性能变化。</w:t>
      </w:r>
    </w:p>
    <w:p>
      <w:pPr>
        <w:spacing w:before="120" w:after="80"/>
        <w:jc w:val="center"/>
      </w:pPr>
      <w:r>
        <w:rPr>
          <w:rFonts w:ascii="宋体" w:hAnsi="宋体" w:eastAsia="宋体"/>
          <w:b/>
          <w:sz w:val="20"/>
        </w:rPr>
        <w:t>表3-9  模型迭代优化历史</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b/>
                <w:sz w:val="18"/>
              </w:rPr>
              <w:t>阶段</w:t>
            </w:r>
          </w:p>
        </w:tc>
        <w:tc>
          <w:tcPr>
            <w:tcW w:type="dxa" w:w="1233"/>
          </w:tcPr>
          <w:p>
            <w:pPr>
              <w:jc w:val="center"/>
            </w:pPr>
            <w:r>
              <w:rPr>
                <w:b/>
                <w:sz w:val="18"/>
              </w:rPr>
              <w:t>特征维度</w:t>
            </w:r>
          </w:p>
        </w:tc>
        <w:tc>
          <w:tcPr>
            <w:tcW w:type="dxa" w:w="1233"/>
          </w:tcPr>
          <w:p>
            <w:pPr>
              <w:jc w:val="center"/>
            </w:pPr>
            <w:r>
              <w:rPr>
                <w:b/>
                <w:sz w:val="18"/>
              </w:rPr>
              <w:t>F2-score</w:t>
            </w:r>
          </w:p>
        </w:tc>
        <w:tc>
          <w:tcPr>
            <w:tcW w:type="dxa" w:w="1233"/>
          </w:tcPr>
          <w:p>
            <w:pPr>
              <w:jc w:val="center"/>
            </w:pPr>
            <w:r>
              <w:rPr>
                <w:b/>
                <w:sz w:val="18"/>
              </w:rPr>
              <w:t>Precision</w:t>
            </w:r>
          </w:p>
        </w:tc>
        <w:tc>
          <w:tcPr>
            <w:tcW w:type="dxa" w:w="1233"/>
          </w:tcPr>
          <w:p>
            <w:pPr>
              <w:jc w:val="center"/>
            </w:pPr>
            <w:r>
              <w:rPr>
                <w:b/>
                <w:sz w:val="18"/>
              </w:rPr>
              <w:t>Recall</w:t>
            </w:r>
          </w:p>
        </w:tc>
        <w:tc>
          <w:tcPr>
            <w:tcW w:type="dxa" w:w="1233"/>
          </w:tcPr>
          <w:p>
            <w:pPr>
              <w:jc w:val="center"/>
            </w:pPr>
            <w:r>
              <w:rPr>
                <w:b/>
                <w:sz w:val="18"/>
              </w:rPr>
              <w:t>AUC</w:t>
            </w:r>
          </w:p>
        </w:tc>
        <w:tc>
          <w:tcPr>
            <w:tcW w:type="dxa" w:w="1233"/>
          </w:tcPr>
          <w:p>
            <w:pPr>
              <w:jc w:val="center"/>
            </w:pPr>
            <w:r>
              <w:rPr>
                <w:b/>
                <w:sz w:val="18"/>
              </w:rPr>
              <w:t>FP</w:t>
            </w:r>
          </w:p>
        </w:tc>
      </w:tr>
      <w:tr>
        <w:tc>
          <w:tcPr>
            <w:tcW w:type="dxa" w:w="1233"/>
          </w:tcPr>
          <w:p>
            <w:pPr>
              <w:jc w:val="center"/>
            </w:pPr>
            <w:r>
              <w:rPr>
                <w:sz w:val="18"/>
              </w:rPr>
              <w:t>初版（全局PCA + NP）</w:t>
            </w:r>
          </w:p>
        </w:tc>
        <w:tc>
          <w:tcPr>
            <w:tcW w:type="dxa" w:w="1233"/>
          </w:tcPr>
          <w:p>
            <w:pPr>
              <w:jc w:val="center"/>
            </w:pPr>
            <w:r>
              <w:rPr>
                <w:sz w:val="18"/>
              </w:rPr>
              <w:t>33→k</w:t>
            </w:r>
          </w:p>
        </w:tc>
        <w:tc>
          <w:tcPr>
            <w:tcW w:type="dxa" w:w="1233"/>
          </w:tcPr>
          <w:p>
            <w:pPr>
              <w:jc w:val="center"/>
            </w:pPr>
            <w:r>
              <w:rPr>
                <w:sz w:val="18"/>
              </w:rPr>
              <w:t>0.831</w:t>
            </w:r>
          </w:p>
        </w:tc>
        <w:tc>
          <w:tcPr>
            <w:tcW w:type="dxa" w:w="1233"/>
          </w:tcPr>
          <w:p>
            <w:pPr>
              <w:jc w:val="center"/>
            </w:pPr>
            <w:r>
              <w:rPr>
                <w:sz w:val="18"/>
              </w:rPr>
              <w:t>0.677</w:t>
            </w:r>
          </w:p>
        </w:tc>
        <w:tc>
          <w:tcPr>
            <w:tcW w:type="dxa" w:w="1233"/>
          </w:tcPr>
          <w:p>
            <w:pPr>
              <w:jc w:val="center"/>
            </w:pPr>
            <w:r>
              <w:rPr>
                <w:sz w:val="18"/>
              </w:rPr>
              <w:t>0.987</w:t>
            </w:r>
          </w:p>
        </w:tc>
        <w:tc>
          <w:tcPr>
            <w:tcW w:type="dxa" w:w="1233"/>
          </w:tcPr>
          <w:p>
            <w:pPr>
              <w:jc w:val="center"/>
            </w:pPr>
            <w:r>
              <w:rPr>
                <w:sz w:val="18"/>
              </w:rPr>
              <w:t>0.924</w:t>
            </w:r>
          </w:p>
        </w:tc>
        <w:tc>
          <w:tcPr>
            <w:tcW w:type="dxa" w:w="1233"/>
          </w:tcPr>
          <w:p>
            <w:pPr>
              <w:jc w:val="center"/>
            </w:pPr>
            <w:r>
              <w:rPr>
                <w:sz w:val="18"/>
              </w:rPr>
              <w:t>—</w:t>
            </w:r>
          </w:p>
        </w:tc>
      </w:tr>
      <w:tr>
        <w:tc>
          <w:tcPr>
            <w:tcW w:type="dxa" w:w="1233"/>
          </w:tcPr>
          <w:p>
            <w:pPr>
              <w:jc w:val="center"/>
            </w:pPr>
            <w:r>
              <w:rPr>
                <w:sz w:val="18"/>
              </w:rPr>
              <w:t>v2（去全局PCA + 贝叶斯）</w:t>
            </w:r>
          </w:p>
        </w:tc>
        <w:tc>
          <w:tcPr>
            <w:tcW w:type="dxa" w:w="1233"/>
          </w:tcPr>
          <w:p>
            <w:pPr>
              <w:jc w:val="center"/>
            </w:pPr>
            <w:r>
              <w:rPr>
                <w:sz w:val="18"/>
              </w:rPr>
              <w:t>33</w:t>
            </w:r>
          </w:p>
        </w:tc>
        <w:tc>
          <w:tcPr>
            <w:tcW w:type="dxa" w:w="1233"/>
          </w:tcPr>
          <w:p>
            <w:pPr>
              <w:jc w:val="center"/>
            </w:pPr>
            <w:r>
              <w:rPr>
                <w:sz w:val="18"/>
              </w:rPr>
              <w:t>0.948</w:t>
            </w:r>
          </w:p>
        </w:tc>
        <w:tc>
          <w:tcPr>
            <w:tcW w:type="dxa" w:w="1233"/>
          </w:tcPr>
          <w:p>
            <w:pPr>
              <w:jc w:val="center"/>
            </w:pPr>
            <w:r>
              <w:rPr>
                <w:sz w:val="18"/>
              </w:rPr>
              <w:t>0.818</w:t>
            </w:r>
          </w:p>
        </w:tc>
        <w:tc>
          <w:tcPr>
            <w:tcW w:type="dxa" w:w="1233"/>
          </w:tcPr>
          <w:p>
            <w:pPr>
              <w:jc w:val="center"/>
            </w:pPr>
            <w:r>
              <w:rPr>
                <w:sz w:val="18"/>
              </w:rPr>
              <w:t>0.987</w:t>
            </w:r>
          </w:p>
        </w:tc>
        <w:tc>
          <w:tcPr>
            <w:tcW w:type="dxa" w:w="1233"/>
          </w:tcPr>
          <w:p>
            <w:pPr>
              <w:jc w:val="center"/>
            </w:pPr>
            <w:r>
              <w:rPr>
                <w:sz w:val="18"/>
              </w:rPr>
              <w:t>0.986</w:t>
            </w:r>
          </w:p>
        </w:tc>
        <w:tc>
          <w:tcPr>
            <w:tcW w:type="dxa" w:w="1233"/>
          </w:tcPr>
          <w:p>
            <w:pPr>
              <w:jc w:val="center"/>
            </w:pPr>
            <w:r>
              <w:rPr>
                <w:sz w:val="18"/>
              </w:rPr>
              <w:t>33</w:t>
            </w:r>
          </w:p>
        </w:tc>
      </w:tr>
      <w:tr>
        <w:tc>
          <w:tcPr>
            <w:tcW w:type="dxa" w:w="1233"/>
          </w:tcPr>
          <w:p>
            <w:pPr>
              <w:jc w:val="center"/>
            </w:pPr>
            <w:r>
              <w:rPr>
                <w:sz w:val="18"/>
              </w:rPr>
              <w:t>v3 最终版（+LBP, 本文方案）</w:t>
            </w:r>
          </w:p>
        </w:tc>
        <w:tc>
          <w:tcPr>
            <w:tcW w:type="dxa" w:w="1233"/>
          </w:tcPr>
          <w:p>
            <w:pPr>
              <w:jc w:val="center"/>
            </w:pPr>
            <w:r>
              <w:rPr>
                <w:sz w:val="18"/>
              </w:rPr>
              <w:t>51</w:t>
            </w:r>
          </w:p>
        </w:tc>
        <w:tc>
          <w:tcPr>
            <w:tcW w:type="dxa" w:w="1233"/>
          </w:tcPr>
          <w:p>
            <w:pPr>
              <w:jc w:val="center"/>
            </w:pPr>
            <w:r>
              <w:rPr>
                <w:sz w:val="18"/>
              </w:rPr>
              <w:t>0.9985</w:t>
            </w:r>
          </w:p>
        </w:tc>
        <w:tc>
          <w:tcPr>
            <w:tcW w:type="dxa" w:w="1233"/>
          </w:tcPr>
          <w:p>
            <w:pPr>
              <w:jc w:val="center"/>
            </w:pPr>
            <w:r>
              <w:rPr>
                <w:sz w:val="18"/>
              </w:rPr>
              <w:t>0.9985</w:t>
            </w:r>
          </w:p>
        </w:tc>
        <w:tc>
          <w:tcPr>
            <w:tcW w:type="dxa" w:w="1233"/>
          </w:tcPr>
          <w:p>
            <w:pPr>
              <w:jc w:val="center"/>
            </w:pPr>
            <w:r>
              <w:rPr>
                <w:sz w:val="18"/>
              </w:rPr>
              <w:t>0.9985</w:t>
            </w:r>
          </w:p>
        </w:tc>
        <w:tc>
          <w:tcPr>
            <w:tcW w:type="dxa" w:w="1233"/>
          </w:tcPr>
          <w:p>
            <w:pPr>
              <w:jc w:val="center"/>
            </w:pPr>
            <w:r>
              <w:rPr>
                <w:sz w:val="18"/>
              </w:rPr>
              <w:t>1.000</w:t>
            </w:r>
          </w:p>
        </w:tc>
        <w:tc>
          <w:tcPr>
            <w:tcW w:type="dxa" w:w="1233"/>
          </w:tcPr>
          <w:p>
            <w:pPr>
              <w:jc w:val="center"/>
            </w:pPr>
            <w:r>
              <w:rPr>
                <w:sz w:val="18"/>
              </w:rPr>
              <w:t>1</w:t>
            </w:r>
          </w:p>
        </w:tc>
      </w:tr>
    </w:tbl>
    <w:p/>
    <w:p>
      <w:pPr>
        <w:ind w:firstLine="480"/>
      </w:pPr>
      <w:r>
        <w:rPr>
          <w:rFonts w:ascii="宋体" w:hAnsi="宋体" w:eastAsia="宋体"/>
          <w:b w:val="0"/>
          <w:sz w:val="24"/>
        </w:rPr>
        <w:t>从 v1 到 v3，F2 从 0.831 提升至 0.9985，三个关键改进为：① 去掉全局 PCA 避免信息损失（+5.7pp Accuracy）；② 引入 LBP 局部纹理特征（+5.3pp F2）；③ 贝叶斯最小风险决策替代 NP 框架，实现了代价可控的对称错误控制。</w:t>
      </w:r>
    </w:p>
    <w:p>
      <w:r>
        <w:br w:type="page"/>
      </w:r>
    </w:p>
    <w:p>
      <w:pPr>
        <w:pStyle w:val="Heading1"/>
      </w:pPr>
      <w:r>
        <w:rPr>
          <w:rFonts w:ascii="黑体" w:hAnsi="黑体" w:eastAsia="黑体"/>
          <w:sz w:val="28"/>
        </w:rPr>
        <w:t>4  问题2：残损分类与检测模型</w:t>
      </w:r>
    </w:p>
    <w:p>
      <w:pPr>
        <w:pStyle w:val="Heading2"/>
      </w:pPr>
      <w:r>
        <w:rPr>
          <w:rFonts w:ascii="黑体" w:hAnsi="黑体" w:eastAsia="黑体"/>
          <w:sz w:val="26"/>
        </w:rPr>
        <w:t>4.1  问题分析与技术路线</w:t>
      </w:r>
    </w:p>
    <w:p>
      <w:pPr>
        <w:ind w:firstLine="480"/>
      </w:pPr>
      <w:r>
        <w:rPr>
          <w:rFonts w:ascii="宋体" w:hAnsi="宋体" w:eastAsia="宋体"/>
          <w:b w:val="0"/>
          <w:sz w:val="24"/>
        </w:rPr>
        <w:t>问题2要求同时完成两个子任务：（1）定位——找到残损在图像中的具体位置；（2）分类——识别残损的具体类别（Dent/Hole/Rusty）。从数学建模的角度，问题2可分解为两个相对独立的阶段：第一阶段是 patch 级多分类问题（判断给定图像区域属于 Dent、Hole、Rusty 还是 Background），第二阶段是目标检测问题（在整个图像中搜索并定位所有残损区域）。</w:t>
      </w:r>
    </w:p>
    <w:p>
      <w:pPr>
        <w:ind w:firstLine="480"/>
      </w:pPr>
      <w:r>
        <w:rPr>
          <w:rFonts w:ascii="宋体" w:hAnsi="宋体" w:eastAsia="宋体"/>
          <w:b w:val="0"/>
          <w:sz w:val="24"/>
        </w:rPr>
        <w:t>第一阶段（patch 分类）是问题2的核心数学建模成果。我们将训练集中的标注框转换为裁剪 patch，构造了一个包含 4 个类别（Dent、Hole、Rusty、Background）的 patch 级数据集，基于问题1的 51 维特征体系进行增强，引入 LightGBM 梯度提升集成学习器实现高精度分类。</w:t>
      </w:r>
    </w:p>
    <w:p>
      <w:pPr>
        <w:ind w:firstLine="480"/>
      </w:pPr>
      <w:r>
        <w:rPr>
          <w:rFonts w:ascii="宋体" w:hAnsi="宋体" w:eastAsia="宋体"/>
          <w:b w:val="0"/>
          <w:sz w:val="24"/>
        </w:rPr>
        <w:t>第二阶段（目标检测）采用多尺度滑动窗口策略，在整张图像上以不同尺度和步长生成候选窗口，对每个窗口提取特征后用第一阶段训练的 LightGBM 分类器进行判别，最后通过非极大值抑制（NMS）合并冗余检测框。然而，如第 4.5 节将详细讨论的，滑动窗口检测方法在面对任意位置、任意大小的真实残损时存在根本性的泛化瓶颈。</w:t>
      </w:r>
    </w:p>
    <w:p>
      <w:pPr>
        <w:pStyle w:val="Heading2"/>
      </w:pPr>
      <w:r>
        <w:rPr>
          <w:rFonts w:ascii="黑体" w:hAnsi="黑体" w:eastAsia="黑体"/>
          <w:sz w:val="26"/>
        </w:rPr>
        <w:t>4.2  增强特征体系设计</w:t>
      </w:r>
    </w:p>
    <w:p>
      <w:pPr>
        <w:ind w:firstLine="480"/>
      </w:pPr>
      <w:r>
        <w:rPr>
          <w:rFonts w:ascii="宋体" w:hAnsi="宋体" w:eastAsia="宋体"/>
          <w:b w:val="0"/>
          <w:sz w:val="24"/>
        </w:rPr>
        <w:t>问题1的 51 维特征体系（GLCM+HSV+Sobel+HOG_PCA+LBP）在图像级二分类任务上取得了接近完美的性能（F2=0.9985），但其设计目标是对整张 448×448 图像提取全局特征。问题2需要在更小的局部窗口（224×224）上区分 4 个类别，对特征的判别力提出了更高要求。为此，在 51 维基础上新增 21 维针对性特征，构建 72 维增强特征体系。</w:t>
      </w:r>
    </w:p>
    <w:p>
      <w:pPr>
        <w:pStyle w:val="Heading3"/>
      </w:pPr>
      <w:r>
        <w:rPr>
          <w:rFonts w:ascii="黑体" w:hAnsi="黑体" w:eastAsia="黑体"/>
          <w:sz w:val="24"/>
        </w:rPr>
        <w:t>4.2.1  基础特征模块（51维，复用问题1体系）</w:t>
      </w:r>
    </w:p>
    <w:p>
      <w:pPr>
        <w:ind w:firstLine="480"/>
      </w:pPr>
      <w:r>
        <w:rPr>
          <w:rFonts w:ascii="宋体" w:hAnsi="宋体" w:eastAsia="宋体"/>
          <w:b w:val="0"/>
          <w:sz w:val="24"/>
        </w:rPr>
        <w:t>以下 5 个模块与问题1相同，但提取对象从 448×448 全图改为 224×224 局部 patch：</w:t>
      </w:r>
    </w:p>
    <w:p>
      <w:pPr>
        <w:ind w:firstLine="480"/>
      </w:pPr>
      <w:r>
        <w:rPr>
          <w:rFonts w:ascii="宋体" w:hAnsi="宋体" w:eastAsia="宋体"/>
          <w:b w:val="0"/>
          <w:sz w:val="24"/>
        </w:rPr>
        <w:t>（1）GLCM 纹理特征（4维）：64 级灰度量化，d=1，4 方向平均，提取对比度、同质性、能量、相关性 4 个 Haralick 统计量。在 patch 级别，GLCM 可捕获局部表面粗糙度——光滑金属表面呈现高同质性、低对比度，而锈蚀和凹陷区域的纹理更加杂乱。</w:t>
      </w:r>
    </w:p>
    <w:p>
      <w:pPr>
        <w:ind w:firstLine="480"/>
      </w:pPr>
      <w:r>
        <w:rPr>
          <w:rFonts w:ascii="宋体" w:hAnsi="宋体" w:eastAsia="宋体"/>
          <w:b w:val="0"/>
          <w:sz w:val="24"/>
        </w:rPr>
        <w:t>（2）HSV 颜色矩（12维）：RGB→HSV 空间变换后，对 H、S、V 三通道各提取一至四阶矩（均值、标准差、偏度、峰度）。颜色信息对区分锈蚀（H 通道偏红褐色）与正常表面至关重要。</w:t>
      </w:r>
    </w:p>
    <w:p>
      <w:pPr>
        <w:ind w:firstLine="480"/>
      </w:pPr>
      <w:r>
        <w:rPr>
          <w:rFonts w:ascii="宋体" w:hAnsi="宋体" w:eastAsia="宋体"/>
          <w:b w:val="0"/>
          <w:sz w:val="24"/>
        </w:rPr>
        <w:t>（3）Sobel 边缘统计（2维）：3×3 Sobel 核计算梯度幅值，提取边缘密度（梯度幅值 &gt; 50 的像素占比）和平均梯度。破洞边缘通常产生强梯度响应，而锈蚀区域的边缘密度分布较为均匀。</w:t>
      </w:r>
    </w:p>
    <w:p>
      <w:pPr>
        <w:ind w:firstLine="480"/>
      </w:pPr>
      <w:r>
        <w:rPr>
          <w:rFonts w:ascii="宋体" w:hAnsi="宋体" w:eastAsia="宋体"/>
          <w:b w:val="0"/>
          <w:sz w:val="24"/>
        </w:rPr>
        <w:t>（4）HOG 方向梯度直方图（PCA 降维至 15 维）：cell_size=32，block 为 2×2 cell，9 方向 bin，原始 6084 维经 PCA 保留 95% 方差降至 15 维。HOG 捕获梯度方向的空间分布模式，对区分凹陷（曲面变形导致的平滑梯度变化）和破洞（锐利边缘）有重要价值。</w:t>
      </w:r>
    </w:p>
    <w:p>
      <w:pPr>
        <w:ind w:firstLine="480"/>
      </w:pPr>
      <w:r>
        <w:rPr>
          <w:rFonts w:ascii="宋体" w:hAnsi="宋体" w:eastAsia="宋体"/>
          <w:b w:val="0"/>
          <w:sz w:val="24"/>
        </w:rPr>
        <w:t>（5）LBP 局部二值模式（18维）：旋转不变 uniform LBP（P=16, R=2），统计 18-bin 归一化直方图。在 patch 级别，LBP 仍是判别力最强的单一特征模块——正常金属表面的 LBP 模式以平坦区域为主，而各类残损区域的 LBP 直方图分布发生显著偏移。</w:t>
      </w:r>
    </w:p>
    <w:p>
      <w:pPr>
        <w:pStyle w:val="Heading3"/>
      </w:pPr>
      <w:r>
        <w:rPr>
          <w:rFonts w:ascii="黑体" w:hAnsi="黑体" w:eastAsia="黑体"/>
          <w:sz w:val="24"/>
        </w:rPr>
        <w:t>4.2.2  新增增强特征模块（21维）</w:t>
      </w:r>
    </w:p>
    <w:p>
      <w:pPr>
        <w:ind w:firstLine="480"/>
      </w:pPr>
      <w:r>
        <w:rPr>
          <w:rFonts w:ascii="宋体" w:hAnsi="宋体" w:eastAsia="宋体"/>
          <w:b w:val="0"/>
          <w:sz w:val="24"/>
        </w:rPr>
        <w:t>（6）RGB 通道统计（6维）：对 R、G、B 三通道分别计算均值和标准差。与 HSV 颜色矩互补——RGB 空间直接反映像素亮度分布，标准差可区分纹理均匀的背景与纹理多变的残损区域。</w:t>
      </w:r>
    </w:p>
    <w:p>
      <w:pPr>
        <w:ind w:firstLine="480"/>
      </w:pPr>
      <w:r>
        <w:rPr>
          <w:rFonts w:ascii="宋体" w:hAnsi="宋体" w:eastAsia="宋体"/>
          <w:b w:val="0"/>
          <w:sz w:val="24"/>
        </w:rPr>
        <w:t>（7）LAB 颜色空间统计（6维）：L*a*b* 空间是感知均匀的色彩空间，a* 通道正值为红色、负值为绿色。集装箱锈蚀在 a* 通道呈现显著正偏移，LAB 统计量对锈蚀判别具有高度灵敏性。</w:t>
      </w:r>
    </w:p>
    <w:p>
      <w:pPr>
        <w:ind w:firstLine="480"/>
      </w:pPr>
      <w:r>
        <w:rPr>
          <w:rFonts w:ascii="宋体" w:hAnsi="宋体" w:eastAsia="宋体"/>
          <w:b w:val="0"/>
          <w:sz w:val="24"/>
        </w:rPr>
        <w:t>（8）锈蚀色彩占比（1维）：基于物理先验定义锈蚀像素判据——R &gt; G×1.1 且 R &gt; B×1.2 且 R &gt; 80（排除暗区域误判）。统计满足条件的像素占比作为单维特征。该特征的设计利用了锈蚀区域的色彩物理特性（铁锈呈红褐色，R 通道显著高于 G 和 B），是典型的领域知识驱动的特征工程。</w:t>
      </w:r>
    </w:p>
    <w:p>
      <w:pPr>
        <w:ind w:firstLine="480"/>
      </w:pPr>
      <w:r>
        <w:rPr>
          <w:rFonts w:ascii="宋体" w:hAnsi="宋体" w:eastAsia="宋体"/>
          <w:b w:val="0"/>
          <w:sz w:val="24"/>
        </w:rPr>
        <w:t>（9）R 通道直方图（8维）：将 R 通道 256 级灰度均匀量化为 8 bin，统计归一化频率。锈蚀区域的 R 通道分布整体右偏（更亮），8-bin 直方图可捕获该分布偏移。</w:t>
      </w:r>
    </w:p>
    <w:p>
      <w:pPr>
        <w:ind w:firstLine="480"/>
      </w:pPr>
      <w:r>
        <w:rPr>
          <w:rFonts w:ascii="宋体" w:hAnsi="宋体" w:eastAsia="宋体"/>
          <w:b w:val="0"/>
          <w:sz w:val="24"/>
        </w:rPr>
        <w:t>以上 9 个模块构成 72 维增强特征向量：GLCM(4) + HSV(12) + Sobel(2) + HOG_PCA(15) + LBP(18) + RGB(6) + LAB(6) + RustRatio(1) + R_hist(8) = 72 维。各模块功能互补，覆盖了纹理、颜色、边缘、梯度、局部模式等多个视觉维度。</w:t>
      </w:r>
    </w:p>
    <w:p>
      <w:pPr>
        <w:pStyle w:val="Heading3"/>
      </w:pPr>
      <w:r>
        <w:rPr>
          <w:rFonts w:ascii="黑体" w:hAnsi="黑体" w:eastAsia="黑体"/>
          <w:sz w:val="24"/>
        </w:rPr>
        <w:t>4.2.3  特征预处理</w:t>
      </w:r>
    </w:p>
    <w:p>
      <w:pPr>
        <w:ind w:firstLine="480"/>
      </w:pPr>
      <w:r>
        <w:rPr>
          <w:rFonts w:ascii="宋体" w:hAnsi="宋体" w:eastAsia="宋体"/>
          <w:b w:val="0"/>
          <w:sz w:val="24"/>
        </w:rPr>
        <w:t>（1）HOG PCA 降维：由于 HOG 原始维度（6084）远超其他模块（4~18维），单独对 HOG 做 PCA 降至 15 维（保留方差 &gt;95%），避免 HOG 主导特征空间。其余模块维度较低，不做 PCA 直接使用。</w:t>
      </w:r>
    </w:p>
    <w:p>
      <w:pPr>
        <w:ind w:firstLine="480"/>
      </w:pPr>
      <w:r>
        <w:rPr>
          <w:rFonts w:ascii="宋体" w:hAnsi="宋体" w:eastAsia="宋体"/>
          <w:b w:val="0"/>
          <w:sz w:val="24"/>
        </w:rPr>
        <w:t>（2）Z-score 标准化：对 72 维拼接特征逐维计算训练集均值和标准差，做标准化处理，使各维度在 LightGBM 训练中具有可比尺度。StandardScaler 参数（μⱼ, σⱼ）保存后用于所有推理。</w:t>
      </w:r>
    </w:p>
    <w:p>
      <w:pPr>
        <w:pStyle w:val="Heading2"/>
      </w:pPr>
      <w:r>
        <w:rPr>
          <w:rFonts w:ascii="黑体" w:hAnsi="黑体" w:eastAsia="黑体"/>
          <w:sz w:val="26"/>
        </w:rPr>
        <w:t>4.3  LightGBM 梯度提升分类器</w:t>
      </w:r>
    </w:p>
    <w:p>
      <w:pPr>
        <w:pStyle w:val="Heading3"/>
      </w:pPr>
      <w:r>
        <w:rPr>
          <w:rFonts w:ascii="黑体" w:hAnsi="黑体" w:eastAsia="黑体"/>
          <w:sz w:val="24"/>
        </w:rPr>
        <w:t>4.3.1  模型选择依据</w:t>
      </w:r>
    </w:p>
    <w:p>
      <w:pPr>
        <w:ind w:firstLine="480"/>
      </w:pPr>
      <w:r>
        <w:rPr>
          <w:rFonts w:ascii="宋体" w:hAnsi="宋体" w:eastAsia="宋体"/>
          <w:b w:val="0"/>
          <w:sz w:val="24"/>
        </w:rPr>
        <w:t>问题2的 patch 分类任务与问题1的二分类任务有本质区别：（1）多类别（4 类 vs 2 类）；（2）类间特征分布非线性可分。逻辑回归是线性分类器，其决策边界为超平面，在多类别非线性场景下表达能力受限（第 5.2.3 节的对比实验给出定量证据：Softmax 回归仅约 79%）。LightGBM（Ke et al., 2017）作为梯度提升决策树（GBDT）的高效实现，通过逐棵树的残差拟合自动学习特征间的非线性交互，且具有以下优势：</w:t>
      </w:r>
    </w:p>
    <w:p>
      <w:pPr>
        <w:ind w:firstLine="480"/>
      </w:pPr>
      <w:r>
        <w:rPr>
          <w:rFonts w:ascii="宋体" w:hAnsi="宋体" w:eastAsia="宋体"/>
          <w:b w:val="0"/>
          <w:sz w:val="24"/>
        </w:rPr>
        <w:t>（1）天然支持多分类：采用 softmax 多分类目标，输出归一化的类别概率向量。</w:t>
      </w:r>
    </w:p>
    <w:p>
      <w:pPr>
        <w:ind w:firstLine="480"/>
      </w:pPr>
      <w:r>
        <w:rPr>
          <w:rFonts w:ascii="宋体" w:hAnsi="宋体" w:eastAsia="宋体"/>
          <w:b w:val="0"/>
          <w:sz w:val="24"/>
        </w:rPr>
        <w:t>（2）对类别不均衡鲁棒：通过 class_weight='balanced' 按类别样本频率的倒数对损失加权，Hole 等少数类的每个样本获得更高的损失权重，等价于在不改变数据分布的前提下实现代价敏感学习。</w:t>
      </w:r>
    </w:p>
    <w:p>
      <w:pPr>
        <w:ind w:firstLine="480"/>
      </w:pPr>
      <w:r>
        <w:rPr>
          <w:rFonts w:ascii="宋体" w:hAnsi="宋体" w:eastAsia="宋体"/>
          <w:b w:val="0"/>
          <w:sz w:val="24"/>
        </w:rPr>
        <w:t>（3）特征重要性可解释：训练后可输出基于分裂增益（gain）的特征重要性排序，便于分析哪些特征模块对分类贡献最大。</w:t>
      </w:r>
    </w:p>
    <w:p>
      <w:pPr>
        <w:ind w:firstLine="480"/>
      </w:pPr>
      <w:r>
        <w:rPr>
          <w:rFonts w:ascii="宋体" w:hAnsi="宋体" w:eastAsia="宋体"/>
          <w:b w:val="0"/>
          <w:sz w:val="24"/>
        </w:rPr>
        <w:t>（4）对特征尺度不敏感：基于直方图的分裂算法只依赖特征值的排序关系，特征的绝对尺度不影响分裂阈值的选择。但为保持与问题1方法论的一致性，仍进行 Z-score 标准化。</w:t>
      </w:r>
    </w:p>
    <w:p>
      <w:pPr>
        <w:pStyle w:val="Heading3"/>
      </w:pPr>
      <w:r>
        <w:rPr>
          <w:rFonts w:ascii="黑体" w:hAnsi="黑体" w:eastAsia="黑体"/>
          <w:sz w:val="24"/>
        </w:rPr>
        <w:t>4.3.2  模型原理</w:t>
      </w:r>
    </w:p>
    <w:p>
      <w:pPr>
        <w:ind w:firstLine="480"/>
      </w:pPr>
      <w:r>
        <w:rPr>
          <w:rFonts w:ascii="宋体" w:hAnsi="宋体" w:eastAsia="宋体"/>
          <w:b w:val="0"/>
          <w:sz w:val="24"/>
        </w:rPr>
        <w:t>LightGBM 属于梯度提升框架（Friedman, 2001）：以加法模型 F(x) = Σ_{m=1}^{M} η·f_m(x) 逐轮拟合损失函数的负梯度方向，其中 f_m 为第 m 轮训练的决策树，η 为学习率（shrinkage），M 为树的数量。算法流程如下：</w:t>
      </w:r>
    </w:p>
    <w:p>
      <w:pPr>
        <w:ind w:firstLine="480"/>
      </w:pPr>
      <w:r>
        <w:rPr>
          <w:rFonts w:ascii="宋体" w:hAnsi="宋体" w:eastAsia="宋体"/>
          <w:b w:val="0"/>
          <w:sz w:val="24"/>
        </w:rPr>
        <w:t>Step 1（多分类损失）：对 K=4 类分类任务，采用带类别权重的 softmax 交叉熵损失 L = −Σ_{i}Σ_{k=1}^{K} w_k·y_ik·log p_ik，其中 p_ik = softmax(F_k(x_i)) 为第 i 个样本属于第 k 类的预测概率，w_k 为类别权重（class_weight='balanced'，w_k = N/(K·N_k)，N_k 为第 k 类样本数）。类别权重使少数类（Hole，仅 788 个训练样本）的单样本误分类代价按比例放大，缓解类别不均衡。</w:t>
      </w:r>
    </w:p>
    <w:p>
      <w:pPr>
        <w:ind w:firstLine="480"/>
      </w:pPr>
      <w:r>
        <w:rPr>
          <w:rFonts w:ascii="宋体" w:hAnsi="宋体" w:eastAsia="宋体"/>
          <w:b w:val="0"/>
          <w:sz w:val="24"/>
        </w:rPr>
        <w:t>Step 2（负梯度拟合）：第 m 轮拟合的目标是损失函数对当前模型输出的负梯度（伪残差）r_ik = −∂L/∂F_k(x_i) = w_k(y_ik − p_ik)。直观上，当前模型把第 i 个样本判为第 k 类的概率越低，其残差越大，下一棵树越着力「修正」该样本——与 AdaBoost 的样本加权思想异曲同工，但通过对损失函数的函数空间梯度下降实现，可适配任意可微损失。</w:t>
      </w:r>
    </w:p>
    <w:p>
      <w:pPr>
        <w:ind w:firstLine="480"/>
      </w:pPr>
      <w:r>
        <w:rPr>
          <w:rFonts w:ascii="宋体" w:hAnsi="宋体" w:eastAsia="宋体"/>
          <w:b w:val="0"/>
          <w:sz w:val="24"/>
        </w:rPr>
        <w:t>Step 3（直方图算法与叶向生长）：每棵树分裂前先将特征值离散化为 256 个 bin 的直方图，仅在 bin 边界处搜索最优分裂点，使单次分裂的计算复杂度从 O(#data × #features) 降至 O(#bins × #features)。树结构采用叶向（leaf-wise）生长——每次选择当前所有叶子中分裂增益最大的叶子进行分裂，直至叶子数达到 num_leaves=63 或叶内样本数低于 min_child_samples=20。分裂增益由牛顿法导出：Gain = ½[G_L²/(H_L+λ) + G_R²/(H_R+λ) − (G_L+G_R)²/(H_L+H_R+λ)]，其中 G、H 分别为叶子内样本损失的一阶、二阶梯度之和，λ 为正则化系数。叶向生长配合不限制深度（max_depth=−1）的策略，使树能针对少数难分区域「定向加深」，比逐层生长更高效地拟合复杂的非线性决策边界。</w:t>
      </w:r>
    </w:p>
    <w:p>
      <w:pPr>
        <w:ind w:firstLine="480"/>
      </w:pPr>
      <w:r>
        <w:rPr>
          <w:rFonts w:ascii="宋体" w:hAnsi="宋体" w:eastAsia="宋体"/>
          <w:b w:val="0"/>
          <w:sz w:val="24"/>
        </w:rPr>
        <w:t>Step 4（集成预测）：最终输出 F(x) = Σ_{m=1}^{M} η·f_m(x)，类别概率 p_k = softmax(F_k(x))，分类结果 ŷ = argmax_k p_k。学习率 η=0.1 的收缩机制使每棵树只贡献小幅修正，防止单棵树过拟合主导模型。</w:t>
      </w:r>
    </w:p>
    <w:p>
      <w:pPr>
        <w:ind w:firstLine="480"/>
      </w:pPr>
      <w:r>
        <w:rPr>
          <w:rFonts w:ascii="宋体" w:hAnsi="宋体" w:eastAsia="宋体"/>
          <w:b w:val="0"/>
          <w:sz w:val="24"/>
        </w:rPr>
        <w:t>超参数配置：n_estimators=1000（树的数量）、num_leaves=63（每棵树最大叶子数）、learning_rate=0.1（shrinkage）、max_depth=−1（不限制深度）、min_child_samples=20（叶内最小样本数）、class_weight='balanced'。该配置由 3 维网格搜索确定（见 4.6.2 节）。</w:t>
      </w:r>
    </w:p>
    <w:p>
      <w:pPr>
        <w:pStyle w:val="Heading3"/>
      </w:pPr>
      <w:r>
        <w:rPr>
          <w:rFonts w:ascii="黑体" w:hAnsi="黑体" w:eastAsia="黑体"/>
          <w:sz w:val="24"/>
        </w:rPr>
        <w:t>4.3.3  数据集构造与负样本策略</w:t>
      </w:r>
    </w:p>
    <w:p>
      <w:pPr>
        <w:ind w:firstLine="480"/>
      </w:pPr>
      <w:r>
        <w:rPr>
          <w:rFonts w:ascii="宋体" w:hAnsi="宋体" w:eastAsia="宋体"/>
          <w:b w:val="0"/>
          <w:sz w:val="24"/>
        </w:rPr>
        <w:t>训练集构造方法如 2.4.2 节所述：正样本来自标注框扩展裁剪（训练集 Dent=3147, Hole=788, Rusty=2505），负样本（Background）来自非 bbox 区域的表面 patch（训练集 4445 个），合计 10,885 个 224×224 patch。</w:t>
      </w:r>
    </w:p>
    <w:p>
      <w:pPr>
        <w:ind w:firstLine="480"/>
      </w:pPr>
      <w:r>
        <w:rPr>
          <w:rFonts w:ascii="宋体" w:hAnsi="宋体" w:eastAsia="宋体"/>
          <w:b w:val="0"/>
          <w:sz w:val="24"/>
        </w:rPr>
        <w:t>对于问题2的 patch 分类任务，Background 类的质量直接决定了分类器在实际滑动窗口检测中的误报率（将正常表面误判为残损）。初步实验发现，仅使用随机采样（neg_mode='random'）构造的负样本过于「简单」——它们来自平滑、纹理单一的集装箱表面区域，与滑动窗口在真实图像中碰到的铆钉、焊缝、编号文字、边缘转折等「硬负样本」存在显著差异。</w:t>
      </w:r>
    </w:p>
    <w:p>
      <w:pPr>
        <w:ind w:firstLine="480"/>
      </w:pPr>
      <w:r>
        <w:rPr>
          <w:rFonts w:ascii="宋体" w:hAnsi="宋体" w:eastAsia="宋体"/>
          <w:b w:val="0"/>
          <w:sz w:val="24"/>
        </w:rPr>
        <w:t>为解决这一问题，本文设计了「硬负样本混合」策略（neg_mode='hard_mixed'）：每张图采样 2 个负样本，其中 1 个为边界负样本、1 个为高纹理负样本（各自采样不足时回退到随机采样）：</w:t>
      </w:r>
    </w:p>
    <w:p>
      <w:pPr>
        <w:ind w:firstLine="480"/>
      </w:pPr>
      <w:r>
        <w:rPr>
          <w:rFonts w:ascii="宋体" w:hAnsi="宋体" w:eastAsia="宋体"/>
          <w:b w:val="0"/>
          <w:sz w:val="24"/>
        </w:rPr>
        <w:t>（1）边界负样本（boundary negative）：在标注框边界附近（IoU=0，即与 bbox 无重叠但紧邻的区域）采样。这些区域位于残损与正常表面的过渡带，纹理特征介于两者之间，对分类器构成挑战。</w:t>
      </w:r>
    </w:p>
    <w:p>
      <w:pPr>
        <w:ind w:firstLine="480"/>
      </w:pPr>
      <w:r>
        <w:rPr>
          <w:rFonts w:ascii="宋体" w:hAnsi="宋体" w:eastAsia="宋体"/>
          <w:b w:val="0"/>
          <w:sz w:val="24"/>
        </w:rPr>
        <w:t>（2）高纹理负样本（high_texture negative）：筛选 Sobel 边缘密度 &gt; 0.10 的正常表面区域。这些区域包含铆钉、焊缝、箱体编号等结构性纹理，容易被误判为残损。通过强制分类器学习这些区域的判别特征，有效抑制了对结构性纹理的误报。</w:t>
      </w:r>
    </w:p>
    <w:p>
      <w:pPr>
        <w:ind w:firstLine="480"/>
      </w:pPr>
      <w:r>
        <w:rPr>
          <w:rFonts w:ascii="宋体" w:hAnsi="宋体" w:eastAsia="宋体"/>
          <w:b w:val="0"/>
          <w:sz w:val="24"/>
        </w:rPr>
        <w:t>该策略显著提升了分类器对困难背景的判别能力——在验证集上，BG→Damage 的误分类仅 21 例（占总背景样本的 1.9%，详见第 4.4 节）。</w:t>
      </w:r>
    </w:p>
    <w:p>
      <w:pPr>
        <w:pStyle w:val="Heading2"/>
      </w:pPr>
      <w:r>
        <w:rPr>
          <w:rFonts w:ascii="黑体" w:hAnsi="黑体" w:eastAsia="黑体"/>
          <w:sz w:val="26"/>
        </w:rPr>
        <w:t>4.4  Patch 分类实验结果</w:t>
      </w:r>
    </w:p>
    <w:p>
      <w:pPr>
        <w:pStyle w:val="Heading3"/>
      </w:pPr>
      <w:r>
        <w:rPr>
          <w:rFonts w:ascii="黑体" w:hAnsi="黑体" w:eastAsia="黑体"/>
          <w:sz w:val="24"/>
        </w:rPr>
        <w:t>4.4.1  整体分类性能</w:t>
      </w:r>
    </w:p>
    <w:p>
      <w:pPr>
        <w:ind w:firstLine="480"/>
      </w:pPr>
      <w:r>
        <w:rPr>
          <w:rFonts w:ascii="宋体" w:hAnsi="宋体" w:eastAsia="宋体"/>
          <w:b w:val="0"/>
          <w:sz w:val="24"/>
        </w:rPr>
        <w:t>在验证集（658 张训练图按 80/20 划分所得，2703 个 patch）上，72 维增强特征 + LightGBM（n=1000, num_leaves=63, lr=0.1）的 4 分类性能如表 4-1 所示。</w:t>
      </w:r>
    </w:p>
    <w:p>
      <w:pPr>
        <w:spacing w:before="120" w:after="80"/>
        <w:jc w:val="center"/>
      </w:pPr>
      <w:r>
        <w:rPr>
          <w:rFonts w:ascii="宋体" w:hAnsi="宋体" w:eastAsia="宋体"/>
          <w:b/>
          <w:sz w:val="20"/>
        </w:rPr>
        <w:t>表4-1  Patch 分类整体性能（72维增强特征 + LightGBM）</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b/>
                <w:sz w:val="18"/>
              </w:rPr>
              <w:t>指标</w:t>
            </w:r>
          </w:p>
        </w:tc>
        <w:tc>
          <w:tcPr>
            <w:tcW w:type="dxa" w:w="4317"/>
          </w:tcPr>
          <w:p>
            <w:pPr>
              <w:jc w:val="center"/>
            </w:pPr>
            <w:r>
              <w:rPr>
                <w:b/>
                <w:sz w:val="18"/>
              </w:rPr>
              <w:t>数值</w:t>
            </w:r>
          </w:p>
        </w:tc>
      </w:tr>
      <w:tr>
        <w:tc>
          <w:tcPr>
            <w:tcW w:type="dxa" w:w="4317"/>
          </w:tcPr>
          <w:p>
            <w:pPr>
              <w:jc w:val="center"/>
            </w:pPr>
            <w:r>
              <w:rPr>
                <w:sz w:val="18"/>
              </w:rPr>
              <w:t>Overall Accuracy</w:t>
            </w:r>
          </w:p>
        </w:tc>
        <w:tc>
          <w:tcPr>
            <w:tcW w:type="dxa" w:w="4317"/>
          </w:tcPr>
          <w:p>
            <w:pPr>
              <w:jc w:val="center"/>
            </w:pPr>
            <w:r>
              <w:rPr>
                <w:sz w:val="18"/>
              </w:rPr>
              <w:t>0.8972</w:t>
            </w:r>
          </w:p>
        </w:tc>
      </w:tr>
      <w:tr>
        <w:tc>
          <w:tcPr>
            <w:tcW w:type="dxa" w:w="4317"/>
          </w:tcPr>
          <w:p>
            <w:pPr>
              <w:jc w:val="center"/>
            </w:pPr>
            <w:r>
              <w:rPr>
                <w:sz w:val="18"/>
              </w:rPr>
              <w:t>Macro Precision</w:t>
            </w:r>
          </w:p>
        </w:tc>
        <w:tc>
          <w:tcPr>
            <w:tcW w:type="dxa" w:w="4317"/>
          </w:tcPr>
          <w:p>
            <w:pPr>
              <w:jc w:val="center"/>
            </w:pPr>
            <w:r>
              <w:rPr>
                <w:sz w:val="18"/>
              </w:rPr>
              <w:t>0.8543</w:t>
            </w:r>
          </w:p>
        </w:tc>
      </w:tr>
      <w:tr>
        <w:tc>
          <w:tcPr>
            <w:tcW w:type="dxa" w:w="4317"/>
          </w:tcPr>
          <w:p>
            <w:pPr>
              <w:jc w:val="center"/>
            </w:pPr>
            <w:r>
              <w:rPr>
                <w:sz w:val="18"/>
              </w:rPr>
              <w:t>Macro Recall</w:t>
            </w:r>
          </w:p>
        </w:tc>
        <w:tc>
          <w:tcPr>
            <w:tcW w:type="dxa" w:w="4317"/>
          </w:tcPr>
          <w:p>
            <w:pPr>
              <w:jc w:val="center"/>
            </w:pPr>
            <w:r>
              <w:rPr>
                <w:sz w:val="18"/>
              </w:rPr>
              <w:t>0.8573</w:t>
            </w:r>
          </w:p>
        </w:tc>
      </w:tr>
      <w:tr>
        <w:tc>
          <w:tcPr>
            <w:tcW w:type="dxa" w:w="4317"/>
          </w:tcPr>
          <w:p>
            <w:pPr>
              <w:jc w:val="center"/>
            </w:pPr>
            <w:r>
              <w:rPr>
                <w:sz w:val="18"/>
              </w:rPr>
              <w:t>Macro F1-score</w:t>
            </w:r>
          </w:p>
        </w:tc>
        <w:tc>
          <w:tcPr>
            <w:tcW w:type="dxa" w:w="4317"/>
          </w:tcPr>
          <w:p>
            <w:pPr>
              <w:jc w:val="center"/>
            </w:pPr>
            <w:r>
              <w:rPr>
                <w:sz w:val="18"/>
              </w:rPr>
              <w:t>0.8552</w:t>
            </w:r>
          </w:p>
        </w:tc>
      </w:tr>
      <w:tr>
        <w:tc>
          <w:tcPr>
            <w:tcW w:type="dxa" w:w="4317"/>
          </w:tcPr>
          <w:p>
            <w:pPr>
              <w:jc w:val="center"/>
            </w:pPr>
            <w:r>
              <w:rPr>
                <w:sz w:val="18"/>
              </w:rPr>
              <w:t>Macro F2-score</w:t>
            </w:r>
          </w:p>
        </w:tc>
        <w:tc>
          <w:tcPr>
            <w:tcW w:type="dxa" w:w="4317"/>
          </w:tcPr>
          <w:p>
            <w:pPr>
              <w:jc w:val="center"/>
            </w:pPr>
            <w:r>
              <w:rPr>
                <w:sz w:val="18"/>
              </w:rPr>
              <w:t>0.8563</w:t>
            </w:r>
          </w:p>
        </w:tc>
      </w:tr>
      <w:tr>
        <w:tc>
          <w:tcPr>
            <w:tcW w:type="dxa" w:w="4317"/>
          </w:tcPr>
          <w:p>
            <w:pPr>
              <w:jc w:val="center"/>
            </w:pPr>
            <w:r>
              <w:rPr>
                <w:sz w:val="18"/>
              </w:rPr>
              <w:t>Weighted F1</w:t>
            </w:r>
          </w:p>
        </w:tc>
        <w:tc>
          <w:tcPr>
            <w:tcW w:type="dxa" w:w="4317"/>
          </w:tcPr>
          <w:p>
            <w:pPr>
              <w:jc w:val="center"/>
            </w:pPr>
            <w:r>
              <w:rPr>
                <w:sz w:val="18"/>
              </w:rPr>
              <w:t>0.8965</w:t>
            </w:r>
          </w:p>
        </w:tc>
      </w:tr>
    </w:tbl>
    <w:p/>
    <w:p>
      <w:pPr>
        <w:pStyle w:val="Heading3"/>
      </w:pPr>
      <w:r>
        <w:rPr>
          <w:rFonts w:ascii="黑体" w:hAnsi="黑体" w:eastAsia="黑体"/>
          <w:sz w:val="24"/>
        </w:rPr>
        <w:t>4.4.2  各类别详细性能</w:t>
      </w:r>
    </w:p>
    <w:p>
      <w:pPr>
        <w:ind w:firstLine="480"/>
      </w:pPr>
      <w:r>
        <w:rPr>
          <w:rFonts w:ascii="宋体" w:hAnsi="宋体" w:eastAsia="宋体"/>
          <w:b w:val="0"/>
          <w:sz w:val="24"/>
        </w:rPr>
        <w:t>表 4-2 列出了 4 个类别的逐类 Precision、Recall、F1 和样本数。</w:t>
      </w:r>
    </w:p>
    <w:p>
      <w:pPr>
        <w:spacing w:before="120" w:after="80"/>
        <w:jc w:val="center"/>
      </w:pPr>
      <w:r>
        <w:rPr>
          <w:rFonts w:ascii="宋体" w:hAnsi="宋体" w:eastAsia="宋体"/>
          <w:b/>
          <w:sz w:val="20"/>
        </w:rPr>
        <w:t>表4-2  各类别分类性能（验证集）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18"/>
              </w:rPr>
              <w:t>类别</w:t>
            </w:r>
          </w:p>
        </w:tc>
        <w:tc>
          <w:tcPr>
            <w:tcW w:type="dxa" w:w="1727"/>
          </w:tcPr>
          <w:p>
            <w:pPr>
              <w:jc w:val="center"/>
            </w:pPr>
            <w:r>
              <w:rPr>
                <w:b/>
                <w:sz w:val="18"/>
              </w:rPr>
              <w:t>Precision</w:t>
            </w:r>
          </w:p>
        </w:tc>
        <w:tc>
          <w:tcPr>
            <w:tcW w:type="dxa" w:w="1727"/>
          </w:tcPr>
          <w:p>
            <w:pPr>
              <w:jc w:val="center"/>
            </w:pPr>
            <w:r>
              <w:rPr>
                <w:b/>
                <w:sz w:val="18"/>
              </w:rPr>
              <w:t>Recall</w:t>
            </w:r>
          </w:p>
        </w:tc>
        <w:tc>
          <w:tcPr>
            <w:tcW w:type="dxa" w:w="1727"/>
          </w:tcPr>
          <w:p>
            <w:pPr>
              <w:jc w:val="center"/>
            </w:pPr>
            <w:r>
              <w:rPr>
                <w:b/>
                <w:sz w:val="18"/>
              </w:rPr>
              <w:t>F1-score</w:t>
            </w:r>
          </w:p>
        </w:tc>
        <w:tc>
          <w:tcPr>
            <w:tcW w:type="dxa" w:w="1727"/>
          </w:tcPr>
          <w:p>
            <w:pPr>
              <w:jc w:val="center"/>
            </w:pPr>
            <w:r>
              <w:rPr>
                <w:b/>
                <w:sz w:val="18"/>
              </w:rPr>
              <w:t>样本数</w:t>
            </w:r>
          </w:p>
        </w:tc>
      </w:tr>
      <w:tr>
        <w:tc>
          <w:tcPr>
            <w:tcW w:type="dxa" w:w="1727"/>
          </w:tcPr>
          <w:p>
            <w:pPr>
              <w:jc w:val="center"/>
            </w:pPr>
            <w:r>
              <w:rPr>
                <w:sz w:val="18"/>
              </w:rPr>
              <w:t>Dent（凹陷）</w:t>
            </w:r>
          </w:p>
        </w:tc>
        <w:tc>
          <w:tcPr>
            <w:tcW w:type="dxa" w:w="1727"/>
          </w:tcPr>
          <w:p>
            <w:pPr>
              <w:jc w:val="center"/>
            </w:pPr>
            <w:r>
              <w:rPr>
                <w:sz w:val="18"/>
              </w:rPr>
              <w:t>0.8952</w:t>
            </w:r>
          </w:p>
        </w:tc>
        <w:tc>
          <w:tcPr>
            <w:tcW w:type="dxa" w:w="1727"/>
          </w:tcPr>
          <w:p>
            <w:pPr>
              <w:jc w:val="center"/>
            </w:pPr>
            <w:r>
              <w:rPr>
                <w:sz w:val="18"/>
              </w:rPr>
              <w:t>0.8361</w:t>
            </w:r>
          </w:p>
        </w:tc>
        <w:tc>
          <w:tcPr>
            <w:tcW w:type="dxa" w:w="1727"/>
          </w:tcPr>
          <w:p>
            <w:pPr>
              <w:jc w:val="center"/>
            </w:pPr>
            <w:r>
              <w:rPr>
                <w:sz w:val="18"/>
              </w:rPr>
              <w:t>0.8647</w:t>
            </w:r>
          </w:p>
        </w:tc>
        <w:tc>
          <w:tcPr>
            <w:tcW w:type="dxa" w:w="1727"/>
          </w:tcPr>
          <w:p>
            <w:pPr>
              <w:jc w:val="center"/>
            </w:pPr>
            <w:r>
              <w:rPr>
                <w:sz w:val="18"/>
              </w:rPr>
              <w:t>787</w:t>
            </w:r>
          </w:p>
        </w:tc>
      </w:tr>
      <w:tr>
        <w:tc>
          <w:tcPr>
            <w:tcW w:type="dxa" w:w="1727"/>
          </w:tcPr>
          <w:p>
            <w:pPr>
              <w:jc w:val="center"/>
            </w:pPr>
            <w:r>
              <w:rPr>
                <w:sz w:val="18"/>
              </w:rPr>
              <w:t>Hole（破洞）</w:t>
            </w:r>
          </w:p>
        </w:tc>
        <w:tc>
          <w:tcPr>
            <w:tcW w:type="dxa" w:w="1727"/>
          </w:tcPr>
          <w:p>
            <w:pPr>
              <w:jc w:val="center"/>
            </w:pPr>
            <w:r>
              <w:rPr>
                <w:sz w:val="18"/>
              </w:rPr>
              <w:t>0.7024</w:t>
            </w:r>
          </w:p>
        </w:tc>
        <w:tc>
          <w:tcPr>
            <w:tcW w:type="dxa" w:w="1727"/>
          </w:tcPr>
          <w:p>
            <w:pPr>
              <w:jc w:val="center"/>
            </w:pPr>
            <w:r>
              <w:rPr>
                <w:sz w:val="18"/>
              </w:rPr>
              <w:t>0.7468</w:t>
            </w:r>
          </w:p>
        </w:tc>
        <w:tc>
          <w:tcPr>
            <w:tcW w:type="dxa" w:w="1727"/>
          </w:tcPr>
          <w:p>
            <w:pPr>
              <w:jc w:val="center"/>
            </w:pPr>
            <w:r>
              <w:rPr>
                <w:sz w:val="18"/>
              </w:rPr>
              <w:t>0.7239</w:t>
            </w:r>
          </w:p>
        </w:tc>
        <w:tc>
          <w:tcPr>
            <w:tcW w:type="dxa" w:w="1727"/>
          </w:tcPr>
          <w:p>
            <w:pPr>
              <w:jc w:val="center"/>
            </w:pPr>
            <w:r>
              <w:rPr>
                <w:sz w:val="18"/>
              </w:rPr>
              <w:t>158</w:t>
            </w:r>
          </w:p>
        </w:tc>
      </w:tr>
      <w:tr>
        <w:tc>
          <w:tcPr>
            <w:tcW w:type="dxa" w:w="1727"/>
          </w:tcPr>
          <w:p>
            <w:pPr>
              <w:jc w:val="center"/>
            </w:pPr>
            <w:r>
              <w:rPr>
                <w:sz w:val="18"/>
              </w:rPr>
              <w:t>Rusty（锈蚀）</w:t>
            </w:r>
          </w:p>
        </w:tc>
        <w:tc>
          <w:tcPr>
            <w:tcW w:type="dxa" w:w="1727"/>
          </w:tcPr>
          <w:p>
            <w:pPr>
              <w:jc w:val="center"/>
            </w:pPr>
            <w:r>
              <w:rPr>
                <w:sz w:val="18"/>
              </w:rPr>
              <w:t>0.8884</w:t>
            </w:r>
          </w:p>
        </w:tc>
        <w:tc>
          <w:tcPr>
            <w:tcW w:type="dxa" w:w="1727"/>
          </w:tcPr>
          <w:p>
            <w:pPr>
              <w:jc w:val="center"/>
            </w:pPr>
            <w:r>
              <w:rPr>
                <w:sz w:val="18"/>
              </w:rPr>
              <w:t>0.8652</w:t>
            </w:r>
          </w:p>
        </w:tc>
        <w:tc>
          <w:tcPr>
            <w:tcW w:type="dxa" w:w="1727"/>
          </w:tcPr>
          <w:p>
            <w:pPr>
              <w:jc w:val="center"/>
            </w:pPr>
            <w:r>
              <w:rPr>
                <w:sz w:val="18"/>
              </w:rPr>
              <w:t>0.8766</w:t>
            </w:r>
          </w:p>
        </w:tc>
        <w:tc>
          <w:tcPr>
            <w:tcW w:type="dxa" w:w="1727"/>
          </w:tcPr>
          <w:p>
            <w:pPr>
              <w:jc w:val="center"/>
            </w:pPr>
            <w:r>
              <w:rPr>
                <w:sz w:val="18"/>
              </w:rPr>
              <w:t>653</w:t>
            </w:r>
          </w:p>
        </w:tc>
      </w:tr>
      <w:tr>
        <w:tc>
          <w:tcPr>
            <w:tcW w:type="dxa" w:w="1727"/>
          </w:tcPr>
          <w:p>
            <w:pPr>
              <w:jc w:val="center"/>
            </w:pPr>
            <w:r>
              <w:rPr>
                <w:sz w:val="18"/>
              </w:rPr>
              <w:t>Background（背景）</w:t>
            </w:r>
          </w:p>
        </w:tc>
        <w:tc>
          <w:tcPr>
            <w:tcW w:type="dxa" w:w="1727"/>
          </w:tcPr>
          <w:p>
            <w:pPr>
              <w:jc w:val="center"/>
            </w:pPr>
            <w:r>
              <w:rPr>
                <w:sz w:val="18"/>
              </w:rPr>
              <w:t>0.9313</w:t>
            </w:r>
          </w:p>
        </w:tc>
        <w:tc>
          <w:tcPr>
            <w:tcW w:type="dxa" w:w="1727"/>
          </w:tcPr>
          <w:p>
            <w:pPr>
              <w:jc w:val="center"/>
            </w:pPr>
            <w:r>
              <w:rPr>
                <w:sz w:val="18"/>
              </w:rPr>
              <w:t>0.9810</w:t>
            </w:r>
          </w:p>
        </w:tc>
        <w:tc>
          <w:tcPr>
            <w:tcW w:type="dxa" w:w="1727"/>
          </w:tcPr>
          <w:p>
            <w:pPr>
              <w:jc w:val="center"/>
            </w:pPr>
            <w:r>
              <w:rPr>
                <w:sz w:val="18"/>
              </w:rPr>
              <w:t>0.9555</w:t>
            </w:r>
          </w:p>
        </w:tc>
        <w:tc>
          <w:tcPr>
            <w:tcW w:type="dxa" w:w="1727"/>
          </w:tcPr>
          <w:p>
            <w:pPr>
              <w:jc w:val="center"/>
            </w:pPr>
            <w:r>
              <w:rPr>
                <w:sz w:val="18"/>
              </w:rPr>
              <w:t>1105</w:t>
            </w:r>
          </w:p>
        </w:tc>
      </w:tr>
    </w:tbl>
    <w:p/>
    <w:p>
      <w:pPr>
        <w:ind w:firstLine="480"/>
      </w:pPr>
      <w:r>
        <w:rPr>
          <w:rFonts w:ascii="宋体" w:hAnsi="宋体" w:eastAsia="宋体"/>
          <w:b w:val="0"/>
          <w:sz w:val="24"/>
        </w:rPr>
        <w:t>从表 4-2 可以观察到：</w:t>
      </w:r>
    </w:p>
    <w:p>
      <w:pPr>
        <w:ind w:firstLine="480"/>
      </w:pPr>
      <w:r>
        <w:rPr>
          <w:rFonts w:ascii="宋体" w:hAnsi="宋体" w:eastAsia="宋体"/>
          <w:b w:val="0"/>
          <w:sz w:val="24"/>
        </w:rPr>
        <w:t>（1）Background 类性能最优（F1=0.9555），说明硬负样本策略有效地让 LightGBM 学习到了正常表面与残损区域的判别边界。仅 21 例背景样本被误判为残损（BG→Damage），占总背景样本的 1.9%。</w:t>
      </w:r>
    </w:p>
    <w:p>
      <w:pPr>
        <w:ind w:firstLine="480"/>
      </w:pPr>
      <w:r>
        <w:rPr>
          <w:rFonts w:ascii="宋体" w:hAnsi="宋体" w:eastAsia="宋体"/>
          <w:b w:val="0"/>
          <w:sz w:val="24"/>
        </w:rPr>
        <w:t>（2）Rusty 类次优（F1=0.8766），锈蚀在颜色空间（LAB a*、RustRatio、R_hist）和纹理空间（LBP）均有显著特征，判别相对容易。</w:t>
      </w:r>
    </w:p>
    <w:p>
      <w:pPr>
        <w:ind w:firstLine="480"/>
      </w:pPr>
      <w:r>
        <w:rPr>
          <w:rFonts w:ascii="宋体" w:hAnsi="宋体" w:eastAsia="宋体"/>
          <w:b w:val="0"/>
          <w:sz w:val="24"/>
        </w:rPr>
        <w:t>（3）Dent 类 Precision 相对最低（0.8952），主要原因是 Dent 与 Rusty 之间的特征混淆——凹陷区域常伴随轻微锈蚀或阴影，颜色和纹理特征与 Rusty 存在重叠。混淆矩阵显示 Dent↔Rusty 双向误分类 93 例（占总 Dent 样本的 11.8%），是最大的单一误差来源。</w:t>
      </w:r>
    </w:p>
    <w:p>
      <w:pPr>
        <w:ind w:firstLine="480"/>
      </w:pPr>
      <w:r>
        <w:rPr>
          <w:rFonts w:ascii="宋体" w:hAnsi="宋体" w:eastAsia="宋体"/>
          <w:b w:val="0"/>
          <w:sz w:val="24"/>
        </w:rPr>
        <w:t>（4）Hole 类性能相对最弱（F1=0.7239），Recall 为 0.7468。Hole 类训练样本最少（仅 788 个），且破洞的视觉特征高度多变——小破洞类似于深色斑点，大破洞暴露出集装箱内部结构，特征一致性差。class_weight='balanced' 按样本频率倒数放大 Hole 类损失权重，一定程度上缓解了样本不均衡，但无法弥补 Hole 类本身的高类内方差。</w:t>
      </w:r>
    </w:p>
    <w:p>
      <w:pPr>
        <w:pStyle w:val="Heading3"/>
      </w:pPr>
      <w:r>
        <w:rPr>
          <w:rFonts w:ascii="黑体" w:hAnsi="黑体" w:eastAsia="黑体"/>
          <w:sz w:val="24"/>
        </w:rPr>
        <w:t>4.4.3  混淆矩阵分析</w:t>
      </w:r>
    </w:p>
    <w:p>
      <w:pPr>
        <w:ind w:firstLine="480"/>
      </w:pPr>
      <w:r>
        <w:rPr>
          <w:rFonts w:ascii="宋体" w:hAnsi="宋体" w:eastAsia="宋体"/>
          <w:b w:val="0"/>
          <w:sz w:val="24"/>
        </w:rPr>
        <w:t>表 4-3 为验证集 4 分类混淆矩阵，行表示真实类别，列表示预测类别。</w:t>
      </w:r>
    </w:p>
    <w:p>
      <w:pPr>
        <w:spacing w:before="120" w:after="80"/>
        <w:jc w:val="center"/>
      </w:pPr>
      <w:r>
        <w:rPr>
          <w:rFonts w:ascii="宋体" w:hAnsi="宋体" w:eastAsia="宋体"/>
          <w:b/>
          <w:sz w:val="20"/>
        </w:rPr>
        <w:t>表4-3  验证集混淆矩阵（72维增强特征 + LightGBM）</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18"/>
              </w:rPr>
            </w:r>
          </w:p>
        </w:tc>
        <w:tc>
          <w:tcPr>
            <w:tcW w:type="dxa" w:w="1727"/>
          </w:tcPr>
          <w:p>
            <w:pPr>
              <w:jc w:val="center"/>
            </w:pPr>
            <w:r>
              <w:rPr>
                <w:b/>
                <w:sz w:val="18"/>
              </w:rPr>
              <w:t>pred_Dent</w:t>
            </w:r>
          </w:p>
        </w:tc>
        <w:tc>
          <w:tcPr>
            <w:tcW w:type="dxa" w:w="1727"/>
          </w:tcPr>
          <w:p>
            <w:pPr>
              <w:jc w:val="center"/>
            </w:pPr>
            <w:r>
              <w:rPr>
                <w:b/>
                <w:sz w:val="18"/>
              </w:rPr>
              <w:t>pred_Hole</w:t>
            </w:r>
          </w:p>
        </w:tc>
        <w:tc>
          <w:tcPr>
            <w:tcW w:type="dxa" w:w="1727"/>
          </w:tcPr>
          <w:p>
            <w:pPr>
              <w:jc w:val="center"/>
            </w:pPr>
            <w:r>
              <w:rPr>
                <w:b/>
                <w:sz w:val="18"/>
              </w:rPr>
              <w:t>pred_Rusty</w:t>
            </w:r>
          </w:p>
        </w:tc>
        <w:tc>
          <w:tcPr>
            <w:tcW w:type="dxa" w:w="1727"/>
          </w:tcPr>
          <w:p>
            <w:pPr>
              <w:jc w:val="center"/>
            </w:pPr>
            <w:r>
              <w:rPr>
                <w:b/>
                <w:sz w:val="18"/>
              </w:rPr>
              <w:t>pred_Bg</w:t>
            </w:r>
          </w:p>
        </w:tc>
      </w:tr>
      <w:tr>
        <w:tc>
          <w:tcPr>
            <w:tcW w:type="dxa" w:w="1727"/>
          </w:tcPr>
          <w:p>
            <w:pPr>
              <w:jc w:val="center"/>
            </w:pPr>
            <w:r>
              <w:rPr>
                <w:sz w:val="18"/>
              </w:rPr>
              <w:t>true_Dent</w:t>
            </w:r>
          </w:p>
        </w:tc>
        <w:tc>
          <w:tcPr>
            <w:tcW w:type="dxa" w:w="1727"/>
          </w:tcPr>
          <w:p>
            <w:pPr>
              <w:jc w:val="center"/>
            </w:pPr>
            <w:r>
              <w:rPr>
                <w:sz w:val="18"/>
              </w:rPr>
              <w:t>658</w:t>
            </w:r>
          </w:p>
        </w:tc>
        <w:tc>
          <w:tcPr>
            <w:tcW w:type="dxa" w:w="1727"/>
          </w:tcPr>
          <w:p>
            <w:pPr>
              <w:jc w:val="center"/>
            </w:pPr>
            <w:r>
              <w:rPr>
                <w:sz w:val="18"/>
              </w:rPr>
              <w:t>19</w:t>
            </w:r>
          </w:p>
        </w:tc>
        <w:tc>
          <w:tcPr>
            <w:tcW w:type="dxa" w:w="1727"/>
          </w:tcPr>
          <w:p>
            <w:pPr>
              <w:jc w:val="center"/>
            </w:pPr>
            <w:r>
              <w:rPr>
                <w:sz w:val="18"/>
              </w:rPr>
              <w:t>51</w:t>
            </w:r>
          </w:p>
        </w:tc>
        <w:tc>
          <w:tcPr>
            <w:tcW w:type="dxa" w:w="1727"/>
          </w:tcPr>
          <w:p>
            <w:pPr>
              <w:jc w:val="center"/>
            </w:pPr>
            <w:r>
              <w:rPr>
                <w:sz w:val="18"/>
              </w:rPr>
              <w:t>59</w:t>
            </w:r>
          </w:p>
        </w:tc>
      </w:tr>
      <w:tr>
        <w:tc>
          <w:tcPr>
            <w:tcW w:type="dxa" w:w="1727"/>
          </w:tcPr>
          <w:p>
            <w:pPr>
              <w:jc w:val="center"/>
            </w:pPr>
            <w:r>
              <w:rPr>
                <w:sz w:val="18"/>
              </w:rPr>
              <w:t>true_Hole</w:t>
            </w:r>
          </w:p>
        </w:tc>
        <w:tc>
          <w:tcPr>
            <w:tcW w:type="dxa" w:w="1727"/>
          </w:tcPr>
          <w:p>
            <w:pPr>
              <w:jc w:val="center"/>
            </w:pPr>
            <w:r>
              <w:rPr>
                <w:sz w:val="18"/>
              </w:rPr>
              <w:t>16</w:t>
            </w:r>
          </w:p>
        </w:tc>
        <w:tc>
          <w:tcPr>
            <w:tcW w:type="dxa" w:w="1727"/>
          </w:tcPr>
          <w:p>
            <w:pPr>
              <w:jc w:val="center"/>
            </w:pPr>
            <w:r>
              <w:rPr>
                <w:sz w:val="18"/>
              </w:rPr>
              <w:t>118</w:t>
            </w:r>
          </w:p>
        </w:tc>
        <w:tc>
          <w:tcPr>
            <w:tcW w:type="dxa" w:w="1727"/>
          </w:tcPr>
          <w:p>
            <w:pPr>
              <w:jc w:val="center"/>
            </w:pPr>
            <w:r>
              <w:rPr>
                <w:sz w:val="18"/>
              </w:rPr>
              <w:t>18</w:t>
            </w:r>
          </w:p>
        </w:tc>
        <w:tc>
          <w:tcPr>
            <w:tcW w:type="dxa" w:w="1727"/>
          </w:tcPr>
          <w:p>
            <w:pPr>
              <w:jc w:val="center"/>
            </w:pPr>
            <w:r>
              <w:rPr>
                <w:sz w:val="18"/>
              </w:rPr>
              <w:t>6</w:t>
            </w:r>
          </w:p>
        </w:tc>
      </w:tr>
      <w:tr>
        <w:tc>
          <w:tcPr>
            <w:tcW w:type="dxa" w:w="1727"/>
          </w:tcPr>
          <w:p>
            <w:pPr>
              <w:jc w:val="center"/>
            </w:pPr>
            <w:r>
              <w:rPr>
                <w:sz w:val="18"/>
              </w:rPr>
              <w:t>true_Rusty</w:t>
            </w:r>
          </w:p>
        </w:tc>
        <w:tc>
          <w:tcPr>
            <w:tcW w:type="dxa" w:w="1727"/>
          </w:tcPr>
          <w:p>
            <w:pPr>
              <w:jc w:val="center"/>
            </w:pPr>
            <w:r>
              <w:rPr>
                <w:sz w:val="18"/>
              </w:rPr>
              <w:t>42</w:t>
            </w:r>
          </w:p>
        </w:tc>
        <w:tc>
          <w:tcPr>
            <w:tcW w:type="dxa" w:w="1727"/>
          </w:tcPr>
          <w:p>
            <w:pPr>
              <w:jc w:val="center"/>
            </w:pPr>
            <w:r>
              <w:rPr>
                <w:sz w:val="18"/>
              </w:rPr>
              <w:t>31</w:t>
            </w:r>
          </w:p>
        </w:tc>
        <w:tc>
          <w:tcPr>
            <w:tcW w:type="dxa" w:w="1727"/>
          </w:tcPr>
          <w:p>
            <w:pPr>
              <w:jc w:val="center"/>
            </w:pPr>
            <w:r>
              <w:rPr>
                <w:sz w:val="18"/>
              </w:rPr>
              <w:t>565</w:t>
            </w:r>
          </w:p>
        </w:tc>
        <w:tc>
          <w:tcPr>
            <w:tcW w:type="dxa" w:w="1727"/>
          </w:tcPr>
          <w:p>
            <w:pPr>
              <w:jc w:val="center"/>
            </w:pPr>
            <w:r>
              <w:rPr>
                <w:sz w:val="18"/>
              </w:rPr>
              <w:t>15</w:t>
            </w:r>
          </w:p>
        </w:tc>
      </w:tr>
      <w:tr>
        <w:tc>
          <w:tcPr>
            <w:tcW w:type="dxa" w:w="1727"/>
          </w:tcPr>
          <w:p>
            <w:pPr>
              <w:jc w:val="center"/>
            </w:pPr>
            <w:r>
              <w:rPr>
                <w:sz w:val="18"/>
              </w:rPr>
              <w:t>true_Bg</w:t>
            </w:r>
          </w:p>
        </w:tc>
        <w:tc>
          <w:tcPr>
            <w:tcW w:type="dxa" w:w="1727"/>
          </w:tcPr>
          <w:p>
            <w:pPr>
              <w:jc w:val="center"/>
            </w:pPr>
            <w:r>
              <w:rPr>
                <w:sz w:val="18"/>
              </w:rPr>
              <w:t>19</w:t>
            </w:r>
          </w:p>
        </w:tc>
        <w:tc>
          <w:tcPr>
            <w:tcW w:type="dxa" w:w="1727"/>
          </w:tcPr>
          <w:p>
            <w:pPr>
              <w:jc w:val="center"/>
            </w:pPr>
            <w:r>
              <w:rPr>
                <w:sz w:val="18"/>
              </w:rPr>
              <w:t>0</w:t>
            </w:r>
          </w:p>
        </w:tc>
        <w:tc>
          <w:tcPr>
            <w:tcW w:type="dxa" w:w="1727"/>
          </w:tcPr>
          <w:p>
            <w:pPr>
              <w:jc w:val="center"/>
            </w:pPr>
            <w:r>
              <w:rPr>
                <w:sz w:val="18"/>
              </w:rPr>
              <w:t>2</w:t>
            </w:r>
          </w:p>
        </w:tc>
        <w:tc>
          <w:tcPr>
            <w:tcW w:type="dxa" w:w="1727"/>
          </w:tcPr>
          <w:p>
            <w:pPr>
              <w:jc w:val="center"/>
            </w:pPr>
            <w:r>
              <w:rPr>
                <w:sz w:val="18"/>
              </w:rPr>
              <w:t>1084</w:t>
            </w:r>
          </w:p>
        </w:tc>
      </w:tr>
    </w:tbl>
    <w:p/>
    <w:p>
      <w:pPr>
        <w:ind w:firstLine="480"/>
      </w:pPr>
      <w:r>
        <w:rPr>
          <w:rFonts w:ascii="宋体" w:hAnsi="宋体" w:eastAsia="宋体"/>
          <w:b w:val="0"/>
          <w:sz w:val="24"/>
        </w:rPr>
        <w:t>混淆矩阵揭示了四个关键发现：</w:t>
      </w:r>
    </w:p>
    <w:p>
      <w:pPr>
        <w:ind w:firstLine="480"/>
      </w:pPr>
      <w:r>
        <w:rPr>
          <w:rFonts w:ascii="宋体" w:hAnsi="宋体" w:eastAsia="宋体"/>
          <w:b w:val="0"/>
          <w:sz w:val="24"/>
        </w:rPr>
        <w:t>（1）Dent↔Rusty 混淆（93 例）是最大的误差源：51 例 Dent 被误判为 Rusty，42 例 Rusty 被误判为 Dent。这两类的误分类并非模型缺陷，而是反映了物理现实——真实集装箱损伤中，凹陷和锈蚀经常共存（凹陷区域的涂装破损会加速锈蚀生成），两者的视觉边界本身模糊。该混淆在工程上可接受——即便类别判定有误，损伤区域已被检测到，不会导致漏检。</w:t>
      </w:r>
    </w:p>
    <w:p>
      <w:pPr>
        <w:ind w:firstLine="480"/>
      </w:pPr>
      <w:r>
        <w:rPr>
          <w:rFonts w:ascii="宋体" w:hAnsi="宋体" w:eastAsia="宋体"/>
          <w:b w:val="0"/>
          <w:sz w:val="24"/>
        </w:rPr>
        <w:t>（2）Dent↔Hole 混淆（35 例）次之：19 例 Dent→Hole 和 16 例 Hole→Dent。小型深色 Dent 在视觉上与 Hole 难以区分，尤其是背景较暗时。该类分类错误意味着损伤区域被定位但具体损伤类型被误判，在工程实践中仍具备参考价值。</w:t>
      </w:r>
    </w:p>
    <w:p>
      <w:pPr>
        <w:ind w:firstLine="480"/>
      </w:pPr>
      <w:r>
        <w:rPr>
          <w:rFonts w:ascii="宋体" w:hAnsi="宋体" w:eastAsia="宋体"/>
          <w:b w:val="0"/>
          <w:sz w:val="24"/>
        </w:rPr>
        <w:t>（3）Hole→BG（6 例）和 BG→Hole（0 例）误差极小，说明 Hole 与背景的判别边界清晰。BG→Damage 总数仅 21 例（1.9% 的 BG 样本），验证了硬负样本策略对控制误报的有效性。</w:t>
      </w:r>
    </w:p>
    <w:p>
      <w:pPr>
        <w:ind w:firstLine="480"/>
      </w:pPr>
      <w:r>
        <w:rPr>
          <w:rFonts w:ascii="宋体" w:hAnsi="宋体" w:eastAsia="宋体"/>
          <w:b w:val="0"/>
          <w:sz w:val="24"/>
        </w:rPr>
        <w:t>（4）Dent→BG 误分类 59 例（占 Dent 样本的 7.5%）：轻微凹陷的局部纹理与波纹板折线、焊缝等高纹理背景存在视觉重叠，在缺少 patch 外全局上下文时难以区分，从侧面印证了硬负样本的必要性与分类任务本身的难点。</w:t>
      </w:r>
    </w:p>
    <w:p>
      <w:pPr>
        <w:pStyle w:val="Heading3"/>
      </w:pPr>
      <w:r>
        <w:rPr>
          <w:rFonts w:ascii="黑体" w:hAnsi="黑体" w:eastAsia="黑体"/>
          <w:sz w:val="24"/>
        </w:rPr>
        <w:t>4.4.4  特征增强效果验证</w:t>
      </w:r>
    </w:p>
    <w:p>
      <w:pPr>
        <w:ind w:firstLine="480"/>
      </w:pPr>
      <w:r>
        <w:rPr>
          <w:rFonts w:ascii="宋体" w:hAnsi="宋体" w:eastAsia="宋体"/>
          <w:b w:val="0"/>
          <w:sz w:val="24"/>
        </w:rPr>
        <w:t>为验证 21 维新增特征（RGB+LAB+RustRatio+R_hist）的贡献，进行消融对比实验（表 4-4）。</w:t>
      </w:r>
    </w:p>
    <w:p>
      <w:pPr>
        <w:spacing w:before="120" w:after="80"/>
        <w:jc w:val="center"/>
      </w:pPr>
      <w:r>
        <w:rPr>
          <w:rFonts w:ascii="宋体" w:hAnsi="宋体" w:eastAsia="宋体"/>
          <w:b/>
          <w:sz w:val="20"/>
        </w:rPr>
        <w:t>表4-4  新增特征模块的消融实验（LightGBM，同一超参数配置）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18"/>
              </w:rPr>
              <w:t>特征组合</w:t>
            </w:r>
          </w:p>
        </w:tc>
        <w:tc>
          <w:tcPr>
            <w:tcW w:type="dxa" w:w="2158"/>
          </w:tcPr>
          <w:p>
            <w:pPr>
              <w:jc w:val="center"/>
            </w:pPr>
            <w:r>
              <w:rPr>
                <w:b/>
                <w:sz w:val="18"/>
              </w:rPr>
              <w:t>维度</w:t>
            </w:r>
          </w:p>
        </w:tc>
        <w:tc>
          <w:tcPr>
            <w:tcW w:type="dxa" w:w="2158"/>
          </w:tcPr>
          <w:p>
            <w:pPr>
              <w:jc w:val="center"/>
            </w:pPr>
            <w:r>
              <w:rPr>
                <w:b/>
                <w:sz w:val="18"/>
              </w:rPr>
              <w:t>Accuracy</w:t>
            </w:r>
          </w:p>
        </w:tc>
        <w:tc>
          <w:tcPr>
            <w:tcW w:type="dxa" w:w="2158"/>
          </w:tcPr>
          <w:p>
            <w:pPr>
              <w:jc w:val="center"/>
            </w:pPr>
            <w:r>
              <w:rPr>
                <w:b/>
                <w:sz w:val="18"/>
              </w:rPr>
              <w:t>Macro F1</w:t>
            </w:r>
          </w:p>
        </w:tc>
      </w:tr>
      <w:tr>
        <w:tc>
          <w:tcPr>
            <w:tcW w:type="dxa" w:w="2158"/>
          </w:tcPr>
          <w:p>
            <w:pPr>
              <w:jc w:val="center"/>
            </w:pPr>
            <w:r>
              <w:rPr>
                <w:sz w:val="18"/>
              </w:rPr>
              <w:t>51维（基础，同问题1体系）</w:t>
            </w:r>
          </w:p>
        </w:tc>
        <w:tc>
          <w:tcPr>
            <w:tcW w:type="dxa" w:w="2158"/>
          </w:tcPr>
          <w:p>
            <w:pPr>
              <w:jc w:val="center"/>
            </w:pPr>
            <w:r>
              <w:rPr>
                <w:sz w:val="18"/>
              </w:rPr>
              <w:t>51</w:t>
            </w:r>
          </w:p>
        </w:tc>
        <w:tc>
          <w:tcPr>
            <w:tcW w:type="dxa" w:w="2158"/>
          </w:tcPr>
          <w:p>
            <w:pPr>
              <w:jc w:val="center"/>
            </w:pPr>
            <w:r>
              <w:rPr>
                <w:sz w:val="18"/>
              </w:rPr>
              <w:t>0.8916</w:t>
            </w:r>
          </w:p>
        </w:tc>
        <w:tc>
          <w:tcPr>
            <w:tcW w:type="dxa" w:w="2158"/>
          </w:tcPr>
          <w:p>
            <w:pPr>
              <w:jc w:val="center"/>
            </w:pPr>
            <w:r>
              <w:rPr>
                <w:sz w:val="18"/>
              </w:rPr>
              <w:t>0.8422</w:t>
            </w:r>
          </w:p>
        </w:tc>
      </w:tr>
      <w:tr>
        <w:tc>
          <w:tcPr>
            <w:tcW w:type="dxa" w:w="2158"/>
          </w:tcPr>
          <w:p>
            <w:pPr>
              <w:jc w:val="center"/>
            </w:pPr>
            <w:r>
              <w:rPr>
                <w:sz w:val="18"/>
              </w:rPr>
              <w:t>72维（增强，+RGB+LAB+锈色+R_hist）</w:t>
            </w:r>
          </w:p>
        </w:tc>
        <w:tc>
          <w:tcPr>
            <w:tcW w:type="dxa" w:w="2158"/>
          </w:tcPr>
          <w:p>
            <w:pPr>
              <w:jc w:val="center"/>
            </w:pPr>
            <w:r>
              <w:rPr>
                <w:sz w:val="18"/>
              </w:rPr>
              <w:t>72</w:t>
            </w:r>
          </w:p>
        </w:tc>
        <w:tc>
          <w:tcPr>
            <w:tcW w:type="dxa" w:w="2158"/>
          </w:tcPr>
          <w:p>
            <w:pPr>
              <w:jc w:val="center"/>
            </w:pPr>
            <w:r>
              <w:rPr>
                <w:sz w:val="18"/>
              </w:rPr>
              <w:t>0.8972</w:t>
            </w:r>
          </w:p>
        </w:tc>
        <w:tc>
          <w:tcPr>
            <w:tcW w:type="dxa" w:w="2158"/>
          </w:tcPr>
          <w:p>
            <w:pPr>
              <w:jc w:val="center"/>
            </w:pPr>
            <w:r>
              <w:rPr>
                <w:sz w:val="18"/>
              </w:rPr>
              <w:t>0.8552</w:t>
            </w:r>
          </w:p>
        </w:tc>
      </w:tr>
      <w:tr>
        <w:tc>
          <w:tcPr>
            <w:tcW w:type="dxa" w:w="2158"/>
          </w:tcPr>
          <w:p>
            <w:pPr>
              <w:jc w:val="center"/>
            </w:pPr>
            <w:r>
              <w:rPr>
                <w:sz w:val="18"/>
              </w:rPr>
              <w:t>提升</w:t>
            </w:r>
          </w:p>
        </w:tc>
        <w:tc>
          <w:tcPr>
            <w:tcW w:type="dxa" w:w="2158"/>
          </w:tcPr>
          <w:p>
            <w:pPr>
              <w:jc w:val="center"/>
            </w:pPr>
            <w:r>
              <w:rPr>
                <w:sz w:val="18"/>
              </w:rPr>
              <w:t>+21</w:t>
            </w:r>
          </w:p>
        </w:tc>
        <w:tc>
          <w:tcPr>
            <w:tcW w:type="dxa" w:w="2158"/>
          </w:tcPr>
          <w:p>
            <w:pPr>
              <w:jc w:val="center"/>
            </w:pPr>
            <w:r>
              <w:rPr>
                <w:sz w:val="18"/>
              </w:rPr>
              <w:t>+0.0056</w:t>
            </w:r>
          </w:p>
        </w:tc>
        <w:tc>
          <w:tcPr>
            <w:tcW w:type="dxa" w:w="2158"/>
          </w:tcPr>
          <w:p>
            <w:pPr>
              <w:jc w:val="center"/>
            </w:pPr>
            <w:r>
              <w:rPr>
                <w:sz w:val="18"/>
              </w:rPr>
              <w:t>+0.0130</w:t>
            </w:r>
          </w:p>
        </w:tc>
      </w:tr>
    </w:tbl>
    <w:p/>
    <w:p>
      <w:pPr>
        <w:ind w:firstLine="480"/>
      </w:pPr>
      <w:r>
        <w:rPr>
          <w:rFonts w:ascii="宋体" w:hAnsi="宋体" w:eastAsia="宋体"/>
          <w:b w:val="0"/>
          <w:sz w:val="24"/>
        </w:rPr>
        <w:t>在相同的 LightGBM 配置下，21 维增强特征带来 0.6 个百分点的 Accuracy 提升和 1.3 个百分点的 Macro F1 提升，其中 Rusty 类 F1 由 0.862 提升至 0.877，Dent 类 F1 由 0.861 提升至 0.865——说明新增颜色特征（LAB a*、RustRatio、R_hist）的主要贡献在于增强锈蚀与凹陷这两类颜色敏感类别的判别力。消融提升幅度有限的原因在于：51 维基础特征中的 LBP 与 HSV 模块已捕获了大部分判别信息，新增特征提供了互补但边际递减的增益，且该增益集中在颜色相关类别上。</w:t>
      </w:r>
    </w:p>
    <w:p>
      <w:pPr>
        <w:pStyle w:val="Heading2"/>
      </w:pPr>
      <w:r>
        <w:rPr>
          <w:rFonts w:ascii="黑体" w:hAnsi="黑体" w:eastAsia="黑体"/>
          <w:sz w:val="26"/>
        </w:rPr>
        <w:t>4.5  滑动窗口检测与局限性分析</w:t>
      </w:r>
    </w:p>
    <w:p>
      <w:pPr>
        <w:pStyle w:val="Heading3"/>
      </w:pPr>
      <w:r>
        <w:rPr>
          <w:rFonts w:ascii="黑体" w:hAnsi="黑体" w:eastAsia="黑体"/>
          <w:sz w:val="24"/>
        </w:rPr>
        <w:t>4.5.1  多尺度滑动窗口设计</w:t>
      </w:r>
    </w:p>
    <w:p>
      <w:pPr>
        <w:ind w:firstLine="480"/>
      </w:pPr>
      <w:r>
        <w:rPr>
          <w:rFonts w:ascii="宋体" w:hAnsi="宋体" w:eastAsia="宋体"/>
          <w:b w:val="0"/>
          <w:sz w:val="24"/>
        </w:rPr>
        <w:t>基于 2.2.2 节的 bbox 面积分位数分析，设计 5 个尺度的滑动窗口以覆盖从微小破洞到大面积锈蚀的完整尺寸谱：</w:t>
      </w:r>
    </w:p>
    <w:p>
      <w:pPr>
        <w:spacing w:before="120" w:after="80"/>
        <w:jc w:val="center"/>
      </w:pPr>
      <w:r>
        <w:rPr>
          <w:rFonts w:ascii="宋体" w:hAnsi="宋体" w:eastAsia="宋体"/>
          <w:b/>
          <w:sz w:val="20"/>
        </w:rPr>
        <w:t>表4-5  多尺度滑动窗口配置</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18"/>
              </w:rPr>
              <w:t>尺度</w:t>
            </w:r>
          </w:p>
        </w:tc>
        <w:tc>
          <w:tcPr>
            <w:tcW w:type="dxa" w:w="1727"/>
          </w:tcPr>
          <w:p>
            <w:pPr>
              <w:jc w:val="center"/>
            </w:pPr>
            <w:r>
              <w:rPr>
                <w:b/>
                <w:sz w:val="18"/>
              </w:rPr>
              <w:t>窗口大小</w:t>
            </w:r>
          </w:p>
        </w:tc>
        <w:tc>
          <w:tcPr>
            <w:tcW w:type="dxa" w:w="1727"/>
          </w:tcPr>
          <w:p>
            <w:pPr>
              <w:jc w:val="center"/>
            </w:pPr>
            <w:r>
              <w:rPr>
                <w:b/>
                <w:sz w:val="18"/>
              </w:rPr>
              <w:t>步长</w:t>
            </w:r>
          </w:p>
        </w:tc>
        <w:tc>
          <w:tcPr>
            <w:tcW w:type="dxa" w:w="1727"/>
          </w:tcPr>
          <w:p>
            <w:pPr>
              <w:jc w:val="center"/>
            </w:pPr>
            <w:r>
              <w:rPr>
                <w:b/>
                <w:sz w:val="18"/>
              </w:rPr>
              <w:t>目标面积范围</w:t>
            </w:r>
          </w:p>
        </w:tc>
        <w:tc>
          <w:tcPr>
            <w:tcW w:type="dxa" w:w="1727"/>
          </w:tcPr>
          <w:p>
            <w:pPr>
              <w:jc w:val="center"/>
            </w:pPr>
            <w:r>
              <w:rPr>
                <w:b/>
                <w:sz w:val="18"/>
              </w:rPr>
              <w:t>设计依据</w:t>
            </w:r>
          </w:p>
        </w:tc>
      </w:tr>
      <w:tr>
        <w:tc>
          <w:tcPr>
            <w:tcW w:type="dxa" w:w="1727"/>
          </w:tcPr>
          <w:p>
            <w:pPr>
              <w:jc w:val="center"/>
            </w:pPr>
            <w:r>
              <w:rPr>
                <w:sz w:val="18"/>
              </w:rPr>
              <w:t>S1</w:t>
            </w:r>
          </w:p>
        </w:tc>
        <w:tc>
          <w:tcPr>
            <w:tcW w:type="dxa" w:w="1727"/>
          </w:tcPr>
          <w:p>
            <w:pPr>
              <w:jc w:val="center"/>
            </w:pPr>
            <w:r>
              <w:rPr>
                <w:sz w:val="18"/>
              </w:rPr>
              <w:t>48×48</w:t>
            </w:r>
          </w:p>
        </w:tc>
        <w:tc>
          <w:tcPr>
            <w:tcW w:type="dxa" w:w="1727"/>
          </w:tcPr>
          <w:p>
            <w:pPr>
              <w:jc w:val="center"/>
            </w:pPr>
            <w:r>
              <w:rPr>
                <w:sz w:val="18"/>
              </w:rPr>
              <w:t>24</w:t>
            </w:r>
          </w:p>
        </w:tc>
        <w:tc>
          <w:tcPr>
            <w:tcW w:type="dxa" w:w="1727"/>
          </w:tcPr>
          <w:p>
            <w:pPr>
              <w:jc w:val="center"/>
            </w:pPr>
            <w:r>
              <w:rPr>
                <w:sz w:val="18"/>
              </w:rPr>
              <w:t>&lt; 600 px²</w:t>
            </w:r>
          </w:p>
        </w:tc>
        <w:tc>
          <w:tcPr>
            <w:tcW w:type="dxa" w:w="1727"/>
          </w:tcPr>
          <w:p>
            <w:pPr>
              <w:jc w:val="center"/>
            </w:pPr>
            <w:r>
              <w:rPr>
                <w:sz w:val="18"/>
              </w:rPr>
              <w:t>覆盖极小目标（P5~P10），但上采样至224×224后信息损失较大</w:t>
            </w:r>
          </w:p>
        </w:tc>
      </w:tr>
      <w:tr>
        <w:tc>
          <w:tcPr>
            <w:tcW w:type="dxa" w:w="1727"/>
          </w:tcPr>
          <w:p>
            <w:pPr>
              <w:jc w:val="center"/>
            </w:pPr>
            <w:r>
              <w:rPr>
                <w:sz w:val="18"/>
              </w:rPr>
              <w:t>S2</w:t>
            </w:r>
          </w:p>
        </w:tc>
        <w:tc>
          <w:tcPr>
            <w:tcW w:type="dxa" w:w="1727"/>
          </w:tcPr>
          <w:p>
            <w:pPr>
              <w:jc w:val="center"/>
            </w:pPr>
            <w:r>
              <w:rPr>
                <w:sz w:val="18"/>
              </w:rPr>
              <w:t>64×64</w:t>
            </w:r>
          </w:p>
        </w:tc>
        <w:tc>
          <w:tcPr>
            <w:tcW w:type="dxa" w:w="1727"/>
          </w:tcPr>
          <w:p>
            <w:pPr>
              <w:jc w:val="center"/>
            </w:pPr>
            <w:r>
              <w:rPr>
                <w:sz w:val="18"/>
              </w:rPr>
              <w:t>32</w:t>
            </w:r>
          </w:p>
        </w:tc>
        <w:tc>
          <w:tcPr>
            <w:tcW w:type="dxa" w:w="1727"/>
          </w:tcPr>
          <w:p>
            <w:pPr>
              <w:jc w:val="center"/>
            </w:pPr>
            <w:r>
              <w:rPr>
                <w:sz w:val="18"/>
              </w:rPr>
              <w:t>600~1200 px²</w:t>
            </w:r>
          </w:p>
        </w:tc>
        <w:tc>
          <w:tcPr>
            <w:tcW w:type="dxa" w:w="1727"/>
          </w:tcPr>
          <w:p>
            <w:pPr>
              <w:jc w:val="center"/>
            </w:pPr>
            <w:r>
              <w:rPr>
                <w:sz w:val="18"/>
              </w:rPr>
              <w:t>覆盖小目标（P10~P25）</w:t>
            </w:r>
          </w:p>
        </w:tc>
      </w:tr>
      <w:tr>
        <w:tc>
          <w:tcPr>
            <w:tcW w:type="dxa" w:w="1727"/>
          </w:tcPr>
          <w:p>
            <w:pPr>
              <w:jc w:val="center"/>
            </w:pPr>
            <w:r>
              <w:rPr>
                <w:sz w:val="18"/>
              </w:rPr>
              <w:t>S3</w:t>
            </w:r>
          </w:p>
        </w:tc>
        <w:tc>
          <w:tcPr>
            <w:tcW w:type="dxa" w:w="1727"/>
          </w:tcPr>
          <w:p>
            <w:pPr>
              <w:jc w:val="center"/>
            </w:pPr>
            <w:r>
              <w:rPr>
                <w:sz w:val="18"/>
              </w:rPr>
              <w:t>96×96</w:t>
            </w:r>
          </w:p>
        </w:tc>
        <w:tc>
          <w:tcPr>
            <w:tcW w:type="dxa" w:w="1727"/>
          </w:tcPr>
          <w:p>
            <w:pPr>
              <w:jc w:val="center"/>
            </w:pPr>
            <w:r>
              <w:rPr>
                <w:sz w:val="18"/>
              </w:rPr>
              <w:t>48</w:t>
            </w:r>
          </w:p>
        </w:tc>
        <w:tc>
          <w:tcPr>
            <w:tcW w:type="dxa" w:w="1727"/>
          </w:tcPr>
          <w:p>
            <w:pPr>
              <w:jc w:val="center"/>
            </w:pPr>
            <w:r>
              <w:rPr>
                <w:sz w:val="18"/>
              </w:rPr>
              <w:t>1200~5000 px²</w:t>
            </w:r>
          </w:p>
        </w:tc>
        <w:tc>
          <w:tcPr>
            <w:tcW w:type="dxa" w:w="1727"/>
          </w:tcPr>
          <w:p>
            <w:pPr>
              <w:jc w:val="center"/>
            </w:pPr>
            <w:r>
              <w:rPr>
                <w:sz w:val="18"/>
              </w:rPr>
              <w:t>覆盖中小目标（P25~P50），主力检测尺度</w:t>
            </w:r>
          </w:p>
        </w:tc>
      </w:tr>
      <w:tr>
        <w:tc>
          <w:tcPr>
            <w:tcW w:type="dxa" w:w="1727"/>
          </w:tcPr>
          <w:p>
            <w:pPr>
              <w:jc w:val="center"/>
            </w:pPr>
            <w:r>
              <w:rPr>
                <w:sz w:val="18"/>
              </w:rPr>
              <w:t>S4</w:t>
            </w:r>
          </w:p>
        </w:tc>
        <w:tc>
          <w:tcPr>
            <w:tcW w:type="dxa" w:w="1727"/>
          </w:tcPr>
          <w:p>
            <w:pPr>
              <w:jc w:val="center"/>
            </w:pPr>
            <w:r>
              <w:rPr>
                <w:sz w:val="18"/>
              </w:rPr>
              <w:t>160×160</w:t>
            </w:r>
          </w:p>
        </w:tc>
        <w:tc>
          <w:tcPr>
            <w:tcW w:type="dxa" w:w="1727"/>
          </w:tcPr>
          <w:p>
            <w:pPr>
              <w:jc w:val="center"/>
            </w:pPr>
            <w:r>
              <w:rPr>
                <w:sz w:val="18"/>
              </w:rPr>
              <w:t>64</w:t>
            </w:r>
          </w:p>
        </w:tc>
        <w:tc>
          <w:tcPr>
            <w:tcW w:type="dxa" w:w="1727"/>
          </w:tcPr>
          <w:p>
            <w:pPr>
              <w:jc w:val="center"/>
            </w:pPr>
            <w:r>
              <w:rPr>
                <w:sz w:val="18"/>
              </w:rPr>
              <w:t>5000~15000 px²</w:t>
            </w:r>
          </w:p>
        </w:tc>
        <w:tc>
          <w:tcPr>
            <w:tcW w:type="dxa" w:w="1727"/>
          </w:tcPr>
          <w:p>
            <w:pPr>
              <w:jc w:val="center"/>
            </w:pPr>
            <w:r>
              <w:rPr>
                <w:sz w:val="18"/>
              </w:rPr>
              <w:t>覆盖中等目标（P50~P75）</w:t>
            </w:r>
          </w:p>
        </w:tc>
      </w:tr>
      <w:tr>
        <w:tc>
          <w:tcPr>
            <w:tcW w:type="dxa" w:w="1727"/>
          </w:tcPr>
          <w:p>
            <w:pPr>
              <w:jc w:val="center"/>
            </w:pPr>
            <w:r>
              <w:rPr>
                <w:sz w:val="18"/>
              </w:rPr>
              <w:t>S5</w:t>
            </w:r>
          </w:p>
        </w:tc>
        <w:tc>
          <w:tcPr>
            <w:tcW w:type="dxa" w:w="1727"/>
          </w:tcPr>
          <w:p>
            <w:pPr>
              <w:jc w:val="center"/>
            </w:pPr>
            <w:r>
              <w:rPr>
                <w:sz w:val="18"/>
              </w:rPr>
              <w:t>288×288</w:t>
            </w:r>
          </w:p>
        </w:tc>
        <w:tc>
          <w:tcPr>
            <w:tcW w:type="dxa" w:w="1727"/>
          </w:tcPr>
          <w:p>
            <w:pPr>
              <w:jc w:val="center"/>
            </w:pPr>
            <w:r>
              <w:rPr>
                <w:sz w:val="18"/>
              </w:rPr>
              <w:t>96</w:t>
            </w:r>
          </w:p>
        </w:tc>
        <w:tc>
          <w:tcPr>
            <w:tcW w:type="dxa" w:w="1727"/>
          </w:tcPr>
          <w:p>
            <w:pPr>
              <w:jc w:val="center"/>
            </w:pPr>
            <w:r>
              <w:rPr>
                <w:sz w:val="18"/>
              </w:rPr>
              <w:t>&gt; 15000 px²</w:t>
            </w:r>
          </w:p>
        </w:tc>
        <w:tc>
          <w:tcPr>
            <w:tcW w:type="dxa" w:w="1727"/>
          </w:tcPr>
          <w:p>
            <w:pPr>
              <w:jc w:val="center"/>
            </w:pPr>
            <w:r>
              <w:rPr>
                <w:sz w:val="18"/>
              </w:rPr>
              <w:t>覆盖大面积锈蚀/凹陷（P75+）</w:t>
            </w:r>
          </w:p>
        </w:tc>
      </w:tr>
    </w:tbl>
    <w:p/>
    <w:p>
      <w:pPr>
        <w:ind w:firstLine="480"/>
      </w:pPr>
      <w:r>
        <w:rPr>
          <w:rFonts w:ascii="宋体" w:hAnsi="宋体" w:eastAsia="宋体"/>
          <w:b w:val="0"/>
          <w:sz w:val="24"/>
        </w:rPr>
        <w:t>每张图生成的所有窗口统一 resize 至 224×224，提取 72 维特征后送入 LightGBM 分类器。检测流程图如下：输入 640×640 RGB → 5 尺度滑动窗口生成（约 800~1200 个窗口/图）→ 逐窗口 72 维特征提取 → LightGBM 4 分类 → 滤除 Background 预测 → damage_score 阈值过滤（损伤概率之和 &gt; 0.6）→ 类内 NMS（IoU &gt; 0.5）→ 全局 NMS（IoU &gt; 0.6）→ 按严重程度排序 → 输出 Top-4 检测框。</w:t>
      </w:r>
    </w:p>
    <w:p>
      <w:pPr>
        <w:pStyle w:val="Heading3"/>
      </w:pPr>
      <w:r>
        <w:rPr>
          <w:rFonts w:ascii="黑体" w:hAnsi="黑体" w:eastAsia="黑体"/>
          <w:sz w:val="24"/>
        </w:rPr>
        <w:t>4.5.2  检测后处理：非极大值抑制（NMS）</w:t>
      </w:r>
    </w:p>
    <w:p>
      <w:pPr>
        <w:ind w:firstLine="480"/>
      </w:pPr>
      <w:r>
        <w:rPr>
          <w:rFonts w:ascii="宋体" w:hAnsi="宋体" w:eastAsia="宋体"/>
          <w:b w:val="0"/>
          <w:sz w:val="24"/>
        </w:rPr>
        <w:t>滑动窗口在相邻位置和不同尺度间产生大量重叠检测框（同一残损被多个尺度的多个窗口同时检出），需要 NMS 去重。设检测结果集合 D = {(b_i, c_i, s_i)}，其中 b_i 为归一化边界框，c_i 为预测类别，s_i 为置信度（LightGBM 的 predict_proba 最大值）。NMS 算法如下：</w:t>
      </w:r>
    </w:p>
    <w:p>
      <w:pPr>
        <w:ind w:firstLine="480"/>
      </w:pPr>
      <w:r>
        <w:rPr>
          <w:rFonts w:ascii="宋体" w:hAnsi="宋体" w:eastAsia="宋体"/>
          <w:b w:val="0"/>
          <w:sz w:val="24"/>
        </w:rPr>
        <w:t>Step 1（类内 NMS）：对每个类别 c ∈ {0,1,2}，取出该类所有检测 D_c = {d_i | c_i = c}。按置信度 s_i 降序排列，依次选择最高分框，移除与其 IoU ≥ 0.5 的所有其他同类框。类内 NMS 的目的是消除同一尺度内和相邻尺度间对同一残损的重复检测。</w:t>
      </w:r>
    </w:p>
    <w:p>
      <w:pPr>
        <w:ind w:firstLine="480"/>
      </w:pPr>
      <w:r>
        <w:rPr>
          <w:rFonts w:ascii="宋体" w:hAnsi="宋体" w:eastAsia="宋体"/>
          <w:b w:val="0"/>
          <w:sz w:val="24"/>
        </w:rPr>
        <w:t>Step 2（全局 NMS）：合并三类检测结果，再次执行 NMS（IoU ≥ 0.6），消除跨类别的重叠检测（如同一区域同时被预测为 Dent 和 Rusty 的两个高置信度框，取置信度更高的）。</w:t>
      </w:r>
    </w:p>
    <w:p>
      <w:pPr>
        <w:ind w:firstLine="480"/>
      </w:pPr>
      <w:r>
        <w:rPr>
          <w:rFonts w:ascii="宋体" w:hAnsi="宋体" w:eastAsia="宋体"/>
          <w:b w:val="0"/>
          <w:sz w:val="24"/>
        </w:rPr>
        <w:t>Step 3（严重程度排序）：对保留的检测框，按 severity = Area(box) × w_class 降序排列。类别权重：w_Dent=1.0, w_Hole=1.5（破洞威胁结构完整性，权重最高）, w_Rusty=0.8（锈蚀为渐进性表面问题，权重最低）。输出 Top-4。</w:t>
      </w:r>
    </w:p>
    <w:p>
      <w:pPr>
        <w:pStyle w:val="Heading3"/>
      </w:pPr>
      <w:r>
        <w:rPr>
          <w:rFonts w:ascii="黑体" w:hAnsi="黑体" w:eastAsia="黑体"/>
          <w:sz w:val="24"/>
        </w:rPr>
        <w:t>4.5.3  检测效果与根本性局限</w:t>
      </w:r>
    </w:p>
    <w:p>
      <w:pPr>
        <w:ind w:firstLine="480"/>
      </w:pPr>
      <w:r>
        <w:rPr>
          <w:rFonts w:ascii="宋体" w:hAnsi="宋体" w:eastAsia="宋体"/>
          <w:b w:val="0"/>
          <w:sz w:val="24"/>
        </w:rPr>
        <w:t>将上述滑动窗口检测管线应用于验证集的 660 张图像，检测结果如表 4-6 所示。</w:t>
      </w:r>
    </w:p>
    <w:p>
      <w:pPr>
        <w:spacing w:before="120" w:after="80"/>
        <w:jc w:val="center"/>
      </w:pPr>
      <w:r>
        <w:rPr>
          <w:rFonts w:ascii="宋体" w:hAnsi="宋体" w:eastAsia="宋体"/>
          <w:b/>
          <w:sz w:val="20"/>
        </w:rPr>
        <w:t>表4-6  滑动窗口检测性能（验证集，5 尺度 + LightGBM + NMS）</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18"/>
              </w:rPr>
              <w:t>指标</w:t>
            </w:r>
          </w:p>
        </w:tc>
        <w:tc>
          <w:tcPr>
            <w:tcW w:type="dxa" w:w="2878"/>
          </w:tcPr>
          <w:p>
            <w:pPr>
              <w:jc w:val="center"/>
            </w:pPr>
            <w:r>
              <w:rPr>
                <w:b/>
                <w:sz w:val="18"/>
              </w:rPr>
              <w:t>IoU≥0.3</w:t>
            </w:r>
          </w:p>
        </w:tc>
        <w:tc>
          <w:tcPr>
            <w:tcW w:type="dxa" w:w="2878"/>
          </w:tcPr>
          <w:p>
            <w:pPr>
              <w:jc w:val="center"/>
            </w:pPr>
            <w:r>
              <w:rPr>
                <w:b/>
                <w:sz w:val="18"/>
              </w:rPr>
              <w:t>IoU≥0.5</w:t>
            </w:r>
          </w:p>
        </w:tc>
      </w:tr>
      <w:tr>
        <w:tc>
          <w:tcPr>
            <w:tcW w:type="dxa" w:w="2878"/>
          </w:tcPr>
          <w:p>
            <w:pPr>
              <w:jc w:val="center"/>
            </w:pPr>
            <w:r>
              <w:rPr>
                <w:sz w:val="18"/>
              </w:rPr>
              <w:t>Precision</w:t>
            </w:r>
          </w:p>
        </w:tc>
        <w:tc>
          <w:tcPr>
            <w:tcW w:type="dxa" w:w="2878"/>
          </w:tcPr>
          <w:p>
            <w:pPr>
              <w:jc w:val="center"/>
            </w:pPr>
            <w:r>
              <w:rPr>
                <w:sz w:val="18"/>
              </w:rPr>
              <w:t>~0.10~0.15</w:t>
            </w:r>
          </w:p>
        </w:tc>
        <w:tc>
          <w:tcPr>
            <w:tcW w:type="dxa" w:w="2878"/>
          </w:tcPr>
          <w:p>
            <w:pPr>
              <w:jc w:val="center"/>
            </w:pPr>
            <w:r>
              <w:rPr>
                <w:sz w:val="18"/>
              </w:rPr>
              <w:t>~0.05~0.10</w:t>
            </w:r>
          </w:p>
        </w:tc>
      </w:tr>
      <w:tr>
        <w:tc>
          <w:tcPr>
            <w:tcW w:type="dxa" w:w="2878"/>
          </w:tcPr>
          <w:p>
            <w:pPr>
              <w:jc w:val="center"/>
            </w:pPr>
            <w:r>
              <w:rPr>
                <w:sz w:val="18"/>
              </w:rPr>
              <w:t>Recall</w:t>
            </w:r>
          </w:p>
        </w:tc>
        <w:tc>
          <w:tcPr>
            <w:tcW w:type="dxa" w:w="2878"/>
          </w:tcPr>
          <w:p>
            <w:pPr>
              <w:jc w:val="center"/>
            </w:pPr>
            <w:r>
              <w:rPr>
                <w:sz w:val="18"/>
              </w:rPr>
              <w:t>~0.08~0.15</w:t>
            </w:r>
          </w:p>
        </w:tc>
        <w:tc>
          <w:tcPr>
            <w:tcW w:type="dxa" w:w="2878"/>
          </w:tcPr>
          <w:p>
            <w:pPr>
              <w:jc w:val="center"/>
            </w:pPr>
            <w:r>
              <w:rPr>
                <w:sz w:val="18"/>
              </w:rPr>
              <w:t>~0.03~0.08</w:t>
            </w:r>
          </w:p>
        </w:tc>
      </w:tr>
      <w:tr>
        <w:tc>
          <w:tcPr>
            <w:tcW w:type="dxa" w:w="2878"/>
          </w:tcPr>
          <w:p>
            <w:pPr>
              <w:jc w:val="center"/>
            </w:pPr>
            <w:r>
              <w:rPr>
                <w:sz w:val="18"/>
              </w:rPr>
              <w:t>F2-score</w:t>
            </w:r>
          </w:p>
        </w:tc>
        <w:tc>
          <w:tcPr>
            <w:tcW w:type="dxa" w:w="2878"/>
          </w:tcPr>
          <w:p>
            <w:pPr>
              <w:jc w:val="center"/>
            </w:pPr>
            <w:r>
              <w:rPr>
                <w:sz w:val="18"/>
              </w:rPr>
              <w:t>~0.10~0.15</w:t>
            </w:r>
          </w:p>
        </w:tc>
        <w:tc>
          <w:tcPr>
            <w:tcW w:type="dxa" w:w="2878"/>
          </w:tcPr>
          <w:p>
            <w:pPr>
              <w:jc w:val="center"/>
            </w:pPr>
            <w:r>
              <w:rPr>
                <w:sz w:val="18"/>
              </w:rPr>
              <w:t>~0.04~0.08</w:t>
            </w:r>
          </w:p>
        </w:tc>
      </w:tr>
    </w:tbl>
    <w:p/>
    <w:p>
      <w:pPr>
        <w:ind w:firstLine="480"/>
      </w:pPr>
      <w:r>
        <w:rPr>
          <w:rFonts w:ascii="宋体" w:hAnsi="宋体" w:eastAsia="宋体"/>
          <w:b w:val="0"/>
          <w:sz w:val="24"/>
        </w:rPr>
        <w:t>检测性能远低于 patch 分类的 89.7% 准确率，原因在于滑动窗口检测面临一个根本性的泛化瓶颈——训练分布与推理分布的系统性偏移（distribution shift）。以下从三个层面深入分析这一局限：</w:t>
      </w:r>
    </w:p>
    <w:p>
      <w:pPr>
        <w:ind w:firstLine="480"/>
      </w:pPr>
      <w:r>
        <w:rPr>
          <w:rFonts w:ascii="宋体" w:hAnsi="宋体" w:eastAsia="宋体"/>
          <w:b w:val="0"/>
          <w:sz w:val="24"/>
        </w:rPr>
        <w:t>局限一：patch 裁剪方式导致的分布偏移。训练集中的正样本来自标注框扩展裁剪——以 bbox 为中心，向外均匀扩展 10%~30% 后裁出。这种裁剪方式保证了残损位于 patch 中央，周围有适量的正常表面作为上下文，纹理结构完整、特征具有代表性。滑动窗口生成的候选 patch 则是固定网格上的规则采样——残损可能位于窗口的任意位置（角落、边缘、或仅覆盖一小部分），甚至一个窗口内可能同时包含多个不同类别的残损碎片。两类 patch 的视觉统计特性存在系统性差异，导致在验证集上 Macro F1=0.855 的 LightGBM 分类器在滑动窗口的「野生态」patch 上判别力大幅下降。</w:t>
      </w:r>
    </w:p>
    <w:p>
      <w:pPr>
        <w:ind w:firstLine="480"/>
      </w:pPr>
      <w:r>
        <w:rPr>
          <w:rFonts w:ascii="宋体" w:hAnsi="宋体" w:eastAsia="宋体"/>
          <w:b w:val="0"/>
          <w:sz w:val="24"/>
        </w:rPr>
        <w:t>局限二：窗口尺度与残损尺度的不匹配。残损的尺寸从 4 px² 到 408,321 px² 跨越 5 个数量级。5 个固定尺度的滑动窗口无法精确匹配每一个残损的尺寸——过小的窗口只能看到残损的局部纹理（如一整块锈蚀被分割到多个小窗口中，每个窗口只看到铁锈纹理的一部分），过大的窗口则包含过多背景区域（信噪比降低，小残损的信号被稀释）。这种尺度的离散化误差在 NMS 合并阶段无法被完全补偿——相邻的小窗口 NMS 后可能只保留一个，无法恢复原始残损的完整边界框。</w:t>
      </w:r>
    </w:p>
    <w:p>
      <w:pPr>
        <w:ind w:firstLine="480"/>
      </w:pPr>
      <w:r>
        <w:rPr>
          <w:rFonts w:ascii="宋体" w:hAnsi="宋体" w:eastAsia="宋体"/>
          <w:b w:val="0"/>
          <w:sz w:val="24"/>
        </w:rPr>
        <w:t>局限三：bbox 标注的语义歧义与主观性。数据集的 bbox 标注本身存在语义模糊性——同一块大面积锈蚀，标注员可能用一个外接矩形框出全部区域，也可能用多个小框分别标注锈蚀斑块。训练集和测试集之间标注风格的不一致使得「正确检测」的定义本身就带有不确定性。滑动窗口方法无法学习到这种标注风格的规律，输出的规则网格框与人工标注的主观边界框天然存在形态差异。</w:t>
      </w:r>
    </w:p>
    <w:p>
      <w:pPr>
        <w:ind w:firstLine="480"/>
      </w:pPr>
      <w:r>
        <w:rPr>
          <w:rFonts w:ascii="宋体" w:hAnsi="宋体" w:eastAsia="宋体"/>
          <w:b w:val="0"/>
          <w:sz w:val="24"/>
        </w:rPr>
        <w:t>局限四：类别间特征混淆在检测场景中被放大。Patch 分类中 Dent↔Rusty 混淆（93 例）在纯分类场景下尚可接受，但在检测场景中，这种混淆会导致定位的偏移和置信度的稀释。例如，一块凹陷区域的 LightGBM 预测概率可能被分散到 Dent=0.35 和 Rusty=0.40 两个类别上，导致最大概率值低于阈值（0.6），该检测被完全丢弃，造成漏检。</w:t>
      </w:r>
    </w:p>
    <w:p>
      <w:pPr>
        <w:pStyle w:val="Heading3"/>
      </w:pPr>
      <w:r>
        <w:rPr>
          <w:rFonts w:ascii="黑体" w:hAnsi="黑体" w:eastAsia="黑体"/>
          <w:sz w:val="24"/>
        </w:rPr>
        <w:t>4.5.4  探索过的改进方向及其效果</w:t>
      </w:r>
    </w:p>
    <w:p>
      <w:pPr>
        <w:ind w:firstLine="480"/>
      </w:pPr>
      <w:r>
        <w:rPr>
          <w:rFonts w:ascii="宋体" w:hAnsi="宋体" w:eastAsia="宋体"/>
          <w:b w:val="0"/>
          <w:sz w:val="24"/>
        </w:rPr>
        <w:t>在实验中系统性地尝试了多种改进策略以缩小训练-推理分布鸿沟，但均未能从根本上解决问题：</w:t>
      </w:r>
    </w:p>
    <w:p>
      <w:pPr>
        <w:ind w:firstLine="480"/>
      </w:pPr>
      <w:r>
        <w:rPr>
          <w:rFonts w:ascii="宋体" w:hAnsi="宋体" w:eastAsia="宋体"/>
          <w:b w:val="0"/>
          <w:sz w:val="24"/>
        </w:rPr>
        <w:t>（1）稠密滑动窗口（步长减半）：使用更小的步长生成更多窗口，以期某个窗口恰好与残损对齐。代价是窗口数量呈平方级增长（从 ~800 增至 ~3000/图），推理时间相应增加。但即便是最稠密的滑动（步长=窗口大小的 1/4），也无法保证存在一个窗口与被标注 bbox 的 IoU ≥ 0.5——因为滑动窗口是固定方形，而真实 bbox 具有任意的宽高比和位置。</w:t>
      </w:r>
    </w:p>
    <w:p>
      <w:pPr>
        <w:ind w:firstLine="480"/>
      </w:pPr>
      <w:r>
        <w:rPr>
          <w:rFonts w:ascii="宋体" w:hAnsi="宋体" w:eastAsia="宋体"/>
          <w:b w:val="0"/>
          <w:sz w:val="24"/>
        </w:rPr>
        <w:t>（2）基于轮廓的候选区域提议（contour proposals）：使用 Canny 边缘检测 + 形态学闭运算 + 轮廓查找，试图从图像中提取残损的候选边界框。该方法的根本问题在于——凹陷、锈蚀、破洞通常不形成闭合轮廓。Canny 检测到的是集装箱表面的结构性边缘（波纹板纹理、铆钉、编号），而非损伤的边缘。在 21 个 GT bbox 中仅 2 个有 IoU &gt; 0.1 的轮廓提议框。</w:t>
      </w:r>
    </w:p>
    <w:p>
      <w:pPr>
        <w:ind w:firstLine="480"/>
      </w:pPr>
      <w:r>
        <w:rPr>
          <w:rFonts w:ascii="宋体" w:hAnsi="宋体" w:eastAsia="宋体"/>
          <w:b w:val="0"/>
          <w:sz w:val="24"/>
        </w:rPr>
        <w:t>（3）快速二分类预筛选（21维 fast features + 轻量 RF）：先训练一个快速二分类器（有损伤 vs 背景）以过滤大部分背景窗口，减少完整 72 维特征提取的计算量。但轻量 RF 仅达到 72% 准确率和 F2=0.81——在 t=0.3 阈值下召回率 97% 但保留了 91.3% 的窗口，筛选效果微乎其微；提高阈值虽可减少窗口数，但召回率急剧下降，导致漏检。</w:t>
      </w:r>
    </w:p>
    <w:p>
      <w:pPr>
        <w:ind w:firstLine="480"/>
      </w:pPr>
      <w:r>
        <w:rPr>
          <w:rFonts w:ascii="宋体" w:hAnsi="宋体" w:eastAsia="宋体"/>
          <w:b w:val="0"/>
          <w:sz w:val="24"/>
        </w:rPr>
        <w:t>（4）P1 分类器级联定位：将问题1训练的图像级二分类器应用于图像网格划分（2×2 到 6×6），试图通过 P(damage) 热力图的激活区域推断损伤位置。但 P1 分类器仅对 448×448 全图尺寸的全局特征有效——将网格 cell 放大到 448×448 后特征分布完全不同。在 2×2 网格上 P(damage)=0.54，到 6×6 网格上 P(damage)=0.003，完全无法用于定位。</w:t>
      </w:r>
    </w:p>
    <w:p>
      <w:pPr>
        <w:ind w:firstLine="480"/>
      </w:pPr>
      <w:r>
        <w:rPr>
          <w:rFonts w:ascii="宋体" w:hAnsi="宋体" w:eastAsia="宋体"/>
          <w:b w:val="0"/>
          <w:sz w:val="24"/>
        </w:rPr>
        <w:t>（5）损伤评分阈值调优（damage_score）：使用 LightGBM 的 predict_proba 输出的 P(Dent)+P(Hole)+P(Rusty) 作为损伤总分，尝试不同阈值 τ ∈ {0.3, 0.5, 0.6, 0.7, 0.8} 平衡精度和召回。在 τ=0.7 时，验证集干净 patch 上 BG 误报率为 0%，但召回率降至 83%；在 τ=0.3 时，召回率 95% 但误报率飙升至 40%+。在固定滑动窗口网格上，不存在一个阈值能同时保持高精度和高召回——这是分布偏移问题的直接表现。</w:t>
      </w:r>
    </w:p>
    <w:p>
      <w:pPr>
        <w:pStyle w:val="Heading3"/>
      </w:pPr>
      <w:r>
        <w:rPr>
          <w:rFonts w:ascii="黑体" w:hAnsi="黑体" w:eastAsia="黑体"/>
          <w:sz w:val="24"/>
        </w:rPr>
        <w:t>4.5.5  方法论反思</w:t>
      </w:r>
    </w:p>
    <w:p>
      <w:pPr>
        <w:ind w:firstLine="480"/>
      </w:pPr>
      <w:r>
        <w:rPr>
          <w:rFonts w:ascii="宋体" w:hAnsi="宋体" w:eastAsia="宋体"/>
          <w:b w:val="0"/>
          <w:sz w:val="24"/>
        </w:rPr>
        <w:t>上述实验和分析揭示了滑动窗口方法在集装箱破损检测任务上的方法论边界。问题的本质在于：滑动窗口是一个「盲搜索」策略——它系统地列举空间位置和尺度，期望在某个配置下恰好与目标对齐。这种策略适用于以下条件：（a）目标具有规范的形状和尺度（如人脸、行人），可以设计专门的窗口宽高比；（b）目标和背景之间存在显著的特征差异（如热成像中的人体 vs 环境）；（c）检测精度要求不高（如只需大致定位区域）。</w:t>
      </w:r>
    </w:p>
    <w:p>
      <w:pPr>
        <w:ind w:firstLine="480"/>
      </w:pPr>
      <w:r>
        <w:rPr>
          <w:rFonts w:ascii="宋体" w:hAnsi="宋体" w:eastAsia="宋体"/>
          <w:b w:val="0"/>
          <w:sz w:val="24"/>
        </w:rPr>
        <w:t>集装箱破损检测不满足以上任一条件：残损形状不规则、尺度跨度极大、锈蚀和凹陷与正常金属表面的纹理差异是统计性而非确定性的（LBP 直方图的分布偏移而非二值差异）、且检测精度要求高（需要输出精确的归一化坐标）。在此类任务上，基于锚框或 anchor-free 的深度学习检测器（如 YOLOv8、Faster R-CNN）通过端到端的边界框回归和特征金字塔多尺度融合，能够从根本上规避滑动窗口的离散枚举和分布偏移问题。</w:t>
      </w:r>
    </w:p>
    <w:p>
      <w:pPr>
        <w:ind w:firstLine="480"/>
      </w:pPr>
      <w:r>
        <w:rPr>
          <w:rFonts w:ascii="宋体" w:hAnsi="宋体" w:eastAsia="宋体"/>
          <w:b w:val="0"/>
          <w:sz w:val="24"/>
        </w:rPr>
        <w:t>然而，本文在 patch 分类阶段取得的 89.7% 准确率和增强特征体系的设计并非没有价值——它展示了在训练数据有限、计算资源受限的条件下，手工特征 + 集成学习可以达到的性能上限。该分类器可作为深度学习检测器的辅助组件（如对 YOLO 检测结果的二次确认），或作为轻量级预筛选模块在边缘设备上使用。此外，增强特征的设计方法论（领域知识驱动的锈色特征、硬负样本采样策略）可为后续研究提供参考。</w:t>
      </w:r>
    </w:p>
    <w:p>
      <w:pPr>
        <w:pStyle w:val="Heading2"/>
      </w:pPr>
      <w:r>
        <w:rPr>
          <w:rFonts w:ascii="黑体" w:hAnsi="黑体" w:eastAsia="黑体"/>
          <w:sz w:val="26"/>
        </w:rPr>
        <w:t>4.6  Patch 分类核心代码</w:t>
      </w:r>
    </w:p>
    <w:p>
      <w:pPr>
        <w:ind w:firstLine="480"/>
      </w:pPr>
      <w:r>
        <w:rPr>
          <w:rFonts w:ascii="宋体" w:hAnsi="宋体" w:eastAsia="宋体"/>
          <w:b w:val="0"/>
          <w:sz w:val="24"/>
        </w:rPr>
        <w:t>为完整展示本文方法的技术细节，以下是 72 维增强特征提取和 LightGBM 训练的核心代码（完整可运行脚本见 problem2/patch_classify.py）。</w:t>
      </w:r>
    </w:p>
    <w:p>
      <w:pPr>
        <w:pStyle w:val="Heading3"/>
      </w:pPr>
      <w:r>
        <w:rPr>
          <w:rFonts w:ascii="黑体" w:hAnsi="黑体" w:eastAsia="黑体"/>
          <w:sz w:val="24"/>
        </w:rPr>
        <w:t>4.6.1  增强特征提取函数</w:t>
      </w:r>
    </w:p>
    <w:p>
      <w:pPr>
        <w:ind w:firstLine="480"/>
      </w:pPr>
      <w:r>
        <w:rPr>
          <w:rFonts w:ascii="宋体" w:hAnsi="宋体" w:eastAsia="宋体"/>
          <w:b w:val="0"/>
          <w:sz w:val="24"/>
        </w:rPr>
        <w:t>RGB 通道统计（6维）：对 R、G、B 三通道分别计算均值 np.mean(data) 和标准差 np.std(data)。该特征捕获局部区域的亮度分布——光滑表面方差小，残损区域方差大。</w:t>
      </w:r>
    </w:p>
    <w:p>
      <w:pPr>
        <w:ind w:firstLine="480"/>
      </w:pPr>
      <w:r>
        <w:rPr>
          <w:rFonts w:ascii="宋体" w:hAnsi="宋体" w:eastAsia="宋体"/>
          <w:b w:val="0"/>
          <w:sz w:val="24"/>
        </w:rPr>
        <w:t>LAB 颜色空间统计（6维）：cv2.cvtColor(rgb, COLOR_RGB2LAB) 转换后，对 L*、a*、b* 三通道各计算均值和标准差。a* 通道的均值是锈蚀判别的最强单维颜色特征。</w:t>
      </w:r>
    </w:p>
    <w:p>
      <w:pPr>
        <w:ind w:firstLine="480"/>
      </w:pPr>
      <w:r>
        <w:rPr>
          <w:rFonts w:ascii="宋体" w:hAnsi="宋体" w:eastAsia="宋体"/>
          <w:b w:val="0"/>
          <w:sz w:val="24"/>
        </w:rPr>
        <w:t>锈蚀色彩占比（1维）：利用铁锈在 RGB 空间的色彩物理特性——严格筛选条件为 (R &gt; G×1.1) &amp; (R &gt; B×1.2) &amp; (R &gt; 80)，返回满足条件的像素占比 np.array([rust_mask.mean()])。该特征将人类专家对「锈蚀呈红褐色」的语义理解编码为可计算的数值特征。</w:t>
      </w:r>
    </w:p>
    <w:p>
      <w:pPr>
        <w:ind w:firstLine="480"/>
      </w:pPr>
      <w:r>
        <w:rPr>
          <w:rFonts w:ascii="宋体" w:hAnsi="宋体" w:eastAsia="宋体"/>
          <w:b w:val="0"/>
          <w:sz w:val="24"/>
        </w:rPr>
        <w:t>R 通道直方图（8维）：np.histogram(r, bins=8, range=(0,256), density=True)，返回归一化频率向量。直方图是非参数的分布估计，相比均值/方差等矩统计量，能更精细地刻画 R 通道的分布形态——正常表面的 R 通道近似正态分布，锈蚀区域的 R 通道呈现右偏/双峰特征。</w:t>
      </w:r>
    </w:p>
    <w:p>
      <w:pPr>
        <w:pStyle w:val="Heading3"/>
      </w:pPr>
      <w:r>
        <w:rPr>
          <w:rFonts w:ascii="黑体" w:hAnsi="黑体" w:eastAsia="黑体"/>
          <w:sz w:val="24"/>
        </w:rPr>
        <w:t>4.6.2  LightGBM 训练与网格搜索</w:t>
      </w:r>
    </w:p>
    <w:p>
      <w:pPr>
        <w:ind w:firstLine="480"/>
      </w:pPr>
      <w:r>
        <w:rPr>
          <w:rFonts w:ascii="宋体" w:hAnsi="宋体" w:eastAsia="宋体"/>
          <w:b w:val="0"/>
          <w:sz w:val="24"/>
        </w:rPr>
        <w:t>训练流程：build_problem2_dataset() 构造 hard_mixed 训练集 → extract_all_raw_features() 提取各模块原始特征 → fit_hog_pca() 对 HOG 做 PCA（6084→15）→ build_features() 拼接为 72 维 → StandardScaler 标准化 → LGBMClassifier 网格搜索。</w:t>
      </w:r>
    </w:p>
    <w:p>
      <w:pPr>
        <w:ind w:firstLine="480"/>
      </w:pPr>
      <w:r>
        <w:rPr>
          <w:rFonts w:ascii="宋体" w:hAnsi="宋体" w:eastAsia="宋体"/>
          <w:b w:val="0"/>
          <w:sz w:val="24"/>
        </w:rPr>
        <w:t>网格搜索空间：n_estimators ∈ {200, 500, 1000} × num_leaves ∈ {31, 63, 127} × learning_rate ∈ {0.05, 0.1}，共 18 组配置。每组训练后输出验证集 Accuracy，自动选择最佳模型。最佳配置：n_estimators=1000, num_leaves=63, learning_rate=0.1, class_weight='balanced'。</w:t>
      </w:r>
    </w:p>
    <w:p>
      <w:pPr>
        <w:ind w:firstLine="480"/>
      </w:pPr>
      <w:r>
        <w:rPr>
          <w:rFonts w:ascii="宋体" w:hAnsi="宋体" w:eastAsia="宋体"/>
          <w:b w:val="0"/>
          <w:sz w:val="24"/>
        </w:rPr>
        <w:t>特征维度构成验证：GLCM(4)+HSV(12)+Sobel(2)+HOG_PCA(15)+LBP(18)+RGB(6)+LAB(6)+RustRatio(1)+R_hist(8) = 72。与设计一致。</w:t>
      </w:r>
    </w:p>
    <w:p>
      <w:pPr>
        <w:pStyle w:val="Heading2"/>
      </w:pPr>
      <w:r>
        <w:rPr>
          <w:rFonts w:ascii="黑体" w:hAnsi="黑体" w:eastAsia="黑体"/>
          <w:sz w:val="26"/>
        </w:rPr>
        <w:t>4.7  基于 YOLOv8 的端到端检测模型</w:t>
      </w:r>
    </w:p>
    <w:p>
      <w:pPr>
        <w:ind w:firstLine="480"/>
      </w:pPr>
      <w:r>
        <w:rPr>
          <w:rFonts w:ascii="宋体" w:hAnsi="宋体" w:eastAsia="宋体"/>
          <w:b w:val="0"/>
          <w:sz w:val="24"/>
        </w:rPr>
        <w:t>第 4.5.5 节的方法论反思指出：滑动窗口检测的根本缺陷在于离散枚举导致的训练-推理分布偏移，而端到端检测器通过可微分的边界框回归从机制上规避了该问题。本节系统阐述 YOLOv8 检测模型的数学原理，以及本文针对集装箱破损检测任务特性提出的三项改进：Wise-IoU 距离注意力损失、SlideLoss 滑窗加权分类损失、P2 高分辨率检测层。</w:t>
      </w:r>
    </w:p>
    <w:p>
      <w:pPr>
        <w:pStyle w:val="Heading3"/>
      </w:pPr>
      <w:r>
        <w:rPr>
          <w:rFonts w:ascii="黑体" w:hAnsi="黑体" w:eastAsia="黑体"/>
          <w:sz w:val="24"/>
        </w:rPr>
        <w:t>4.7.1  检测问题的形式化与 Anchor-Free 范式</w:t>
      </w:r>
    </w:p>
    <w:p>
      <w:pPr>
        <w:ind w:firstLine="480"/>
      </w:pPr>
      <w:r>
        <w:rPr>
          <w:rFonts w:ascii="宋体" w:hAnsi="宋体" w:eastAsia="宋体"/>
          <w:b w:val="0"/>
          <w:sz w:val="24"/>
        </w:rPr>
        <w:t>目标检测的数学本质是学习一个从图像空间到检测空间的条件分布 P(bbox, cls | I)。传统两阶段方法（Faster R-CNN）通过区域提议显式生成候选框，而 YOLO 系列采用稠密预测范式：将输入图像 I ∈ R^{640×640×3} 映射为多尺度特征图，在特征图的每个空间位置上直接回归边界框参数。</w:t>
      </w:r>
    </w:p>
    <w:p>
      <w:pPr>
        <w:ind w:firstLine="480"/>
      </w:pPr>
      <w:r>
        <w:rPr>
          <w:rFonts w:ascii="宋体" w:hAnsi="宋体" w:eastAsia="宋体"/>
          <w:b w:val="0"/>
          <w:sz w:val="24"/>
        </w:rPr>
        <w:t>YOLOv8 采用 Anchor-Free 公式化。设骨干网络输出的第 s 层特征图尺寸为 (H_s, W_s)，步长（stride）为 σ_s（即特征图上 1 个像素对应原图 σ_s×σ_s 区域）。对特征图上每个网格点 (i, j)，模型预测：</w:t>
      </w:r>
    </w:p>
    <w:p>
      <w:pPr>
        <w:ind w:firstLine="480"/>
      </w:pPr>
      <w:r>
        <w:rPr>
          <w:rFonts w:ascii="宋体" w:hAnsi="宋体" w:eastAsia="宋体"/>
          <w:b w:val="0"/>
          <w:sz w:val="24"/>
        </w:rPr>
        <w:t>（1）分类分数向量 ĉ ∈ R^C（C=3 为类别数），经 sigmoid 激活后表示该位置存在第 k 类目标的概率 p̂_k = σ(ĉ_k) = 1/(1+e^{-ĉ_k})；</w:t>
      </w:r>
    </w:p>
    <w:p>
      <w:pPr>
        <w:ind w:firstLine="480"/>
      </w:pPr>
      <w:r>
        <w:rPr>
          <w:rFonts w:ascii="宋体" w:hAnsi="宋体" w:eastAsia="宋体"/>
          <w:b w:val="0"/>
          <w:sz w:val="24"/>
        </w:rPr>
        <w:t>（2）边界框回归量 b̂ ∈ R^{4×N}（N=16 为 DFL 分布 bin 数），解码为网格点 (i,j) 到边界框四条边的距离 (l̂, t̂, r̂, b̂)。</w:t>
      </w:r>
    </w:p>
    <w:p>
      <w:pPr>
        <w:ind w:firstLine="480"/>
      </w:pPr>
      <w:r>
        <w:rPr>
          <w:rFonts w:ascii="宋体" w:hAnsi="宋体" w:eastAsia="宋体"/>
          <w:b w:val="0"/>
          <w:sz w:val="24"/>
        </w:rPr>
        <w:t>设网格点 (i,j) 在原图上的坐标为 (x_a, y_a) = (σ_s·(i+0.5), σ_s·(j+0.5))，则预测框为：x̂₁ = x_a − l̂, ŷ₁ = y_a − t̂, x̂₂ = x_a + r̂, ŷ₂ = y_a + b̂。相比基于锚框的方法，Anchor-Free 范式消除了锚框尺寸/宽高比的人工先验——这对本任务至关重要，因为残损框的宽高比分布从 1:1 的正方形到 1:8 的细长条均存在，任何固定的锚框先验都会引入系统性偏差。</w:t>
      </w:r>
    </w:p>
    <w:p>
      <w:pPr>
        <w:ind w:firstLine="480"/>
      </w:pPr>
      <w:r>
        <w:rPr>
          <w:rFonts w:ascii="宋体" w:hAnsi="宋体" w:eastAsia="宋体"/>
          <w:b w:val="0"/>
          <w:sz w:val="24"/>
        </w:rPr>
        <w:t>多尺度检测通过特征金字塔实现：YOLOv8 在 3 个尺度（P3/P4/P5，stride 8/16/32）上分别预测，覆盖从 8×8 到 640×640 的目标尺寸范围。本文进一步引入 P2 层（stride 4），将最小可检测目标扩展到 4×4 像素（详见 4.7.7 节）。</w:t>
      </w:r>
    </w:p>
    <w:p>
      <w:pPr>
        <w:pStyle w:val="Heading3"/>
      </w:pPr>
      <w:r>
        <w:rPr>
          <w:rFonts w:ascii="黑体" w:hAnsi="黑体" w:eastAsia="黑体"/>
          <w:sz w:val="24"/>
        </w:rPr>
        <w:t>4.7.2  网络结构：CSPDarknet 骨干与 PAN-FPN 颈部</w:t>
      </w:r>
    </w:p>
    <w:p>
      <w:pPr>
        <w:ind w:firstLine="480"/>
      </w:pPr>
      <w:r>
        <w:rPr>
          <w:rFonts w:ascii="宋体" w:hAnsi="宋体" w:eastAsia="宋体"/>
          <w:b w:val="0"/>
          <w:sz w:val="24"/>
        </w:rPr>
        <w:t>YOLOv8 的骨干网络基于 CSPDarknet 架构，核心模块 C2f（CSP Bottleneck with 2 convolutions）实现跨阶段部分连接：输入特征 x ∈ R^{C×H×W} 经 1×1 卷积分为两路，一路直接传递（残差连接），另一路经 n 个 Bottleneck 单元处理后与直连支路在通道维拼接，再经 1×1 卷积融合。该设计的数学意义在于通过显式的梯度旁路缓解深层网络的梯度消失：设融合层输出 y = Conv(Concat(x_shortcut, F(x)))，则反向传播时 ∂L/∂x_shortcut 不经过 F 的深层变换，保证深层模块始终获得有效梯度信号。</w:t>
      </w:r>
    </w:p>
    <w:p>
      <w:pPr>
        <w:ind w:firstLine="480"/>
      </w:pPr>
      <w:r>
        <w:rPr>
          <w:rFonts w:ascii="宋体" w:hAnsi="宋体" w:eastAsia="宋体"/>
          <w:b w:val="0"/>
          <w:sz w:val="24"/>
        </w:rPr>
        <w:t>空间金字塔池化 SPPF（Spatial Pyramid Pooling Fast）通过串联的 3 个 5×5 最大池化将感受野从局部扩展到全局：第 k 次池化后的有效感受野为 (2k+1)×5 − k，三次池化后达到约 61×61 像素（在 P5 特征图上约覆盖 2000×2000 原图像素），使骨干末端特征同时携带局部纹理与全局上下文信息——这对大面积锈蚀（最大 bbox 面积 408,321 px²，接近全图）的检测尤为关键。</w:t>
      </w:r>
    </w:p>
    <w:p>
      <w:pPr>
        <w:ind w:firstLine="480"/>
      </w:pPr>
      <w:r>
        <w:rPr>
          <w:rFonts w:ascii="宋体" w:hAnsi="宋体" w:eastAsia="宋体"/>
          <w:b w:val="0"/>
          <w:sz w:val="24"/>
        </w:rPr>
        <w:t>颈部采用 PAN-FPN 双向特征融合结构：自顶向下路径（Top-down）通过上采样将高层语义特征传播至低层，自底向上路径（Bottom-up）通过下采样将低层空间细节回传至高层。设 P₅、P₄、P₃ 为骨干三个尺度的输出，融合后的特征可表示为：F₄ = C2f(Concat(P₄, Up(F₅))), F₃ = C2f(Concat(P₃, Up(F₄)))，再经反向路径 G₃ = F₃, G₄ = C2f(Concat(F₄, Down(G₃))), G₅ = C2f(Concat(P₅, Down(G₄)))。双向融合使每个检测头既具备高层语义判别力（识别"这是锈蚀"）又保留低层空间精度（定位"锈蚀在哪里"）。</w:t>
      </w:r>
    </w:p>
    <w:p>
      <w:pPr>
        <w:ind w:firstLine="480"/>
      </w:pPr>
      <w:r>
        <w:rPr>
          <w:rFonts w:ascii="宋体" w:hAnsi="宋体" w:eastAsia="宋体"/>
          <w:b w:val="0"/>
          <w:sz w:val="24"/>
        </w:rPr>
        <w:t>检测头采用解耦设计（Decoupled Head）：分类分支与回归分支各自独立的卷积序列，避免了两任务共享特征时的梯度冲突。分类分支输出 p̂_k = σ(ĉ_k)，回归分支输出 4×16 维的 DFL 分布参数（见 4.7.4 节）。</w:t>
      </w:r>
    </w:p>
    <w:p>
      <w:pPr>
        <w:pStyle w:val="Heading3"/>
      </w:pPr>
      <w:r>
        <w:rPr>
          <w:rFonts w:ascii="黑体" w:hAnsi="黑体" w:eastAsia="黑体"/>
          <w:sz w:val="24"/>
        </w:rPr>
        <w:t>4.7.3  标签分配：任务对齐学习（TAL）</w:t>
      </w:r>
    </w:p>
    <w:p>
      <w:pPr>
        <w:ind w:firstLine="480"/>
      </w:pPr>
      <w:r>
        <w:rPr>
          <w:rFonts w:ascii="宋体" w:hAnsi="宋体" w:eastAsia="宋体"/>
          <w:b w:val="0"/>
          <w:sz w:val="24"/>
        </w:rPr>
        <w:t>Anchor-Free 范式下每个网格点都是候选锚点，训练时需要决定哪些锚点作为正样本参与损失计算。YOLOv8 采用任务对齐标签分配策略（Task-aligned Assigner），其核心是定义锚点与真实框之间的对齐度量：</w:t>
      </w:r>
    </w:p>
    <w:p>
      <w:pPr>
        <w:ind w:firstLine="480"/>
      </w:pPr>
      <w:r>
        <w:rPr>
          <w:rFonts w:ascii="宋体" w:hAnsi="宋体" w:eastAsia="宋体"/>
          <w:b w:val="0"/>
          <w:sz w:val="24"/>
        </w:rPr>
        <w:t>t = s^α × u^β</w:t>
      </w:r>
    </w:p>
    <w:p>
      <w:pPr>
        <w:ind w:firstLine="480"/>
      </w:pPr>
      <w:r>
        <w:rPr>
          <w:rFonts w:ascii="宋体" w:hAnsi="宋体" w:eastAsia="宋体"/>
          <w:b w:val="0"/>
          <w:sz w:val="24"/>
        </w:rPr>
        <w:t>其中 s 为锚点的分类分数（预测该锚点存在目标的置信度），u 为该锚点预测框与真实框的 IoU，α=0.5、β=6.0 为超参数。对齐度量同时考察分类质量和定位质量：一个理想的锚点必须既被分类分支"识别"为目标（s 高），又被回归分支"定位"准确（u 高）。对每个真实框，选择 t 值最大的 top-k 个锚点作为正样本（k=10），其余为负样本。</w:t>
      </w:r>
    </w:p>
    <w:p>
      <w:pPr>
        <w:ind w:firstLine="480"/>
      </w:pPr>
      <w:r>
        <w:rPr>
          <w:rFonts w:ascii="宋体" w:hAnsi="宋体" w:eastAsia="宋体"/>
          <w:b w:val="0"/>
          <w:sz w:val="24"/>
        </w:rPr>
        <w:t>正样本的目标分数（target score）设为分类分数与 IoU 的乘积 s×u（而非 1），该软标签机制使分类损失与定位质量耦合：定位不准确的锚点即使被分配为正样本，其目标分数也较低，分类分支会降低对该锚点的置信度输出。这一机制在推理阶段自然实现了"定位差的预测框置信度低"，减少了 NMS 前的高置信度误报。</w:t>
      </w:r>
    </w:p>
    <w:p>
      <w:pPr>
        <w:pStyle w:val="Heading3"/>
      </w:pPr>
      <w:r>
        <w:rPr>
          <w:rFonts w:ascii="黑体" w:hAnsi="黑体" w:eastAsia="黑体"/>
          <w:sz w:val="24"/>
        </w:rPr>
        <w:t>4.7.4  损失函数：DFL 分布焦点损失与总损失</w:t>
      </w:r>
    </w:p>
    <w:p>
      <w:pPr>
        <w:ind w:firstLine="480"/>
      </w:pPr>
      <w:r>
        <w:rPr>
          <w:rFonts w:ascii="宋体" w:hAnsi="宋体" w:eastAsia="宋体"/>
          <w:b w:val="0"/>
          <w:sz w:val="24"/>
        </w:rPr>
        <w:t>YOLOv8 的边界框回归采用 Distribution Focal Loss（DFL），将"框边到锚点的距离"建模为离散概率分布而非单点估计。设真实距离为 y（l/t/r/b 之一），预测分布为 S = (S₀, S₁, …, S_{N−1})（N=16，经 softmax 归一化，对应 0 到 N−1 的整数值），DFL 损失为：</w:t>
      </w:r>
    </w:p>
    <w:p>
      <w:pPr>
        <w:ind w:firstLine="480"/>
      </w:pPr>
      <w:r>
        <w:rPr>
          <w:rFonts w:ascii="宋体" w:hAnsi="宋体" w:eastAsia="宋体"/>
          <w:b w:val="0"/>
          <w:sz w:val="24"/>
        </w:rPr>
        <w:t>L_DFL(S, y) = −[(y_{i+1} − y)·log S_i + (y − y_i)·log S_{i+1}]，其中 i = ⌊y⌋</w:t>
      </w:r>
    </w:p>
    <w:p>
      <w:pPr>
        <w:ind w:firstLine="480"/>
      </w:pPr>
      <w:r>
        <w:rPr>
          <w:rFonts w:ascii="宋体" w:hAnsi="宋体" w:eastAsia="宋体"/>
          <w:b w:val="0"/>
          <w:sz w:val="24"/>
        </w:rPr>
        <w:t>该损失鼓励概率质量集中在真实值 y 两侧的相邻 bin 上，而非仅匹配最接近的整数 bin。DFL 的理论动机在于：边界框回归本质上存在模糊性（真实边界本身带有标注噪声），将回归目标表示为分布能够显式建模这种不确定性——模型学到的分布越尖锐，说明该次预测越确定。这与本任务中残损边界标注的主观模糊性高度契合。回归分支的最终预测值为分布的期望：ŷ = Σ_{k=0}^{N−1} k·S_k。</w:t>
      </w:r>
    </w:p>
    <w:p>
      <w:pPr>
        <w:ind w:firstLine="480"/>
      </w:pPr>
      <w:r>
        <w:rPr>
          <w:rFonts w:ascii="宋体" w:hAnsi="宋体" w:eastAsia="宋体"/>
          <w:b w:val="0"/>
          <w:sz w:val="24"/>
        </w:rPr>
        <w:t>分类分支采用二元交叉熵（BCE）损失：L_cls = −(1/|Ω|)Σ_{i∈Ω}[t_i log p̂_i + (1−t_i) log(1−p̂_i)]，其中 Ω 为全部锚点集合，t_i 为 TAL 分配的目标分数（正样本 t_i = s×u，负样本 t_i = 0）。边界框损失采用 CIoU：L_box = 1 − IoU + ρ²(b, b^gt)/c² + αν，其中 ρ 为框中心距，c 为最小外接矩形对角线，αν 为长宽比一致性惩罚项。总损失为三个分量的加权和：</w:t>
      </w:r>
    </w:p>
    <w:p>
      <w:pPr>
        <w:ind w:firstLine="480"/>
      </w:pPr>
      <w:r>
        <w:rPr>
          <w:rFonts w:ascii="宋体" w:hAnsi="宋体" w:eastAsia="宋体"/>
          <w:b w:val="0"/>
          <w:sz w:val="24"/>
        </w:rPr>
        <w:t>L = λ_box·L_box + λ_cls·L_cls + λ_DFL·L_DFL，默认权重 λ_box=7.5, λ_cls=0.5, λ_DFL=1.5。</w:t>
      </w:r>
    </w:p>
    <w:p>
      <w:pPr>
        <w:pStyle w:val="Heading3"/>
      </w:pPr>
      <w:r>
        <w:rPr>
          <w:rFonts w:ascii="黑体" w:hAnsi="黑体" w:eastAsia="黑体"/>
          <w:sz w:val="24"/>
        </w:rPr>
        <w:t>4.7.5  改进一：Wise-IoU 距离注意力损失</w:t>
      </w:r>
    </w:p>
    <w:p>
      <w:pPr>
        <w:ind w:firstLine="480"/>
      </w:pPr>
      <w:r>
        <w:rPr>
          <w:rFonts w:ascii="宋体" w:hAnsi="宋体" w:eastAsia="宋体"/>
          <w:b w:val="0"/>
          <w:sz w:val="24"/>
        </w:rPr>
        <w:t>CIoU 损失存在一个与本任务相关的缺陷：其对所有尺度的目标施加统一形式的长宽比惩罚，而集装箱破损检测中不同类别的"定位难点"具有显著差异——Rusty（锈蚀）类 bbox 平均面积最大（中位数 2978 px²，P90=16768 px²），且锈蚀区域的边界高度模糊，预测框中心容易偏离真实框中心；Dent/Hole 类目标较小但边界清晰，中心定位通常较准。CIoU 无法针对这种类别间定位难度差异进行自适应调整。</w:t>
      </w:r>
    </w:p>
    <w:p>
      <w:pPr>
        <w:ind w:firstLine="480"/>
      </w:pPr>
      <w:r>
        <w:rPr>
          <w:rFonts w:ascii="宋体" w:hAnsi="宋体" w:eastAsia="宋体"/>
          <w:b w:val="0"/>
          <w:sz w:val="24"/>
        </w:rPr>
        <w:t>Wise-IoU v1 通过引入基于中心距离的指数注意力因子解决这一问题。设预测框与真实框的中心分别为 (x,y) 与 (x_gt, y_gt)，真实框宽高为 (W_gt, H_gt)，定义距离注意力因子：</w:t>
      </w:r>
    </w:p>
    <w:p>
      <w:pPr>
        <w:ind w:firstLine="480"/>
      </w:pPr>
      <w:r>
        <w:rPr>
          <w:rFonts w:ascii="宋体" w:hAnsi="宋体" w:eastAsia="宋体"/>
          <w:b w:val="0"/>
          <w:sz w:val="24"/>
        </w:rPr>
        <w:t>R_WIoU = exp( (x−x_gt)² + (y−y_gt)² / (W_gt² + H_gt²) ) ∈ [1, e)</w:t>
      </w:r>
    </w:p>
    <w:p>
      <w:pPr>
        <w:ind w:firstLine="480"/>
      </w:pPr>
      <w:r>
        <w:rPr>
          <w:rFonts w:ascii="宋体" w:hAnsi="宋体" w:eastAsia="宋体"/>
          <w:b w:val="0"/>
          <w:sz w:val="24"/>
        </w:rPr>
        <w:t>则 Wise-IoU 损失为：L_WIoU = R_WIoU × (1 − IoU)。</w:t>
      </w:r>
    </w:p>
    <w:p>
      <w:pPr>
        <w:ind w:firstLine="480"/>
      </w:pPr>
      <w:r>
        <w:rPr>
          <w:rFonts w:ascii="宋体" w:hAnsi="宋体" w:eastAsia="宋体"/>
          <w:b w:val="0"/>
          <w:sz w:val="24"/>
        </w:rPr>
        <w:t>该形式的数学性质分析如下：</w:t>
      </w:r>
    </w:p>
    <w:p>
      <w:pPr>
        <w:ind w:firstLine="480"/>
      </w:pPr>
      <w:r>
        <w:rPr>
          <w:rFonts w:ascii="宋体" w:hAnsi="宋体" w:eastAsia="宋体"/>
          <w:b w:val="0"/>
          <w:sz w:val="24"/>
        </w:rPr>
        <w:t>（1）R_WIoU 的取值范围为 [1, e)：当预测框中心与真实框中心完全重合时 R_WIoU=1，退化为标准 IoU 损失；当中心距离达到真实框对角线长度时 R_WIoU→e≈2.718。上界 e 的存在保证了损失不会因极端离群样本而发散，训练稳定性得以维持。</w:t>
      </w:r>
    </w:p>
    <w:p>
      <w:pPr>
        <w:ind w:firstLine="480"/>
      </w:pPr>
      <w:r>
        <w:rPr>
          <w:rFonts w:ascii="宋体" w:hAnsi="宋体" w:eastAsia="宋体"/>
          <w:b w:val="0"/>
          <w:sz w:val="24"/>
        </w:rPr>
        <w:t>（2）注意力的尺度自适应性：分母 (W_gt² + H_gt²) 使中心距离惩罚按目标自身尺度归一化。对 200×200 的大锈蚀框，中心偏移 20 像素仅产生 R_WIoU ≈ exp(800/80000) ≈ 1.01 的温和惩罚；对 20×20 的小破洞框，同样的 20 像素偏移产生 R_WIoU ≈ exp(800/800) ≈ 2.72 的强惩罚。这种"大目标容忍中心偏差、小目标严格要求中心对准"的注意力机制与检测任务的物理直觉一致。</w:t>
      </w:r>
    </w:p>
    <w:p>
      <w:pPr>
        <w:ind w:firstLine="480"/>
      </w:pPr>
      <w:r>
        <w:rPr>
          <w:rFonts w:ascii="宋体" w:hAnsi="宋体" w:eastAsia="宋体"/>
          <w:b w:val="0"/>
          <w:sz w:val="24"/>
        </w:rPr>
        <w:t>（3）与传统 IoU 损失的对比：标准 L_IoU = 1 − IoU 仅度量重叠程度，对"完全不重叠"的任意预测给出相同的损失值 1，梯度无法区分"中心偏离 10 像素"与"中心偏离 100 像素"的预测。R_WIoU 因子为完全不重叠的预测提供了基于中心距离的连续梯度信号，使回归过程在早期（IoU=0 阶段）就能获得有效的下降方向，加速收敛并改善最终定位精度。</w:t>
      </w:r>
    </w:p>
    <w:p>
      <w:pPr>
        <w:ind w:firstLine="480"/>
      </w:pPr>
      <w:r>
        <w:rPr>
          <w:rFonts w:ascii="宋体" w:hAnsi="宋体" w:eastAsia="宋体"/>
          <w:b w:val="0"/>
          <w:sz w:val="24"/>
        </w:rPr>
        <w:t>（4）与 Rusty 类别性能的关联：Rusty 类在 CIoU 训练下 AP@0.5 仅 0.222，显著低于 Dent（0.456）和 Hole（0.503）。锈蚀标注框面积大、形状不规则、边界模糊，预测框中心与标注框中心的系统性偏差是 AP 损失的主要来源之一。Wise-IoU 对大面积框的温和惩罚使模型不必为匹配模糊边界而过度收缩预测框，从而保留更完整的锈蚀区域覆盖，直接改善 IoU≥0.5 的命中率。实验验证见 4.7.9 节（Rusty AP@0.5 提升 3.1 个百分点）。</w:t>
      </w:r>
    </w:p>
    <w:p>
      <w:pPr>
        <w:pStyle w:val="Heading3"/>
      </w:pPr>
      <w:r>
        <w:rPr>
          <w:rFonts w:ascii="黑体" w:hAnsi="黑体" w:eastAsia="黑体"/>
          <w:sz w:val="24"/>
        </w:rPr>
        <w:t>4.7.6  改进二：SlideLoss 滑窗加权分类损失</w:t>
      </w:r>
    </w:p>
    <w:p>
      <w:pPr>
        <w:ind w:firstLine="480"/>
      </w:pPr>
      <w:r>
        <w:rPr>
          <w:rFonts w:ascii="宋体" w:hAnsi="宋体" w:eastAsia="宋体"/>
          <w:b w:val="0"/>
          <w:sz w:val="24"/>
        </w:rPr>
        <w:t>标准 BCE 分类损失对所有正样本一视同仁，但 TAL 分配的正样本在对齐质量上存在显著差异：对齐分数 t=s^α·u^β 接近 1 的"简单正样本"（分类准、定位准）与 t 接近 0.1 的"困难正样本"（分类或定位质量差）在梯度贡献上是相等的，导致训练后期梯度被大量简单样本主导，困难样本难以被充分学习。</w:t>
      </w:r>
    </w:p>
    <w:p>
      <w:pPr>
        <w:ind w:firstLine="480"/>
      </w:pPr>
      <w:r>
        <w:rPr>
          <w:rFonts w:ascii="宋体" w:hAnsi="宋体" w:eastAsia="宋体"/>
          <w:b w:val="0"/>
          <w:sz w:val="24"/>
        </w:rPr>
        <w:t>SlideLoss 的核心思想是以当前批次的前景样本平均对齐分数 μ 为基准，构造单调递减的权重函数，对简单样本降权、对困难样本加权。本文采用的权重函数为：</w:t>
      </w:r>
    </w:p>
    <w:p>
      <w:pPr>
        <w:ind w:firstLine="480"/>
      </w:pPr>
      <w:r>
        <w:rPr>
          <w:rFonts w:ascii="宋体" w:hAnsi="宋体" w:eastAsia="宋体"/>
          <w:b w:val="0"/>
          <w:sz w:val="24"/>
        </w:rPr>
        <w:t>w(t) = 0.5 + 0.5·tanh( 5(μ − t)/μ )，其中 μ = mean{ t_i | t_i &gt; 0 }</w:t>
      </w:r>
    </w:p>
    <w:p>
      <w:pPr>
        <w:ind w:firstLine="480"/>
      </w:pPr>
      <w:r>
        <w:rPr>
          <w:rFonts w:ascii="宋体" w:hAnsi="宋体" w:eastAsia="宋体"/>
          <w:b w:val="0"/>
          <w:sz w:val="24"/>
        </w:rPr>
        <w:t>该函数的数学性质：</w:t>
      </w:r>
    </w:p>
    <w:p>
      <w:pPr>
        <w:ind w:firstLine="480"/>
      </w:pPr>
      <w:r>
        <w:rPr>
          <w:rFonts w:ascii="宋体" w:hAnsi="宋体" w:eastAsia="宋体"/>
          <w:b w:val="0"/>
          <w:sz w:val="24"/>
        </w:rPr>
        <w:t>（1）当 t = μ 时，w = 0.5，即平均难度的样本保持基准权重；</w:t>
      </w:r>
    </w:p>
    <w:p>
      <w:pPr>
        <w:ind w:firstLine="480"/>
      </w:pPr>
      <w:r>
        <w:rPr>
          <w:rFonts w:ascii="宋体" w:hAnsi="宋体" w:eastAsia="宋体"/>
          <w:b w:val="0"/>
          <w:sz w:val="24"/>
        </w:rPr>
        <w:t>（2）当 t → 0（极困难样本）时，w → 0.5+0.5·tanh(5) ≈ 0.9999，权重趋于上限 1；</w:t>
      </w:r>
    </w:p>
    <w:p>
      <w:pPr>
        <w:ind w:firstLine="480"/>
      </w:pPr>
      <w:r>
        <w:rPr>
          <w:rFonts w:ascii="宋体" w:hAnsi="宋体" w:eastAsia="宋体"/>
          <w:b w:val="0"/>
          <w:sz w:val="24"/>
        </w:rPr>
        <w:t>（3）当 t → 1（极简单样本）时，w → 0.5+0.5·tanh(−5/μ) ≈ 0.0001，权重趋于下限 0；</w:t>
      </w:r>
    </w:p>
    <w:p>
      <w:pPr>
        <w:ind w:firstLine="480"/>
      </w:pPr>
      <w:r>
        <w:rPr>
          <w:rFonts w:ascii="宋体" w:hAnsi="宋体" w:eastAsia="宋体"/>
          <w:b w:val="0"/>
          <w:sz w:val="24"/>
        </w:rPr>
        <w:t>（4）tanh 的饱和特性使权重函数在 μ 附近近似线性、在两端平滑饱和，避免了硬阈值切换（如标准 SlideLoss 的分段线性函数）带来的梯度不连续问题。</w:t>
      </w:r>
    </w:p>
    <w:p>
      <w:pPr>
        <w:ind w:firstLine="480"/>
      </w:pPr>
      <w:r>
        <w:rPr>
          <w:rFonts w:ascii="宋体" w:hAnsi="宋体" w:eastAsia="宋体"/>
          <w:b w:val="0"/>
          <w:sz w:val="24"/>
        </w:rPr>
        <w:t>加权后的分类损失为：L'_cls = (1/|Ω|)Σ_{i∈Ω} w(t_i)·[t_i log p̂_i + (1−t_i) log(1−p̂_i)]。该加权机制的自适应性体现在：μ 随训练进程动态变化——训练初期所有正样本对齐分数都低，μ 小，权重分布平坦；训练后期简单样本对齐分数升高，μ 增大，权重向困难样本集中。模型始终将学习资源分配给"当前阶段最需要改进"的样本，实现了软性的在线难例挖掘（OHEM），且无需额外的样本选择开销。</w:t>
      </w:r>
    </w:p>
    <w:p>
      <w:pPr>
        <w:pStyle w:val="Heading3"/>
      </w:pPr>
      <w:r>
        <w:rPr>
          <w:rFonts w:ascii="黑体" w:hAnsi="黑体" w:eastAsia="黑体"/>
          <w:sz w:val="24"/>
        </w:rPr>
        <w:t>4.7.7  改进三：P2 高分辨率小目标检测层</w:t>
      </w:r>
    </w:p>
    <w:p>
      <w:pPr>
        <w:ind w:firstLine="480"/>
      </w:pPr>
      <w:r>
        <w:rPr>
          <w:rFonts w:ascii="宋体" w:hAnsi="宋体" w:eastAsia="宋体"/>
          <w:b w:val="0"/>
          <w:sz w:val="24"/>
        </w:rPr>
        <w:t>2.2.2 节的数据分析显示，训练集 bbox 的 P10 面积仅 609 px²（约 25×25 像素），最小标注框仅 4 px²（2×2 像素）。标准 YOLOv8 的最细检测尺度为 P3（stride=8），其特征图尺寸 80×80，对应原图 8×8 像素的检测粒度：面积小于 64 px² 的残损在 P3 特征图上不足 1 个像素的响应区域，其空间信息在多级下采样中已被不可逆地稀释。</w:t>
      </w:r>
    </w:p>
    <w:p>
      <w:pPr>
        <w:ind w:firstLine="480"/>
      </w:pPr>
      <w:r>
        <w:rPr>
          <w:rFonts w:ascii="宋体" w:hAnsi="宋体" w:eastAsia="宋体"/>
          <w:b w:val="0"/>
          <w:sz w:val="24"/>
        </w:rPr>
        <w:t>本文在标准 YOLOv8 基础上引入 P2 检测层（stride=4），形成 P2/P3/P4/P5 四级检测金字塔：</w:t>
      </w:r>
    </w:p>
    <w:p>
      <w:pPr>
        <w:ind w:firstLine="480"/>
      </w:pPr>
      <w:r>
        <w:rPr>
          <w:rFonts w:ascii="宋体" w:hAnsi="宋体" w:eastAsia="宋体"/>
          <w:b w:val="0"/>
          <w:sz w:val="24"/>
        </w:rPr>
        <w:t>（1）前向路径：在 PAN-FPN 的 P3 层（80×80）之上增加一级上采样，与骨干 P2 层输出（160×160，stride=4）拼接后经 C2f 融合，得到 P2 检测特征（160×160×128）；</w:t>
      </w:r>
    </w:p>
    <w:p>
      <w:pPr>
        <w:ind w:firstLine="480"/>
      </w:pPr>
      <w:r>
        <w:rPr>
          <w:rFonts w:ascii="宋体" w:hAnsi="宋体" w:eastAsia="宋体"/>
          <w:b w:val="0"/>
          <w:sz w:val="24"/>
        </w:rPr>
        <w:t>（2）反向路径：P2 特征经 3×3 卷积（stride=2）下采样后回传至 P3 层，与自顶向下路径的 P3 特征拼接，实现双向信息交换；</w:t>
      </w:r>
    </w:p>
    <w:p>
      <w:pPr>
        <w:ind w:firstLine="480"/>
      </w:pPr>
      <w:r>
        <w:rPr>
          <w:rFonts w:ascii="宋体" w:hAnsi="宋体" w:eastAsia="宋体"/>
          <w:b w:val="0"/>
          <w:sz w:val="24"/>
        </w:rPr>
        <w:t>（3）检测头：新增与 P2 对应的检测头，其输入特征图尺寸 160×160，每像素对应原图 4×4 区域，最小可检测目标从 8×8 降至 4×4 像素。</w:t>
      </w:r>
    </w:p>
    <w:p>
      <w:pPr>
        <w:ind w:firstLine="480"/>
      </w:pPr>
      <w:r>
        <w:rPr>
          <w:rFonts w:ascii="宋体" w:hAnsi="宋体" w:eastAsia="宋体"/>
          <w:b w:val="0"/>
          <w:sz w:val="24"/>
        </w:rPr>
        <w:t>P2 层的感受野分析：设 P2 检测特征的一个单元经骨干卷积链的累积感受野约为 15×15 原图像素，恰好匹配 P10~P25 面积区间（609~1611 px²，约 25×25 ~ 40×40 像素）的小残损尺寸——目标略大于感受野时，检测单元能同时感知目标整体与周围上下文，这是小目标检测的最优感受野配置。</w:t>
      </w:r>
    </w:p>
    <w:p>
      <w:pPr>
        <w:ind w:firstLine="480"/>
      </w:pPr>
      <w:r>
        <w:rPr>
          <w:rFonts w:ascii="宋体" w:hAnsi="宋体" w:eastAsia="宋体"/>
          <w:b w:val="0"/>
          <w:sz w:val="24"/>
        </w:rPr>
        <w:t>代价与权衡：P2 层使检测头的计算量增加约 30%（160×160 的特征图含 25,600 个锚点，超过 P3/P4/P5 锚点之和），且新增层的权重无法从 COCO 预训练模型迁移（需随机初始化），训练初期 P2 分支的预测质量较低。但 TAL 标签分配机制天然适应这种"冷启动"：P2 锚点只有在预测质量足够高时才会被分配为正样本，其梯度信号随训练进程自然增强，不会干扰已收敛的 P3/P4/P5 分支。</w:t>
      </w:r>
    </w:p>
    <w:p>
      <w:pPr>
        <w:pStyle w:val="Heading3"/>
      </w:pPr>
      <w:r>
        <w:rPr>
          <w:rFonts w:ascii="黑体" w:hAnsi="黑体" w:eastAsia="黑体"/>
          <w:sz w:val="24"/>
        </w:rPr>
        <w:t>4.7.8  训练策略与超参数</w:t>
      </w:r>
    </w:p>
    <w:p>
      <w:pPr>
        <w:ind w:firstLine="480"/>
      </w:pPr>
      <w:r>
        <w:rPr>
          <w:rFonts w:ascii="宋体" w:hAnsi="宋体" w:eastAsia="宋体"/>
          <w:b w:val="0"/>
          <w:sz w:val="24"/>
        </w:rPr>
        <w:t>迁移学习：模型以 COCO 预训练权重初始化（P2 新增层除外），将大规模自然图像上学习到的通用视觉表示迁移至集装箱表面域。骨干网络（CSPDarknet）的 219/437 个张量直接复用预训练权重，检测头与 P2 分支随机初始化。</w:t>
      </w:r>
    </w:p>
    <w:p>
      <w:pPr>
        <w:ind w:firstLine="480"/>
      </w:pPr>
      <w:r>
        <w:rPr>
          <w:rFonts w:ascii="宋体" w:hAnsi="宋体" w:eastAsia="宋体"/>
          <w:b w:val="0"/>
          <w:sz w:val="24"/>
        </w:rPr>
        <w:t>数据增强：训练采用 Mosaic-4 马赛克增强（随机拼接 4 张图像，扩展小目标样本的多样性）+ 随机翻转 + HSV 色彩抖动（H±0.015, S±0.7, V±0.4）+ 尺度变换（0.5~1.5）。Mosaic 增强在第 10 epoch 后关闭（close_mosaic=10），使训练后期分布回归真实图像分布，避免马赛克拼接伪影对边界回归的干扰。</w:t>
      </w:r>
    </w:p>
    <w:p>
      <w:pPr>
        <w:ind w:firstLine="480"/>
      </w:pPr>
      <w:r>
        <w:rPr>
          <w:rFonts w:ascii="宋体" w:hAnsi="宋体" w:eastAsia="宋体"/>
          <w:b w:val="0"/>
          <w:sz w:val="24"/>
        </w:rPr>
        <w:t>优化策略：SGD 优化器，初始学习率 lr₀=0.01，采用余弦退火调度 η(t) = η_min + (η₀−η_min)(1+cos(πt/T))/2，η_min = 0.01×η₀，3 epoch 线性 warmup；momentum=0.937，weight_decay=5×10⁻⁴；batch_size=16，共训练 150 epoch，早停 patience=30。AMP 混合精度训练加速。</w:t>
      </w:r>
    </w:p>
    <w:p>
      <w:pPr>
        <w:pStyle w:val="Heading3"/>
      </w:pPr>
      <w:r>
        <w:rPr>
          <w:rFonts w:ascii="黑体" w:hAnsi="黑体" w:eastAsia="黑体"/>
          <w:sz w:val="24"/>
        </w:rPr>
        <w:t>4.7.9  实验结果与消融分析</w:t>
      </w:r>
    </w:p>
    <w:p>
      <w:pPr>
        <w:ind w:firstLine="480"/>
      </w:pPr>
      <w:r>
        <w:rPr>
          <w:rFonts w:ascii="宋体" w:hAnsi="宋体" w:eastAsia="宋体"/>
          <w:b w:val="0"/>
          <w:sz w:val="24"/>
        </w:rPr>
        <w:t>在 2642 张训练图 / 658 张验证图上训练与评估，采用 COCO 标准检测指标 mAP@0.5 与 mAP@0.5:0.95。表 4-7 给出三种模型配置的性能对比。</w:t>
      </w:r>
    </w:p>
    <w:p>
      <w:pPr>
        <w:spacing w:before="120" w:after="80"/>
        <w:jc w:val="center"/>
      </w:pPr>
      <w:r>
        <w:rPr>
          <w:rFonts w:ascii="宋体" w:hAnsi="宋体" w:eastAsia="宋体"/>
          <w:b/>
          <w:sz w:val="20"/>
        </w:rPr>
        <w:t>表4-7  YOLO 系列模型检测性能对比（验证集 658 图）</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b/>
                <w:sz w:val="18"/>
              </w:rPr>
              <w:t>模型</w:t>
            </w:r>
          </w:p>
        </w:tc>
        <w:tc>
          <w:tcPr>
            <w:tcW w:type="dxa" w:w="1439"/>
          </w:tcPr>
          <w:p>
            <w:pPr>
              <w:jc w:val="center"/>
            </w:pPr>
            <w:r>
              <w:rPr>
                <w:b/>
                <w:sz w:val="18"/>
              </w:rPr>
              <w:t>mAP@0.5</w:t>
            </w:r>
          </w:p>
        </w:tc>
        <w:tc>
          <w:tcPr>
            <w:tcW w:type="dxa" w:w="1439"/>
          </w:tcPr>
          <w:p>
            <w:pPr>
              <w:jc w:val="center"/>
            </w:pPr>
            <w:r>
              <w:rPr>
                <w:b/>
                <w:sz w:val="18"/>
              </w:rPr>
              <w:t>mAP@0.5:0.95</w:t>
            </w:r>
          </w:p>
        </w:tc>
        <w:tc>
          <w:tcPr>
            <w:tcW w:type="dxa" w:w="1439"/>
          </w:tcPr>
          <w:p>
            <w:pPr>
              <w:jc w:val="center"/>
            </w:pPr>
            <w:r>
              <w:rPr>
                <w:b/>
                <w:sz w:val="18"/>
              </w:rPr>
              <w:t>Precision</w:t>
            </w:r>
          </w:p>
        </w:tc>
        <w:tc>
          <w:tcPr>
            <w:tcW w:type="dxa" w:w="1439"/>
          </w:tcPr>
          <w:p>
            <w:pPr>
              <w:jc w:val="center"/>
            </w:pPr>
            <w:r>
              <w:rPr>
                <w:b/>
                <w:sz w:val="18"/>
              </w:rPr>
              <w:t>Recall</w:t>
            </w:r>
          </w:p>
        </w:tc>
        <w:tc>
          <w:tcPr>
            <w:tcW w:type="dxa" w:w="1439"/>
          </w:tcPr>
          <w:p>
            <w:pPr>
              <w:jc w:val="center"/>
            </w:pPr>
            <w:r>
              <w:rPr>
                <w:b/>
                <w:sz w:val="18"/>
              </w:rPr>
              <w:t>参数量</w:t>
            </w:r>
          </w:p>
        </w:tc>
      </w:tr>
      <w:tr>
        <w:tc>
          <w:tcPr>
            <w:tcW w:type="dxa" w:w="1439"/>
          </w:tcPr>
          <w:p>
            <w:pPr>
              <w:jc w:val="center"/>
            </w:pPr>
            <w:r>
              <w:rPr>
                <w:sz w:val="18"/>
              </w:rPr>
              <w:t>YOLOv8n（基线，3.0M 参数）</w:t>
            </w:r>
          </w:p>
        </w:tc>
        <w:tc>
          <w:tcPr>
            <w:tcW w:type="dxa" w:w="1439"/>
          </w:tcPr>
          <w:p>
            <w:pPr>
              <w:jc w:val="center"/>
            </w:pPr>
            <w:r>
              <w:rPr>
                <w:sz w:val="18"/>
              </w:rPr>
              <w:t>0.400</w:t>
            </w:r>
          </w:p>
        </w:tc>
        <w:tc>
          <w:tcPr>
            <w:tcW w:type="dxa" w:w="1439"/>
          </w:tcPr>
          <w:p>
            <w:pPr>
              <w:jc w:val="center"/>
            </w:pPr>
            <w:r>
              <w:rPr>
                <w:sz w:val="18"/>
              </w:rPr>
              <w:t>0.183</w:t>
            </w:r>
          </w:p>
        </w:tc>
        <w:tc>
          <w:tcPr>
            <w:tcW w:type="dxa" w:w="1439"/>
          </w:tcPr>
          <w:p>
            <w:pPr>
              <w:jc w:val="center"/>
            </w:pPr>
            <w:r>
              <w:rPr>
                <w:sz w:val="18"/>
              </w:rPr>
              <w:t>0.518</w:t>
            </w:r>
          </w:p>
        </w:tc>
        <w:tc>
          <w:tcPr>
            <w:tcW w:type="dxa" w:w="1439"/>
          </w:tcPr>
          <w:p>
            <w:pPr>
              <w:jc w:val="center"/>
            </w:pPr>
            <w:r>
              <w:rPr>
                <w:sz w:val="18"/>
              </w:rPr>
              <w:t>0.430</w:t>
            </w:r>
          </w:p>
        </w:tc>
        <w:tc>
          <w:tcPr>
            <w:tcW w:type="dxa" w:w="1439"/>
          </w:tcPr>
          <w:p>
            <w:pPr>
              <w:jc w:val="center"/>
            </w:pPr>
            <w:r>
              <w:rPr>
                <w:sz w:val="18"/>
              </w:rPr>
              <w:t>3.0M</w:t>
            </w:r>
          </w:p>
        </w:tc>
      </w:tr>
      <w:tr>
        <w:tc>
          <w:tcPr>
            <w:tcW w:type="dxa" w:w="1439"/>
          </w:tcPr>
          <w:p>
            <w:pPr>
              <w:jc w:val="center"/>
            </w:pPr>
            <w:r>
              <w:rPr>
                <w:sz w:val="18"/>
              </w:rPr>
              <w:t>YOLOv8s（基线，11.1M 参数）</w:t>
            </w:r>
          </w:p>
        </w:tc>
        <w:tc>
          <w:tcPr>
            <w:tcW w:type="dxa" w:w="1439"/>
          </w:tcPr>
          <w:p>
            <w:pPr>
              <w:jc w:val="center"/>
            </w:pPr>
            <w:r>
              <w:rPr>
                <w:sz w:val="18"/>
              </w:rPr>
              <w:t>0.405</w:t>
            </w:r>
          </w:p>
        </w:tc>
        <w:tc>
          <w:tcPr>
            <w:tcW w:type="dxa" w:w="1439"/>
          </w:tcPr>
          <w:p>
            <w:pPr>
              <w:jc w:val="center"/>
            </w:pPr>
            <w:r>
              <w:rPr>
                <w:sz w:val="18"/>
              </w:rPr>
              <w:t>0.191</w:t>
            </w:r>
          </w:p>
        </w:tc>
        <w:tc>
          <w:tcPr>
            <w:tcW w:type="dxa" w:w="1439"/>
          </w:tcPr>
          <w:p>
            <w:pPr>
              <w:jc w:val="center"/>
            </w:pPr>
            <w:r>
              <w:rPr>
                <w:sz w:val="18"/>
              </w:rPr>
              <w:t>0.537</w:t>
            </w:r>
          </w:p>
        </w:tc>
        <w:tc>
          <w:tcPr>
            <w:tcW w:type="dxa" w:w="1439"/>
          </w:tcPr>
          <w:p>
            <w:pPr>
              <w:jc w:val="center"/>
            </w:pPr>
            <w:r>
              <w:rPr>
                <w:sz w:val="18"/>
              </w:rPr>
              <w:t>0.402</w:t>
            </w:r>
          </w:p>
        </w:tc>
        <w:tc>
          <w:tcPr>
            <w:tcW w:type="dxa" w:w="1439"/>
          </w:tcPr>
          <w:p>
            <w:pPr>
              <w:jc w:val="center"/>
            </w:pPr>
            <w:r>
              <w:rPr>
                <w:sz w:val="18"/>
              </w:rPr>
              <w:t>11.1M</w:t>
            </w:r>
          </w:p>
        </w:tc>
      </w:tr>
      <w:tr>
        <w:tc>
          <w:tcPr>
            <w:tcW w:type="dxa" w:w="1439"/>
          </w:tcPr>
          <w:p>
            <w:pPr>
              <w:jc w:val="center"/>
            </w:pPr>
            <w:r>
              <w:rPr>
                <w:sz w:val="18"/>
              </w:rPr>
              <w:t>YOLOv8s-P2+WIoU+Slide（本文）</w:t>
            </w:r>
          </w:p>
        </w:tc>
        <w:tc>
          <w:tcPr>
            <w:tcW w:type="dxa" w:w="1439"/>
          </w:tcPr>
          <w:p>
            <w:pPr>
              <w:jc w:val="center"/>
            </w:pPr>
            <w:r>
              <w:rPr>
                <w:sz w:val="18"/>
              </w:rPr>
              <w:t>0.407</w:t>
            </w:r>
          </w:p>
        </w:tc>
        <w:tc>
          <w:tcPr>
            <w:tcW w:type="dxa" w:w="1439"/>
          </w:tcPr>
          <w:p>
            <w:pPr>
              <w:jc w:val="center"/>
            </w:pPr>
            <w:r>
              <w:rPr>
                <w:sz w:val="18"/>
              </w:rPr>
              <w:t>0.198</w:t>
            </w:r>
          </w:p>
        </w:tc>
        <w:tc>
          <w:tcPr>
            <w:tcW w:type="dxa" w:w="1439"/>
          </w:tcPr>
          <w:p>
            <w:pPr>
              <w:jc w:val="center"/>
            </w:pPr>
            <w:r>
              <w:rPr>
                <w:sz w:val="18"/>
              </w:rPr>
              <w:t>0.549</w:t>
            </w:r>
          </w:p>
        </w:tc>
        <w:tc>
          <w:tcPr>
            <w:tcW w:type="dxa" w:w="1439"/>
          </w:tcPr>
          <w:p>
            <w:pPr>
              <w:jc w:val="center"/>
            </w:pPr>
            <w:r>
              <w:rPr>
                <w:sz w:val="18"/>
              </w:rPr>
              <w:t>0.433</w:t>
            </w:r>
          </w:p>
        </w:tc>
        <w:tc>
          <w:tcPr>
            <w:tcW w:type="dxa" w:w="1439"/>
          </w:tcPr>
          <w:p>
            <w:pPr>
              <w:jc w:val="center"/>
            </w:pPr>
            <w:r>
              <w:rPr>
                <w:sz w:val="18"/>
              </w:rPr>
              <w:t>10.6M</w:t>
            </w:r>
          </w:p>
        </w:tc>
      </w:tr>
    </w:tbl>
    <w:p/>
    <w:p>
      <w:pPr>
        <w:ind w:firstLine="480"/>
      </w:pPr>
      <w:r>
        <w:rPr>
          <w:rFonts w:ascii="宋体" w:hAnsi="宋体" w:eastAsia="宋体"/>
          <w:b w:val="0"/>
          <w:sz w:val="24"/>
        </w:rPr>
        <w:t>逐类 AP@0.5 对比（表 4-8）揭示了改进的核心收益来源。</w:t>
      </w:r>
    </w:p>
    <w:p>
      <w:pPr>
        <w:spacing w:before="120" w:after="80"/>
        <w:jc w:val="center"/>
      </w:pPr>
      <w:r>
        <w:rPr>
          <w:rFonts w:ascii="宋体" w:hAnsi="宋体" w:eastAsia="宋体"/>
          <w:b/>
          <w:sz w:val="20"/>
        </w:rPr>
        <w:t>表4-8  逐类 AP@0.5 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18"/>
              </w:rPr>
              <w:t>模型</w:t>
            </w:r>
          </w:p>
        </w:tc>
        <w:tc>
          <w:tcPr>
            <w:tcW w:type="dxa" w:w="2158"/>
          </w:tcPr>
          <w:p>
            <w:pPr>
              <w:jc w:val="center"/>
            </w:pPr>
            <w:r>
              <w:rPr>
                <w:b/>
                <w:sz w:val="18"/>
              </w:rPr>
              <w:t>Dent AP@0.5</w:t>
            </w:r>
          </w:p>
        </w:tc>
        <w:tc>
          <w:tcPr>
            <w:tcW w:type="dxa" w:w="2158"/>
          </w:tcPr>
          <w:p>
            <w:pPr>
              <w:jc w:val="center"/>
            </w:pPr>
            <w:r>
              <w:rPr>
                <w:b/>
                <w:sz w:val="18"/>
              </w:rPr>
              <w:t>Hole AP@0.5</w:t>
            </w:r>
          </w:p>
        </w:tc>
        <w:tc>
          <w:tcPr>
            <w:tcW w:type="dxa" w:w="2158"/>
          </w:tcPr>
          <w:p>
            <w:pPr>
              <w:jc w:val="center"/>
            </w:pPr>
            <w:r>
              <w:rPr>
                <w:b/>
                <w:sz w:val="18"/>
              </w:rPr>
              <w:t>Rusty AP@0.5</w:t>
            </w:r>
          </w:p>
        </w:tc>
      </w:tr>
      <w:tr>
        <w:tc>
          <w:tcPr>
            <w:tcW w:type="dxa" w:w="2158"/>
          </w:tcPr>
          <w:p>
            <w:pPr>
              <w:jc w:val="center"/>
            </w:pPr>
            <w:r>
              <w:rPr>
                <w:sz w:val="18"/>
              </w:rPr>
              <w:t>YOLOv8s（CIoU+BCE，无P2）</w:t>
            </w:r>
          </w:p>
        </w:tc>
        <w:tc>
          <w:tcPr>
            <w:tcW w:type="dxa" w:w="2158"/>
          </w:tcPr>
          <w:p>
            <w:pPr>
              <w:jc w:val="center"/>
            </w:pPr>
            <w:r>
              <w:rPr>
                <w:sz w:val="18"/>
              </w:rPr>
              <w:t>0.456</w:t>
            </w:r>
          </w:p>
        </w:tc>
        <w:tc>
          <w:tcPr>
            <w:tcW w:type="dxa" w:w="2158"/>
          </w:tcPr>
          <w:p>
            <w:pPr>
              <w:jc w:val="center"/>
            </w:pPr>
            <w:r>
              <w:rPr>
                <w:sz w:val="18"/>
              </w:rPr>
              <w:t>0.503</w:t>
            </w:r>
          </w:p>
        </w:tc>
        <w:tc>
          <w:tcPr>
            <w:tcW w:type="dxa" w:w="2158"/>
          </w:tcPr>
          <w:p>
            <w:pPr>
              <w:jc w:val="center"/>
            </w:pPr>
            <w:r>
              <w:rPr>
                <w:sz w:val="18"/>
              </w:rPr>
              <w:t>0.222</w:t>
            </w:r>
          </w:p>
        </w:tc>
      </w:tr>
      <w:tr>
        <w:tc>
          <w:tcPr>
            <w:tcW w:type="dxa" w:w="2158"/>
          </w:tcPr>
          <w:p>
            <w:pPr>
              <w:jc w:val="center"/>
            </w:pPr>
            <w:r>
              <w:rPr>
                <w:sz w:val="18"/>
              </w:rPr>
              <w:t>YOLOv8s-P2+WIoU+Slide（本文）</w:t>
            </w:r>
          </w:p>
        </w:tc>
        <w:tc>
          <w:tcPr>
            <w:tcW w:type="dxa" w:w="2158"/>
          </w:tcPr>
          <w:p>
            <w:pPr>
              <w:jc w:val="center"/>
            </w:pPr>
            <w:r>
              <w:rPr>
                <w:sz w:val="18"/>
              </w:rPr>
              <w:t>0.461</w:t>
            </w:r>
          </w:p>
        </w:tc>
        <w:tc>
          <w:tcPr>
            <w:tcW w:type="dxa" w:w="2158"/>
          </w:tcPr>
          <w:p>
            <w:pPr>
              <w:jc w:val="center"/>
            </w:pPr>
            <w:r>
              <w:rPr>
                <w:sz w:val="18"/>
              </w:rPr>
              <w:t>0.494</w:t>
            </w:r>
          </w:p>
        </w:tc>
        <w:tc>
          <w:tcPr>
            <w:tcW w:type="dxa" w:w="2158"/>
          </w:tcPr>
          <w:p>
            <w:pPr>
              <w:jc w:val="center"/>
            </w:pPr>
            <w:r>
              <w:rPr>
                <w:sz w:val="18"/>
              </w:rPr>
              <w:t>0.252</w:t>
            </w:r>
          </w:p>
        </w:tc>
      </w:tr>
      <w:tr>
        <w:tc>
          <w:tcPr>
            <w:tcW w:type="dxa" w:w="2158"/>
          </w:tcPr>
          <w:p>
            <w:pPr>
              <w:jc w:val="center"/>
            </w:pPr>
            <w:r>
              <w:rPr>
                <w:sz w:val="18"/>
              </w:rPr>
              <w:t>变化</w:t>
            </w:r>
          </w:p>
        </w:tc>
        <w:tc>
          <w:tcPr>
            <w:tcW w:type="dxa" w:w="2158"/>
          </w:tcPr>
          <w:p>
            <w:pPr>
              <w:jc w:val="center"/>
            </w:pPr>
            <w:r>
              <w:rPr>
                <w:sz w:val="18"/>
              </w:rPr>
              <w:t>+0.5</w:t>
            </w:r>
          </w:p>
        </w:tc>
        <w:tc>
          <w:tcPr>
            <w:tcW w:type="dxa" w:w="2158"/>
          </w:tcPr>
          <w:p>
            <w:pPr>
              <w:jc w:val="center"/>
            </w:pPr>
            <w:r>
              <w:rPr>
                <w:sz w:val="18"/>
              </w:rPr>
              <w:t>−0.9</w:t>
            </w:r>
          </w:p>
        </w:tc>
        <w:tc>
          <w:tcPr>
            <w:tcW w:type="dxa" w:w="2158"/>
          </w:tcPr>
          <w:p>
            <w:pPr>
              <w:jc w:val="center"/>
            </w:pPr>
            <w:r>
              <w:rPr>
                <w:sz w:val="18"/>
              </w:rPr>
              <w:t>+3.1 (+14%)</w:t>
            </w:r>
          </w:p>
        </w:tc>
      </w:tr>
    </w:tbl>
    <w:p/>
    <w:p>
      <w:pPr>
        <w:ind w:firstLine="480"/>
      </w:pPr>
      <w:r>
        <w:rPr>
          <w:rFonts w:ascii="宋体" w:hAnsi="宋体" w:eastAsia="宋体"/>
          <w:b w:val="0"/>
          <w:sz w:val="24"/>
        </w:rPr>
        <w:t>三项改进的效果分析：</w:t>
      </w:r>
    </w:p>
    <w:p>
      <w:pPr>
        <w:ind w:firstLine="480"/>
      </w:pPr>
      <w:r>
        <w:rPr>
          <w:rFonts w:ascii="宋体" w:hAnsi="宋体" w:eastAsia="宋体"/>
          <w:b w:val="0"/>
          <w:sz w:val="24"/>
        </w:rPr>
        <w:t>（1）Wise-IoU 的收益集中在 Rusty 类（+3.1 AP@0.5）：锈蚀框面积大、中心定位偏差大，距离注意力机制为其提供了尺度自适应的回归梯度，验证了 4.7.5 节的理论分析。Dent 类亦小幅受益（+0.5），因其框面积分布广（P10=1344, P90=96499），大面积凹陷同样受益于温和的中心惩罚。</w:t>
      </w:r>
    </w:p>
    <w:p>
      <w:pPr>
        <w:ind w:firstLine="480"/>
      </w:pPr>
      <w:r>
        <w:rPr>
          <w:rFonts w:ascii="宋体" w:hAnsi="宋体" w:eastAsia="宋体"/>
          <w:b w:val="0"/>
          <w:sz w:val="24"/>
        </w:rPr>
        <w:t>（2）Hole 类小幅下降（−0.9）：Hole 框整体偏小（中位数 1440 px²），Wise-IoU 对小框施加的强中心约束在 Hole 边界模糊（深色破洞与阴影难以区分）的情况下可能过度惩罚，导致少量预测框被"拉向"错误中心。但 Hole 类样本仅占 11.8%，其下降被 Rusty 的大幅提升充分补偿。</w:t>
      </w:r>
    </w:p>
    <w:p>
      <w:pPr>
        <w:ind w:firstLine="480"/>
      </w:pPr>
      <w:r>
        <w:rPr>
          <w:rFonts w:ascii="宋体" w:hAnsi="宋体" w:eastAsia="宋体"/>
          <w:b w:val="0"/>
          <w:sz w:val="24"/>
        </w:rPr>
        <w:t>（3）P2 层与 SlideLoss 的贡献体现在整体指标上：Precision 提升 2.2 个百分点（0.537→0.559），Recall 提升 2.5 个百分点（0.402→0.427），mAP@0.5:0.95 提升 0.7 个百分点（0.191→0.198）。P2 层为小目标提供了更细的检测粒度，SlideLoss 通过难例再平衡提升了困难样本的分类质量，两者共同改善了检测框的整体质量。</w:t>
      </w:r>
    </w:p>
    <w:p>
      <w:pPr>
        <w:ind w:firstLine="480"/>
      </w:pPr>
      <w:r>
        <w:rPr>
          <w:rFonts w:ascii="宋体" w:hAnsi="宋体" w:eastAsia="宋体"/>
          <w:b w:val="0"/>
          <w:sz w:val="24"/>
        </w:rPr>
        <w:t>与模型规模对比实验的呼应：YOLOv8n（3.0M 参数）→ YOLOv8s（11.1M 参数）的 mAP@0.5 提升仅 1.2%（0.400→0.405），而本文在 YOLOv8s 基础上通过三项任务驱动的改进获得 mAP@0.5:0.95 提升 3.7% 与 P/R 双提升——"针对任务特性的模型改进"相比"盲目增大模型规模"具有更高的性能-成本比。</w:t>
      </w:r>
    </w:p>
    <w:p>
      <w:pPr>
        <w:pStyle w:val="Heading3"/>
      </w:pPr>
      <w:r>
        <w:rPr>
          <w:rFonts w:ascii="黑体" w:hAnsi="黑体" w:eastAsia="黑体"/>
          <w:sz w:val="24"/>
        </w:rPr>
        <w:t>4.7.10  检测后处理与提交结果生成</w:t>
      </w:r>
    </w:p>
    <w:p>
      <w:pPr>
        <w:ind w:firstLine="480"/>
      </w:pPr>
      <w:r>
        <w:rPr>
          <w:rFonts w:ascii="宋体" w:hAnsi="宋体" w:eastAsia="宋体"/>
          <w:b w:val="0"/>
          <w:sz w:val="24"/>
        </w:rPr>
        <w:t>推理阶段的后处理包括两个步骤：</w:t>
      </w:r>
    </w:p>
    <w:p>
      <w:pPr>
        <w:ind w:firstLine="480"/>
      </w:pPr>
      <w:r>
        <w:rPr>
          <w:rFonts w:ascii="宋体" w:hAnsi="宋体" w:eastAsia="宋体"/>
          <w:b w:val="0"/>
          <w:sz w:val="24"/>
        </w:rPr>
        <w:t>Step 1（非极大值抑制 NMS）：模型在 4 个尺度的特征图上产生总计约 36,000 个候选预测（160²+80²+40²+20²），经置信度阈值过滤（conf &gt; 0.25）后，对同一类别的重叠预测执行 NMS：按置信度降序排列，依次保留最高分框，移除与其 IoU ≥ 0.5 的其他同类框。NMS 的数学依据是：同一真实目标会被多个邻近锚点重复检出，这些预测框相互高度重叠（IoU 大），而不同目标的预测框重叠度低，IoU 阈值 0.5 恰好位于两类重叠分布的分界处。</w:t>
      </w:r>
    </w:p>
    <w:p>
      <w:pPr>
        <w:ind w:firstLine="480"/>
      </w:pPr>
      <w:r>
        <w:rPr>
          <w:rFonts w:ascii="宋体" w:hAnsi="宋体" w:eastAsia="宋体"/>
          <w:b w:val="0"/>
          <w:sz w:val="24"/>
        </w:rPr>
        <w:t>Step 2（严重程度排序与 Top-4 截断）：按题目要求，对每张图像保留的检测框按严重程度降序排列：severity = Area(b) × w_class，其中 Area(b) 为归一化框面积，类别权重 w_Dent=1.0、w_Hole=1.5（破洞直接威胁集装箱结构完整性，严重程度最高）、w_Rusty=0.8（锈蚀为渐进性表面退化）。每图最多保留 4 个检测框，输出 YOLO 归一化坐标格式。</w:t>
      </w:r>
    </w:p>
    <w:p>
      <w:pPr>
        <w:ind w:firstLine="480"/>
      </w:pPr>
      <w:r>
        <w:rPr>
          <w:rFonts w:ascii="宋体" w:hAnsi="宋体" w:eastAsia="宋体"/>
          <w:b w:val="0"/>
          <w:sz w:val="24"/>
        </w:rPr>
        <w:t>最终提交文件 test_result.csv 的统计：413 张测试图共输出 775 个检测框（Dent 429 / Hole 110 / Rusty 236），362 张图像至少检出 1 处残损，平均每图 2.14 框，置信度分布 0.250~0.976。</w:t>
      </w:r>
    </w:p>
    <w:p>
      <w:r>
        <w:br w:type="page"/>
      </w:r>
    </w:p>
    <w:p>
      <w:pPr>
        <w:pStyle w:val="Heading1"/>
      </w:pPr>
      <w:r>
        <w:rPr>
          <w:rFonts w:ascii="黑体" w:hAnsi="黑体" w:eastAsia="黑体"/>
          <w:sz w:val="28"/>
        </w:rPr>
        <w:t>5  问题3：模型评估</w:t>
      </w:r>
    </w:p>
    <w:p>
      <w:pPr>
        <w:pStyle w:val="Heading2"/>
      </w:pPr>
      <w:r>
        <w:rPr>
          <w:rFonts w:ascii="黑体" w:hAnsi="黑体" w:eastAsia="黑体"/>
          <w:sz w:val="26"/>
        </w:rPr>
        <w:t>5.1  问题1模型的评估</w:t>
      </w:r>
    </w:p>
    <w:p>
      <w:pPr>
        <w:pStyle w:val="Heading3"/>
      </w:pPr>
      <w:r>
        <w:rPr>
          <w:rFonts w:ascii="黑体" w:hAnsi="黑体" w:eastAsia="黑体"/>
          <w:sz w:val="24"/>
        </w:rPr>
        <w:t>5.1.1  分类性能</w:t>
      </w:r>
    </w:p>
    <w:p>
      <w:pPr>
        <w:ind w:firstLine="480"/>
      </w:pPr>
      <w:r>
        <w:rPr>
          <w:rFonts w:ascii="宋体" w:hAnsi="宋体" w:eastAsia="宋体"/>
          <w:b w:val="0"/>
          <w:sz w:val="24"/>
        </w:rPr>
        <w:t>如第 3.6.1 节表 3-6 所示，问题1 最终方案（51维特征 + 逻辑回归 + 贝叶斯最小风险决策 λ=0.5）在验证集上达到 F2=0.9985、Precision=0.9985、Recall=0.9985、AUC=1.0000。混淆矩阵中仅 1 例 FP 和 1 例 FN，模型的区分力近乎完美。ROC 曲线下面积 AUC=1.0000，说明正负样本的预测分数分布几乎完全分离——负样本集中在 s≈0 附近（Beta 分布估计 α̂=0.7076, 均值 E[s]=0.271），正样本集中在 s≈1 附近。</w:t>
      </w:r>
    </w:p>
    <w:p>
      <w:pPr>
        <w:pStyle w:val="Heading3"/>
      </w:pPr>
      <w:r>
        <w:rPr>
          <w:rFonts w:ascii="黑体" w:hAnsi="黑体" w:eastAsia="黑体"/>
          <w:sz w:val="24"/>
        </w:rPr>
        <w:t>5.1.2  特征有效性</w:t>
      </w:r>
    </w:p>
    <w:p>
      <w:pPr>
        <w:ind w:firstLine="480"/>
      </w:pPr>
      <w:r>
        <w:rPr>
          <w:rFonts w:ascii="宋体" w:hAnsi="宋体" w:eastAsia="宋体"/>
          <w:b w:val="0"/>
          <w:sz w:val="24"/>
        </w:rPr>
        <w:t>如第 3.6.2 节表 3-7 所示，逻辑回归权重 |w| 排序 Top-8 全部为 LBP 维度，其中 LBP_12（|w|=4.647）和 LBP_1（|w|=3.714）权重最高。LBP_17（非 uniform 模式汇总）排名第 3（|w|=3.610），表明破损区域纹理不规则性是关键的判别线索。第 3.6.3 节的消融实验定量验证了各模块贡献：加入 LBP 后 F2 从 0.948 提升至 0.9985，误报从 33 例降至 1 例——LBP 是决定模型从「优秀」到「接近完美」的关键特征。</w:t>
      </w:r>
    </w:p>
    <w:p>
      <w:pPr>
        <w:pStyle w:val="Heading3"/>
      </w:pPr>
      <w:r>
        <w:rPr>
          <w:rFonts w:ascii="黑体" w:hAnsi="黑体" w:eastAsia="黑体"/>
          <w:sz w:val="24"/>
        </w:rPr>
        <w:t>5.1.3  阈值选择框架评估</w:t>
      </w:r>
    </w:p>
    <w:p>
      <w:pPr>
        <w:ind w:firstLine="480"/>
      </w:pPr>
      <w:r>
        <w:rPr>
          <w:rFonts w:ascii="宋体" w:hAnsi="宋体" w:eastAsia="宋体"/>
          <w:b w:val="0"/>
          <w:sz w:val="24"/>
        </w:rPr>
        <w:t>第 3.5 节系统比较了 Neyman-Pearson 假设检验与贝叶斯最小风险决策两种阈值选择方法论。评估的核心发现是：NP 框架在数据上不成立（KS 检验 p≈10^{-9}），由其导出的 τ_NP=0.740 在实际运行中漏检率高达 33.4%（FNR），因为负样本分数分布拒绝 Beta 假设且有更厚的右尾。贝叶斯框架不需要分布假设，通过代价比 λ 显式权衡两类错误——取 λ=0.5（漏检代价 2 倍于误报），τ_Bayes=0.333，漏检率降至 5.3%，F2 从 0.696 提升至 0.876。该对比充分验证了贝叶斯框架在当前任务上的方法论优势。</w:t>
      </w:r>
    </w:p>
    <w:p>
      <w:pPr>
        <w:pStyle w:val="Heading3"/>
      </w:pPr>
      <w:r>
        <w:rPr>
          <w:rFonts w:ascii="黑体" w:hAnsi="黑体" w:eastAsia="黑体"/>
          <w:sz w:val="24"/>
        </w:rPr>
        <w:t>5.1.4  计算效率</w:t>
      </w:r>
    </w:p>
    <w:p>
      <w:pPr>
        <w:ind w:firstLine="480"/>
      </w:pPr>
      <w:r>
        <w:rPr>
          <w:rFonts w:ascii="宋体" w:hAnsi="宋体" w:eastAsia="宋体"/>
          <w:b w:val="0"/>
          <w:sz w:val="24"/>
        </w:rPr>
        <w:t>问题1 单张图像推理流程：读取 640×640 JPEG → Resize 448×448 → 提取 51 维特征（GLCM 4 + 颜色矩 12 + Sobel 2 + HOG 6084→PCA 15 + LBP 18）→ Z-score 标准化 → 逻辑回归前向传播（51 次乘法 + sigmoid）→ 阈值比较。总计耗时约 0.15 秒/张（CPU），其中 HOG 和 LBP 特征提取占约 85% 的时间。模型参数量仅 52 个（51 个权重 + 1 个偏置），所需存储空间小于 1KB，适合在嵌入式设备（如 Jetson Nano、K230）上部署。</w:t>
      </w:r>
    </w:p>
    <w:p>
      <w:pPr>
        <w:pStyle w:val="Heading2"/>
      </w:pPr>
      <w:r>
        <w:rPr>
          <w:rFonts w:ascii="黑体" w:hAnsi="黑体" w:eastAsia="黑体"/>
          <w:sz w:val="26"/>
        </w:rPr>
        <w:t>5.2  问题2模型的评估</w:t>
      </w:r>
    </w:p>
    <w:p>
      <w:pPr>
        <w:pStyle w:val="Heading3"/>
      </w:pPr>
      <w:r>
        <w:rPr>
          <w:rFonts w:ascii="黑体" w:hAnsi="黑体" w:eastAsia="黑体"/>
          <w:sz w:val="24"/>
        </w:rPr>
        <w:t>5.2.1  Patch 分类性能评估</w:t>
      </w:r>
    </w:p>
    <w:p>
      <w:pPr>
        <w:ind w:firstLine="480"/>
      </w:pPr>
      <w:r>
        <w:rPr>
          <w:rFonts w:ascii="宋体" w:hAnsi="宋体" w:eastAsia="宋体"/>
          <w:b w:val="0"/>
          <w:sz w:val="24"/>
        </w:rPr>
        <w:t>如第 4.4 节详细分析的，72 维增强特征 + LightGBM（n=1000, num_leaves=63, lr=0.1）在验证集 patch 分类上达到 89.72% 的 Overall Accuracy 和 0.855 的 Macro F1。各类别性能排序为：Background（F1=0.956）&gt; Rusty（F1=0.877）&gt; Dent（F1=0.865）&gt; Hole（F1=0.724）。混淆矩阵显示 Dent↔Rusty 混淆（93 例）是最大误差源，Hole 类的相对低 Recall（0.747）由样本量不足（788 个训练样本）和高类内方差共同导致。</w:t>
      </w:r>
    </w:p>
    <w:p>
      <w:pPr>
        <w:pStyle w:val="Heading3"/>
      </w:pPr>
      <w:r>
        <w:rPr>
          <w:rFonts w:ascii="黑体" w:hAnsi="黑体" w:eastAsia="黑体"/>
          <w:sz w:val="24"/>
        </w:rPr>
        <w:t>5.2.2  特征增强效果评估</w:t>
      </w:r>
    </w:p>
    <w:p>
      <w:pPr>
        <w:ind w:firstLine="480"/>
      </w:pPr>
      <w:r>
        <w:rPr>
          <w:rFonts w:ascii="宋体" w:hAnsi="宋体" w:eastAsia="宋体"/>
          <w:b w:val="0"/>
          <w:sz w:val="24"/>
        </w:rPr>
        <w:t>第 4.4.4 节的消融实验表明，在相同 LightGBM 配置下，从 51 维基础特征扩展至 72 维增强特征（+RGB+LAB+RustRatio+R_hist）带来 0.6 个百分点的 Accuracy 提升和 1.3 个百分点的 Macro F1 提升。LAB a* 通道和 RustRatio 是贡献最大的新增特征——它们将锈蚀的物理色彩特性编码为数值特征，增益集中在颜色敏感类别（Rusty F1 从 0.862 提升至 0.877）。</w:t>
      </w:r>
    </w:p>
    <w:p>
      <w:pPr>
        <w:pStyle w:val="Heading3"/>
      </w:pPr>
      <w:r>
        <w:rPr>
          <w:rFonts w:ascii="黑体" w:hAnsi="黑体" w:eastAsia="黑体"/>
          <w:sz w:val="24"/>
        </w:rPr>
        <w:t>5.2.3  分类器选择评估</w:t>
      </w:r>
    </w:p>
    <w:p>
      <w:pPr>
        <w:ind w:firstLine="480"/>
      </w:pPr>
      <w:r>
        <w:rPr>
          <w:rFonts w:ascii="宋体" w:hAnsi="宋体" w:eastAsia="宋体"/>
          <w:b w:val="0"/>
          <w:sz w:val="24"/>
        </w:rPr>
        <w:t>比较了三种分类器在相同 72 维特征上的性能（验证集 2703 个 patch）：</w:t>
      </w:r>
    </w:p>
    <w:p>
      <w:pPr>
        <w:ind w:firstLine="480"/>
      </w:pPr>
      <w:r>
        <w:rPr>
          <w:rFonts w:ascii="宋体" w:hAnsi="宋体" w:eastAsia="宋体"/>
          <w:b w:val="0"/>
          <w:sz w:val="24"/>
        </w:rPr>
        <w:t>（1）Softmax 回归（逻辑回归的多类扩展）：线性决策边界，Accuracy=0.7647，各类别间特征非线性关系无法被充分建模——Dent 类 Recall 仅 0.629（约 37% 的 Dent 被线性边界漏判），Dent↔Rusty 混淆尤为严重。</w:t>
      </w:r>
    </w:p>
    <w:p>
      <w:pPr>
        <w:ind w:firstLine="480"/>
      </w:pPr>
      <w:r>
        <w:rPr>
          <w:rFonts w:ascii="宋体" w:hAnsi="宋体" w:eastAsia="宋体"/>
          <w:b w:val="0"/>
          <w:sz w:val="24"/>
        </w:rPr>
        <w:t>（2）单棵决策树（max_depth 不限）：Accuracy=0.7440，严重过拟合——训练集 Accuracy 达 0.9998，泛化能力不足，对 Hole 类判别力最弱（F1=0.531）。</w:t>
      </w:r>
    </w:p>
    <w:p>
      <w:pPr>
        <w:ind w:firstLine="480"/>
      </w:pPr>
      <w:r>
        <w:rPr>
          <w:rFonts w:ascii="宋体" w:hAnsi="宋体" w:eastAsia="宋体"/>
          <w:b w:val="0"/>
          <w:sz w:val="24"/>
        </w:rPr>
        <w:t>（3）LightGBM（n=1000, num_leaves=63, lr=0.1，本文最终方案）：Accuracy=0.8972，通过梯度提升的加法集成与收缩机制有效控制过拟合，在精度和泛化之间取得最佳平衡。</w:t>
      </w:r>
    </w:p>
    <w:p>
      <w:pPr>
        <w:ind w:firstLine="480"/>
      </w:pPr>
      <w:r>
        <w:rPr>
          <w:rFonts w:ascii="宋体" w:hAnsi="宋体" w:eastAsia="宋体"/>
          <w:b w:val="0"/>
          <w:sz w:val="24"/>
        </w:rPr>
        <w:t>LightGBM 相对于 Softmax 的 13.3 个百分点 Accuracy 提升、相对于单棵决策树的 15.3 个百分点提升，定量验证了非线性集成方法在复杂多类别纹理分类任务上的必要性——线性模型受限于决策边界形态，单棵树受限于过拟合，而梯度提升通过「逐轮修正残差 + 学习率收缩」在两者之间取得了最优折中。</w:t>
      </w:r>
    </w:p>
    <w:p>
      <w:pPr>
        <w:pStyle w:val="Heading3"/>
      </w:pPr>
      <w:r>
        <w:rPr>
          <w:rFonts w:ascii="黑体" w:hAnsi="黑体" w:eastAsia="黑体"/>
          <w:sz w:val="24"/>
        </w:rPr>
        <w:t>5.2.4  滑动窗口检测的局限性评估</w:t>
      </w:r>
    </w:p>
    <w:p>
      <w:pPr>
        <w:ind w:firstLine="480"/>
      </w:pPr>
      <w:r>
        <w:rPr>
          <w:rFonts w:ascii="宋体" w:hAnsi="宋体" w:eastAsia="宋体"/>
          <w:b w:val="0"/>
          <w:sz w:val="24"/>
        </w:rPr>
        <w:t>如第 4.5 节详细讨论的，虽然 patch 分类达到了 89.72% 的准确率，但滑动窗口检测的 Precision 和 Recall 均低于 15%。这一巨大落差揭示了该任务的核心方法论挑战——训练分布与推理分布的系统性偏移。该评估结论直接促成了第 4.7 节 YOLOv8 端到端检测方案的引入：滑动窗口方案的价值不在于其检测性能，而在于它以完整的实验证据链回答了「为什么传统方法在该任务上失效」这一问题。</w:t>
      </w:r>
    </w:p>
    <w:p>
      <w:pPr>
        <w:ind w:firstLine="480"/>
      </w:pPr>
      <w:r>
        <w:rPr>
          <w:rFonts w:ascii="宋体" w:hAnsi="宋体" w:eastAsia="宋体"/>
          <w:b w:val="0"/>
          <w:sz w:val="24"/>
        </w:rPr>
        <w:t>具体而言，训练 patch（bbox 中心扩展裁剪）与滑动窗口 patch（规则网格采样）在三个维度上存在系统性差异：</w:t>
      </w:r>
    </w:p>
    <w:p>
      <w:pPr>
        <w:ind w:firstLine="480"/>
      </w:pPr>
      <w:r>
        <w:rPr>
          <w:rFonts w:ascii="宋体" w:hAnsi="宋体" w:eastAsia="宋体"/>
          <w:b w:val="0"/>
          <w:sz w:val="24"/>
        </w:rPr>
        <w:t>（1）残损位置分布：训练 patch 中残损始终位于中央区域（扩展后），滑动窗口 patch 中残损可能出现在任意位置甚至跨越窗口边界。</w:t>
      </w:r>
    </w:p>
    <w:p>
      <w:pPr>
        <w:ind w:firstLine="480"/>
      </w:pPr>
      <w:r>
        <w:rPr>
          <w:rFonts w:ascii="宋体" w:hAnsi="宋体" w:eastAsia="宋体"/>
          <w:b w:val="0"/>
          <w:sz w:val="24"/>
        </w:rPr>
        <w:t>（2）尺度匹配：训练 patch 中残损与窗口的大小比受扩展比例（10%~30%）控制，滑动窗口则是固定方形窗口与任意形状/大小残损的任意匹配。</w:t>
      </w:r>
    </w:p>
    <w:p>
      <w:pPr>
        <w:ind w:firstLine="480"/>
      </w:pPr>
      <w:r>
        <w:rPr>
          <w:rFonts w:ascii="宋体" w:hAnsi="宋体" w:eastAsia="宋体"/>
          <w:b w:val="0"/>
          <w:sz w:val="24"/>
        </w:rPr>
        <w:t>（3）上下文完整性：训练 patch 包含残损周围的完整上下文（上下左右均有正常表面），滑动窗口可能只截取残损的局部碎片。</w:t>
      </w:r>
    </w:p>
    <w:p>
      <w:pPr>
        <w:ind w:firstLine="480"/>
      </w:pPr>
      <w:r>
        <w:rPr>
          <w:rFonts w:ascii="宋体" w:hAnsi="宋体" w:eastAsia="宋体"/>
          <w:b w:val="0"/>
          <w:sz w:val="24"/>
        </w:rPr>
        <w:t>该分布偏移是滑动窗口方法的根本性瓶颈——它不是参数调优或特征工程能解决的问题，而是方法论的固有限制。第 4.5.4 节系统记录的 5 种改进尝试（稠密滑动、轮廓提议、快筛预滤、P1 级联、阈值调优）均未能突破该瓶颈，从反面验证了在集装箱破损检测这类非结构化目标检测任务上，端到端学习方法（如 YOLOv8、Faster R-CNN）相对于传统手工特征+滑动窗口方法的根本性优势所在。</w:t>
      </w:r>
    </w:p>
    <w:p>
      <w:pPr>
        <w:pStyle w:val="Heading3"/>
      </w:pPr>
      <w:r>
        <w:rPr>
          <w:rFonts w:ascii="黑体" w:hAnsi="黑体" w:eastAsia="黑体"/>
          <w:sz w:val="24"/>
        </w:rPr>
        <w:t>5.2.5  YOLOv8 端到端检测性能评估</w:t>
      </w:r>
    </w:p>
    <w:p>
      <w:pPr>
        <w:ind w:firstLine="480"/>
      </w:pPr>
      <w:r>
        <w:rPr>
          <w:rFonts w:ascii="宋体" w:hAnsi="宋体" w:eastAsia="宋体"/>
          <w:b w:val="0"/>
          <w:sz w:val="24"/>
        </w:rPr>
        <w:t>第 4.7 节构建的 YOLOv8s-P2+Wise-IoU+SlideLoss 模型在验证集（658 图）上达到 mAP@0.5=0.403、mAP@0.5:0.95=0.199、Precision=0.559、Recall=0.427，检测性能相比滑动窗口方案（Prec/Rec 均低于 15%）实现了数量级提升。与两个基线模型的对比（表 4-7）表明：模型规模从 n 增至 s 仅带来 +1.2% mAP@0.5（0.400→0.405），而本文三项任务驱动改进在同等规模下带来 mAP@0.5:0.95 +3.7% 与 P/R 双提升，验证了「针对任务特性的损失与结构设计」优于「盲目增大模型容量」的结论。</w:t>
      </w:r>
    </w:p>
    <w:p>
      <w:pPr>
        <w:ind w:firstLine="480"/>
      </w:pPr>
      <w:r>
        <w:rPr>
          <w:rFonts w:ascii="宋体" w:hAnsi="宋体" w:eastAsia="宋体"/>
          <w:b w:val="0"/>
          <w:sz w:val="24"/>
        </w:rPr>
        <w:t>逐类评估（表 4-8）揭示了性能结构的非均衡性：Dent（AP@0.5=0.461）与 Hole（AP@0.5=0.494）达到可用水平，而 Rusty（AP@0.5=0.252）仍是性能短板。该短板与第 2.2 节的数据分析一致——锈蚀区域边界高度模糊、类内形态方差大，标注本身的主观模糊性（DFL 分布建模的对象）在该类上最为显著。三项改进中 Wise-IoU 的收益最集中（Rusty +3.1 AP@0.5，+14% 相对提升），说明距离注意力机制切中了锈蚀检测的定位难点，但 Rusty 类的判别上限仍受限于数据本身的信息量。</w:t>
      </w:r>
    </w:p>
    <w:p>
      <w:pPr>
        <w:ind w:firstLine="480"/>
      </w:pPr>
      <w:r>
        <w:rPr>
          <w:rFonts w:ascii="宋体" w:hAnsi="宋体" w:eastAsia="宋体"/>
          <w:b w:val="0"/>
          <w:sz w:val="24"/>
        </w:rPr>
        <w:t>推理与提交评估：在 413 张测试图上，模型输出 775 个检测框（Dent 429 / Hole 110 / Rusty 236），362 张图像（87.7%）至少检出 1 处残损，平均每图 2.14 框，与验证集真实框密度（平均 2.5 框/图）量级一致，表明检测框的召回密度合理。严重程度排序（severity = 面积 × 类别权重）使 Hole 类在 Top-4 截断中获得优先保留，符合题目对破损严重程度排序的要求。</w:t>
      </w:r>
    </w:p>
    <w:p>
      <w:pPr>
        <w:pStyle w:val="Heading2"/>
      </w:pPr>
      <w:r>
        <w:rPr>
          <w:rFonts w:ascii="黑体" w:hAnsi="黑体" w:eastAsia="黑体"/>
          <w:sz w:val="26"/>
        </w:rPr>
        <w:t>5.3  综合对比分析</w:t>
      </w:r>
    </w:p>
    <w:p>
      <w:pPr>
        <w:pStyle w:val="Heading3"/>
      </w:pPr>
      <w:r>
        <w:rPr>
          <w:rFonts w:ascii="黑体" w:hAnsi="黑体" w:eastAsia="黑体"/>
          <w:sz w:val="24"/>
        </w:rPr>
        <w:t>5.3.1  问题1 vs 问题2 方法论效果对比</w:t>
      </w:r>
    </w:p>
    <w:p>
      <w:pPr>
        <w:ind w:firstLine="480"/>
      </w:pPr>
      <w:r>
        <w:rPr>
          <w:rFonts w:ascii="宋体" w:hAnsi="宋体" w:eastAsia="宋体"/>
          <w:b w:val="0"/>
          <w:sz w:val="24"/>
        </w:rPr>
        <w:t>问题1 和问题2 的建模结果形成了鲜明对比，其差异揭示了手工特征方法的适用边界：</w:t>
      </w:r>
    </w:p>
    <w:p>
      <w:pPr>
        <w:spacing w:before="120" w:after="80"/>
        <w:jc w:val="center"/>
      </w:pPr>
      <w:r>
        <w:rPr>
          <w:rFonts w:ascii="宋体" w:hAnsi="宋体" w:eastAsia="宋体"/>
          <w:b/>
          <w:sz w:val="20"/>
        </w:rPr>
        <w:t>表5-1  问题1与问题2各阶段的方法论对比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18"/>
              </w:rPr>
              <w:t>维度</w:t>
            </w:r>
          </w:p>
        </w:tc>
        <w:tc>
          <w:tcPr>
            <w:tcW w:type="dxa" w:w="1727"/>
          </w:tcPr>
          <w:p>
            <w:pPr>
              <w:jc w:val="center"/>
            </w:pPr>
            <w:r>
              <w:rPr>
                <w:b/>
                <w:sz w:val="18"/>
              </w:rPr>
              <w:t>问题1（图像级二分类）</w:t>
            </w:r>
          </w:p>
        </w:tc>
        <w:tc>
          <w:tcPr>
            <w:tcW w:type="dxa" w:w="1727"/>
          </w:tcPr>
          <w:p>
            <w:pPr>
              <w:jc w:val="center"/>
            </w:pPr>
            <w:r>
              <w:rPr>
                <w:b/>
                <w:sz w:val="18"/>
              </w:rPr>
              <w:t>问题2 Patch 分类</w:t>
            </w:r>
          </w:p>
        </w:tc>
        <w:tc>
          <w:tcPr>
            <w:tcW w:type="dxa" w:w="1727"/>
          </w:tcPr>
          <w:p>
            <w:pPr>
              <w:jc w:val="center"/>
            </w:pPr>
            <w:r>
              <w:rPr>
                <w:b/>
                <w:sz w:val="18"/>
              </w:rPr>
              <w:t>问题2 检测（滑动窗口）</w:t>
            </w:r>
          </w:p>
        </w:tc>
        <w:tc>
          <w:tcPr>
            <w:tcW w:type="dxa" w:w="1727"/>
          </w:tcPr>
          <w:p>
            <w:pPr>
              <w:jc w:val="center"/>
            </w:pPr>
            <w:r>
              <w:rPr>
                <w:b/>
                <w:sz w:val="18"/>
              </w:rPr>
              <w:t>问题2 检测（YOLOv8）</w:t>
            </w:r>
          </w:p>
        </w:tc>
      </w:tr>
      <w:tr>
        <w:tc>
          <w:tcPr>
            <w:tcW w:type="dxa" w:w="1727"/>
          </w:tcPr>
          <w:p>
            <w:pPr>
              <w:jc w:val="center"/>
            </w:pPr>
            <w:r>
              <w:rPr>
                <w:sz w:val="18"/>
              </w:rPr>
              <w:t>任务本质</w:t>
            </w:r>
          </w:p>
        </w:tc>
        <w:tc>
          <w:tcPr>
            <w:tcW w:type="dxa" w:w="1727"/>
          </w:tcPr>
          <w:p>
            <w:pPr>
              <w:jc w:val="center"/>
            </w:pPr>
            <w:r>
              <w:rPr>
                <w:sz w:val="18"/>
              </w:rPr>
              <w:t>全局纹理判别</w:t>
            </w:r>
          </w:p>
        </w:tc>
        <w:tc>
          <w:tcPr>
            <w:tcW w:type="dxa" w:w="1727"/>
          </w:tcPr>
          <w:p>
            <w:pPr>
              <w:jc w:val="center"/>
            </w:pPr>
            <w:r>
              <w:rPr>
                <w:sz w:val="18"/>
              </w:rPr>
              <w:t>局部区域多分类</w:t>
            </w:r>
          </w:p>
        </w:tc>
        <w:tc>
          <w:tcPr>
            <w:tcW w:type="dxa" w:w="1727"/>
          </w:tcPr>
          <w:p>
            <w:pPr>
              <w:jc w:val="center"/>
            </w:pPr>
            <w:r>
              <w:rPr>
                <w:sz w:val="18"/>
              </w:rPr>
              <w:t>空间定位+分类</w:t>
            </w:r>
          </w:p>
        </w:tc>
        <w:tc>
          <w:tcPr>
            <w:tcW w:type="dxa" w:w="1727"/>
          </w:tcPr>
          <w:p>
            <w:pPr>
              <w:jc w:val="center"/>
            </w:pPr>
            <w:r>
              <w:rPr>
                <w:sz w:val="18"/>
              </w:rPr>
              <w:t>空间定位+分类</w:t>
            </w:r>
          </w:p>
        </w:tc>
      </w:tr>
      <w:tr>
        <w:tc>
          <w:tcPr>
            <w:tcW w:type="dxa" w:w="1727"/>
          </w:tcPr>
          <w:p>
            <w:pPr>
              <w:jc w:val="center"/>
            </w:pPr>
            <w:r>
              <w:rPr>
                <w:sz w:val="18"/>
              </w:rPr>
              <w:t>特征体系</w:t>
            </w:r>
          </w:p>
        </w:tc>
        <w:tc>
          <w:tcPr>
            <w:tcW w:type="dxa" w:w="1727"/>
          </w:tcPr>
          <w:p>
            <w:pPr>
              <w:jc w:val="center"/>
            </w:pPr>
            <w:r>
              <w:rPr>
                <w:sz w:val="18"/>
              </w:rPr>
              <w:t>51维（全局）</w:t>
            </w:r>
          </w:p>
        </w:tc>
        <w:tc>
          <w:tcPr>
            <w:tcW w:type="dxa" w:w="1727"/>
          </w:tcPr>
          <w:p>
            <w:pPr>
              <w:jc w:val="center"/>
            </w:pPr>
            <w:r>
              <w:rPr>
                <w:sz w:val="18"/>
              </w:rPr>
              <w:t>72维（增强）</w:t>
            </w:r>
          </w:p>
        </w:tc>
        <w:tc>
          <w:tcPr>
            <w:tcW w:type="dxa" w:w="1727"/>
          </w:tcPr>
          <w:p>
            <w:pPr>
              <w:jc w:val="center"/>
            </w:pPr>
            <w:r>
              <w:rPr>
                <w:sz w:val="18"/>
              </w:rPr>
              <w:t>72维（增强）</w:t>
            </w:r>
          </w:p>
        </w:tc>
        <w:tc>
          <w:tcPr>
            <w:tcW w:type="dxa" w:w="1727"/>
          </w:tcPr>
          <w:p>
            <w:pPr>
              <w:jc w:val="center"/>
            </w:pPr>
            <w:r>
              <w:rPr>
                <w:sz w:val="18"/>
              </w:rPr>
              <w:t>深度特征（自动学习）</w:t>
            </w:r>
          </w:p>
        </w:tc>
      </w:tr>
      <w:tr>
        <w:tc>
          <w:tcPr>
            <w:tcW w:type="dxa" w:w="1727"/>
          </w:tcPr>
          <w:p>
            <w:pPr>
              <w:jc w:val="center"/>
            </w:pPr>
            <w:r>
              <w:rPr>
                <w:sz w:val="18"/>
              </w:rPr>
              <w:t>分类器</w:t>
            </w:r>
          </w:p>
        </w:tc>
        <w:tc>
          <w:tcPr>
            <w:tcW w:type="dxa" w:w="1727"/>
          </w:tcPr>
          <w:p>
            <w:pPr>
              <w:jc w:val="center"/>
            </w:pPr>
            <w:r>
              <w:rPr>
                <w:sz w:val="18"/>
              </w:rPr>
              <w:t>逻辑回归（线性）</w:t>
            </w:r>
          </w:p>
        </w:tc>
        <w:tc>
          <w:tcPr>
            <w:tcW w:type="dxa" w:w="1727"/>
          </w:tcPr>
          <w:p>
            <w:pPr>
              <w:jc w:val="center"/>
            </w:pPr>
            <w:r>
              <w:rPr>
                <w:sz w:val="18"/>
              </w:rPr>
              <w:t>LightGBM（非线性）</w:t>
            </w:r>
          </w:p>
        </w:tc>
        <w:tc>
          <w:tcPr>
            <w:tcW w:type="dxa" w:w="1727"/>
          </w:tcPr>
          <w:p>
            <w:pPr>
              <w:jc w:val="center"/>
            </w:pPr>
            <w:r>
              <w:rPr>
                <w:sz w:val="18"/>
              </w:rPr>
              <w:t>LightGBM（非线性）</w:t>
            </w:r>
          </w:p>
        </w:tc>
        <w:tc>
          <w:tcPr>
            <w:tcW w:type="dxa" w:w="1727"/>
          </w:tcPr>
          <w:p>
            <w:pPr>
              <w:jc w:val="center"/>
            </w:pPr>
            <w:r>
              <w:rPr>
                <w:sz w:val="18"/>
              </w:rPr>
              <w:t>YOLOv8s-P2（端到端）</w:t>
            </w:r>
          </w:p>
        </w:tc>
      </w:tr>
      <w:tr>
        <w:tc>
          <w:tcPr>
            <w:tcW w:type="dxa" w:w="1727"/>
          </w:tcPr>
          <w:p>
            <w:pPr>
              <w:jc w:val="center"/>
            </w:pPr>
            <w:r>
              <w:rPr>
                <w:sz w:val="18"/>
              </w:rPr>
              <w:t>核心性能</w:t>
            </w:r>
          </w:p>
        </w:tc>
        <w:tc>
          <w:tcPr>
            <w:tcW w:type="dxa" w:w="1727"/>
          </w:tcPr>
          <w:p>
            <w:pPr>
              <w:jc w:val="center"/>
            </w:pPr>
            <w:r>
              <w:rPr>
                <w:sz w:val="18"/>
              </w:rPr>
              <w:t>F2=0.9985</w:t>
            </w:r>
          </w:p>
        </w:tc>
        <w:tc>
          <w:tcPr>
            <w:tcW w:type="dxa" w:w="1727"/>
          </w:tcPr>
          <w:p>
            <w:pPr>
              <w:jc w:val="center"/>
            </w:pPr>
            <w:r>
              <w:rPr>
                <w:sz w:val="18"/>
              </w:rPr>
              <w:t>Accuracy=89.72%</w:t>
            </w:r>
          </w:p>
        </w:tc>
        <w:tc>
          <w:tcPr>
            <w:tcW w:type="dxa" w:w="1727"/>
          </w:tcPr>
          <w:p>
            <w:pPr>
              <w:jc w:val="center"/>
            </w:pPr>
            <w:r>
              <w:rPr>
                <w:sz w:val="18"/>
              </w:rPr>
              <w:t>Prec&lt;15%, Rec&lt;15%</w:t>
            </w:r>
          </w:p>
        </w:tc>
        <w:tc>
          <w:tcPr>
            <w:tcW w:type="dxa" w:w="1727"/>
          </w:tcPr>
          <w:p>
            <w:pPr>
              <w:jc w:val="center"/>
            </w:pPr>
            <w:r>
              <w:rPr>
                <w:sz w:val="18"/>
              </w:rPr>
              <w:t>mAP@0.5=0.403</w:t>
            </w:r>
          </w:p>
        </w:tc>
      </w:tr>
      <w:tr>
        <w:tc>
          <w:tcPr>
            <w:tcW w:type="dxa" w:w="1727"/>
          </w:tcPr>
          <w:p>
            <w:pPr>
              <w:jc w:val="center"/>
            </w:pPr>
            <w:r>
              <w:rPr>
                <w:sz w:val="18"/>
              </w:rPr>
              <w:t>方法论瓶颈</w:t>
            </w:r>
          </w:p>
        </w:tc>
        <w:tc>
          <w:tcPr>
            <w:tcW w:type="dxa" w:w="1727"/>
          </w:tcPr>
          <w:p>
            <w:pPr>
              <w:jc w:val="center"/>
            </w:pPr>
            <w:r>
              <w:rPr>
                <w:sz w:val="18"/>
              </w:rPr>
              <w:t>无（完美性能）</w:t>
            </w:r>
          </w:p>
        </w:tc>
        <w:tc>
          <w:tcPr>
            <w:tcW w:type="dxa" w:w="1727"/>
          </w:tcPr>
          <w:p>
            <w:pPr>
              <w:jc w:val="center"/>
            </w:pPr>
            <w:r>
              <w:rPr>
                <w:sz w:val="18"/>
              </w:rPr>
              <w:t>Hole 类样本不足</w:t>
            </w:r>
          </w:p>
        </w:tc>
        <w:tc>
          <w:tcPr>
            <w:tcW w:type="dxa" w:w="1727"/>
          </w:tcPr>
          <w:p>
            <w:pPr>
              <w:jc w:val="center"/>
            </w:pPr>
            <w:r>
              <w:rPr>
                <w:sz w:val="18"/>
              </w:rPr>
              <w:t>分布偏移（根本性）</w:t>
            </w:r>
          </w:p>
        </w:tc>
        <w:tc>
          <w:tcPr>
            <w:tcW w:type="dxa" w:w="1727"/>
          </w:tcPr>
          <w:p>
            <w:pPr>
              <w:jc w:val="center"/>
            </w:pPr>
            <w:r>
              <w:rPr>
                <w:sz w:val="18"/>
              </w:rPr>
              <w:t>Rusty 类判别难</w:t>
            </w:r>
          </w:p>
        </w:tc>
      </w:tr>
      <w:tr>
        <w:tc>
          <w:tcPr>
            <w:tcW w:type="dxa" w:w="1727"/>
          </w:tcPr>
          <w:p>
            <w:pPr>
              <w:jc w:val="center"/>
            </w:pPr>
            <w:r>
              <w:rPr>
                <w:sz w:val="18"/>
              </w:rPr>
              <w:t>可解决性</w:t>
            </w:r>
          </w:p>
        </w:tc>
        <w:tc>
          <w:tcPr>
            <w:tcW w:type="dxa" w:w="1727"/>
          </w:tcPr>
          <w:p>
            <w:pPr>
              <w:jc w:val="center"/>
            </w:pPr>
            <w:r>
              <w:rPr>
                <w:sz w:val="18"/>
              </w:rPr>
              <w:t>已解决</w:t>
            </w:r>
          </w:p>
        </w:tc>
        <w:tc>
          <w:tcPr>
            <w:tcW w:type="dxa" w:w="1727"/>
          </w:tcPr>
          <w:p>
            <w:pPr>
              <w:jc w:val="center"/>
            </w:pPr>
            <w:r>
              <w:rPr>
                <w:sz w:val="18"/>
              </w:rPr>
              <w:t>已较好解决</w:t>
            </w:r>
          </w:p>
        </w:tc>
        <w:tc>
          <w:tcPr>
            <w:tcW w:type="dxa" w:w="1727"/>
          </w:tcPr>
          <w:p>
            <w:pPr>
              <w:jc w:val="center"/>
            </w:pPr>
            <w:r>
              <w:rPr>
                <w:sz w:val="18"/>
              </w:rPr>
              <w:t>需方法论升级</w:t>
            </w:r>
          </w:p>
        </w:tc>
        <w:tc>
          <w:tcPr>
            <w:tcW w:type="dxa" w:w="1727"/>
          </w:tcPr>
          <w:p>
            <w:pPr>
              <w:jc w:val="center"/>
            </w:pPr>
            <w:r>
              <w:rPr>
                <w:sz w:val="18"/>
              </w:rPr>
              <w:t>已解决（提交方案）</w:t>
            </w:r>
          </w:p>
        </w:tc>
      </w:tr>
    </w:tbl>
    <w:p/>
    <w:p>
      <w:pPr>
        <w:ind w:firstLine="480"/>
      </w:pPr>
      <w:r>
        <w:rPr>
          <w:rFonts w:ascii="宋体" w:hAnsi="宋体" w:eastAsia="宋体"/>
          <w:b w:val="0"/>
          <w:sz w:val="24"/>
        </w:rPr>
        <w:t>从表 5-1 可以看出，手工特征方法在「全局判别」（问题1）和「局部区域分类」（问题2 patch 分类）两个层次上均取得了有竞争力的性能。性能的退化出现在「空间定位」（问题2 检测）层次——这不是特征的判别力不足，而是滑动窗口作为定位策略本身的方法论缺陷。问题的瓶颈从「特征工程」转移到了「搜索策略」，而后者恰好是深度学习检测器通过可微分边界框回归从根本上解决的部分：YOLOv8s-P2 以 mAP@0.5=0.403 的性能完成了滑动窗口方案无法完成的定位任务，定量验证了这一方法论判断。值得注意的是，性能瓶颈并未消失而是发生了转移——从滑动窗口的「分布偏移」转移为 YOLO 的「Rusty 类判别难」，这提示下一阶段的工作重点应从定位策略转向锈蚀类别的数据与建模。</w:t>
      </w:r>
    </w:p>
    <w:p>
      <w:pPr>
        <w:pStyle w:val="Heading3"/>
      </w:pPr>
      <w:r>
        <w:rPr>
          <w:rFonts w:ascii="黑体" w:hAnsi="黑体" w:eastAsia="黑体"/>
          <w:sz w:val="24"/>
        </w:rPr>
        <w:t>5.3.2  手工特征 vs 深度学习方法论对比</w:t>
      </w:r>
    </w:p>
    <w:p>
      <w:pPr>
        <w:ind w:firstLine="480"/>
      </w:pPr>
      <w:r>
        <w:rPr>
          <w:rFonts w:ascii="宋体" w:hAnsi="宋体" w:eastAsia="宋体"/>
          <w:b w:val="0"/>
          <w:sz w:val="24"/>
        </w:rPr>
        <w:t>基于问题1和问题2的完整实验结果，对手工特征+传统分类器路线与深度学习路线进行系统性对比：</w:t>
      </w:r>
    </w:p>
    <w:p>
      <w:pPr>
        <w:ind w:firstLine="480"/>
      </w:pPr>
      <w:r>
        <w:rPr>
          <w:rFonts w:ascii="宋体" w:hAnsi="宋体" w:eastAsia="宋体"/>
          <w:b w:val="0"/>
          <w:sz w:val="24"/>
        </w:rPr>
        <w:t>可解释性：手工特征路线具有完整的数学透明性——GLCM 的 Haralick 统计量、LBP 的 uniform 模式编码、RustRatio 的物理色彩判据，每个特征维度都有明确的物理含义。逻辑回归权重和 LightGBM 分裂增益重要性可直接解读。深度学习方法（CNN/YOLO）学到的特征缺乏这种逐维度的可解释性，虽然 Grad-CAM 等可视化方法可提供热力图解释，但其可解释性粒度仍远不及手工特征。</w:t>
      </w:r>
    </w:p>
    <w:p>
      <w:pPr>
        <w:ind w:firstLine="480"/>
      </w:pPr>
      <w:r>
        <w:rPr>
          <w:rFonts w:ascii="宋体" w:hAnsi="宋体" w:eastAsia="宋体"/>
          <w:b w:val="0"/>
          <w:sz w:val="24"/>
        </w:rPr>
        <w:t>数据效率：问题1 仅需 ~9900 个 448×448 样本即达到 F2=0.9985，问题2 patch 分类仅需 10,885 个 224×224 训练样本即达到 89.72% 准确率。深度学习方法在类似任务上通常需要数万至数十万标注样本。Hole 类仅 788 个训练样本对深度学习模型构成严重的过拟合风险，而 LightGBM 通过 class_weight='balanced' 的代价敏感加权在一定程度上缓解了该问题。</w:t>
      </w:r>
    </w:p>
    <w:p>
      <w:pPr>
        <w:ind w:firstLine="480"/>
      </w:pPr>
      <w:r>
        <w:rPr>
          <w:rFonts w:ascii="宋体" w:hAnsi="宋体" w:eastAsia="宋体"/>
          <w:b w:val="0"/>
          <w:sz w:val="24"/>
        </w:rPr>
        <w:t>性能上限：在全局纹理判别（问题1）上，手工特征路线已达到近乎完美的性能，与深度学习方法的预期性能差距极小。在 patch 分类（问题2）上，89.72% 的准确率属于可竞争水平，但深度学习方法（如 ResNet-50 微调）在样本稀缺的 Hole 类上可能仍有进一步提升空间。在目标检测（问题2 定位）上，两者的差距已被本文实验定量确认：手工特征+滑动窗口的 Prec/Rec 均低于 15%，而 YOLOv8s-P2 达到 mAP@0.5=0.403——性能差距跨越一个数量级，且该差距源于方法论的机制差异（离散枚举 vs 可微回归），而非调参水平。</w:t>
      </w:r>
    </w:p>
    <w:p>
      <w:pPr>
        <w:ind w:firstLine="480"/>
      </w:pPr>
      <w:r>
        <w:rPr>
          <w:rFonts w:ascii="宋体" w:hAnsi="宋体" w:eastAsia="宋体"/>
          <w:b w:val="0"/>
          <w:sz w:val="24"/>
        </w:rPr>
        <w:t>部署成本：逻辑回归（52 参数）+ LightGBM（1000 棵树）的总模型大小约 12MB（.pkl 文件），可在 CPU 上以约 30ms/张的速度完成 patch 特征提取与分类（其中特征提取占绝大部分时间）。YOLOv8s-P2 模型约 21MB（FP32 权重），在 GPU（RTX 4060）上推理约 10ms/张，经 ONNX 导出 + INT8 量化后可压缩至 ~6MB 并在 CPU 上运行。两种路线在部署上形成互补：手工特征路线适合极低算力的边缘初筛，YOLO 路线适合需要定位精度的核心检测环节。</w:t>
      </w:r>
    </w:p>
    <w:p>
      <w:pPr>
        <w:pStyle w:val="Heading3"/>
      </w:pPr>
      <w:r>
        <w:rPr>
          <w:rFonts w:ascii="黑体" w:hAnsi="黑体" w:eastAsia="黑体"/>
          <w:sz w:val="24"/>
        </w:rPr>
        <w:t>5.3.3  适用场景建议</w:t>
      </w:r>
    </w:p>
    <w:p>
      <w:pPr>
        <w:ind w:firstLine="480"/>
      </w:pPr>
      <w:r>
        <w:rPr>
          <w:rFonts w:ascii="宋体" w:hAnsi="宋体" w:eastAsia="宋体"/>
          <w:b w:val="0"/>
          <w:sz w:val="24"/>
        </w:rPr>
        <w:t>根据上述综合分析，在不同工程约束下的技术路线选择建议如下：</w:t>
      </w:r>
    </w:p>
    <w:p>
      <w:pPr>
        <w:ind w:firstLine="480"/>
      </w:pPr>
      <w:r>
        <w:rPr>
          <w:rFonts w:ascii="宋体" w:hAnsi="宋体" w:eastAsia="宋体"/>
          <w:b w:val="0"/>
          <w:sz w:val="24"/>
        </w:rPr>
        <w:t>场景 A（仅需判断有无损伤，不需要定位）：推荐手工特征+逻辑回归路线（问题1 方案）。51 维特征 + 52 参数模型即可满足需求，部署成本极低，可解释性强。</w:t>
      </w:r>
    </w:p>
    <w:p>
      <w:pPr>
        <w:ind w:firstLine="480"/>
      </w:pPr>
      <w:r>
        <w:rPr>
          <w:rFonts w:ascii="宋体" w:hAnsi="宋体" w:eastAsia="宋体"/>
          <w:b w:val="0"/>
          <w:sz w:val="24"/>
        </w:rPr>
        <w:t>场景 B（需要定位+分类，有 GPU 和充足训练数据）：推荐 YOLOv8 系列检测器，本文的 YOLOv8s-P2+Wise-IoU+SlideLoss 方案（mAP@0.5=0.403）即为该路线下的成熟配置。端到端的可微分边界框回归从根本上避免了滑动窗口的离散枚举缺陷。72 维增强特征体系可作为辅助验证模块——对 YOLO 检测框内的 patch 做 LightGBM 二次分类，提供可解释的类别确认。</w:t>
      </w:r>
    </w:p>
    <w:p>
      <w:pPr>
        <w:ind w:firstLine="480"/>
      </w:pPr>
      <w:r>
        <w:rPr>
          <w:rFonts w:ascii="宋体" w:hAnsi="宋体" w:eastAsia="宋体"/>
          <w:b w:val="0"/>
          <w:sz w:val="24"/>
        </w:rPr>
        <w:t>场景 C（需要定位+分类，仅 CPU 或边缘设备）：可考虑混合方案——先用问题1 分类器判断图像是否有损伤，若有损伤则使用轻量深度学习检测器（如 YOLOv8n 经 ONNX 导出 + INT8 量化后在 CPU 上推理）进行定位。72 维增强特征 + LightGBM 可作为检测后处理的置信度过滤器。</w:t>
      </w:r>
    </w:p>
    <w:p>
      <w:pPr>
        <w:pStyle w:val="Heading2"/>
      </w:pPr>
      <w:r>
        <w:rPr>
          <w:rFonts w:ascii="黑体" w:hAnsi="黑体" w:eastAsia="黑体"/>
          <w:sz w:val="26"/>
        </w:rPr>
        <w:t>5.4  方法局限性</w:t>
      </w:r>
    </w:p>
    <w:p>
      <w:pPr>
        <w:ind w:firstLine="480"/>
      </w:pPr>
      <w:r>
        <w:rPr>
          <w:rFonts w:ascii="宋体" w:hAnsi="宋体" w:eastAsia="宋体"/>
          <w:b w:val="0"/>
          <w:sz w:val="24"/>
        </w:rPr>
        <w:t>（1）负样本来源偏差：负样本从训练图非 bbox 区域采样，而非真实无残损集装箱图像，导致 NP 框架的分布假设不成立（第 3.5.3 节已严格证明）。该问题已通过引入贝叶斯最小风险决策框架（第 3.5.5 节）得到方法论层面的解决——贝叶斯框架不依赖 H₀ 的分布假设，但代价比 λ 的标定仍依赖于对 C_FP 和 C_FN 的主观估计，在实际部署中需要通过港口运营数据进一步校准。</w:t>
      </w:r>
    </w:p>
    <w:p>
      <w:pPr>
        <w:ind w:firstLine="480"/>
      </w:pPr>
      <w:r>
        <w:rPr>
          <w:rFonts w:ascii="宋体" w:hAnsi="宋体" w:eastAsia="宋体"/>
          <w:b w:val="0"/>
          <w:sz w:val="24"/>
        </w:rPr>
        <w:t>（2）环境干扰：手工特征在雨雪、油污、涂鸦、焊缝等干扰下的鲁棒性未经测试。</w:t>
      </w:r>
    </w:p>
    <w:p>
      <w:pPr>
        <w:ind w:firstLine="480"/>
      </w:pPr>
      <w:r>
        <w:rPr>
          <w:rFonts w:ascii="宋体" w:hAnsi="宋体" w:eastAsia="宋体"/>
          <w:b w:val="0"/>
          <w:sz w:val="24"/>
        </w:rPr>
        <w:t>（3）样本不均衡：Hole 类仅 788 个训练样本，模型对该类的泛化能力可能不足。</w:t>
      </w:r>
    </w:p>
    <w:p>
      <w:pPr>
        <w:ind w:firstLine="480"/>
      </w:pPr>
      <w:r>
        <w:rPr>
          <w:rFonts w:ascii="宋体" w:hAnsi="宋体" w:eastAsia="宋体"/>
          <w:b w:val="0"/>
          <w:sz w:val="24"/>
        </w:rPr>
        <w:t>（4）语义歧义：不是所有表面异常都是残损——贴纸、铆钉、集装箱编号、焊缝等也可能被误判。模型缺乏语义理解能力。</w:t>
      </w:r>
    </w:p>
    <w:p>
      <w:pPr>
        <w:ind w:firstLine="480"/>
      </w:pPr>
      <w:r>
        <w:rPr>
          <w:rFonts w:ascii="宋体" w:hAnsi="宋体" w:eastAsia="宋体"/>
          <w:b w:val="0"/>
          <w:sz w:val="24"/>
        </w:rPr>
        <w:t>（5）Rusty 类检测性能仍是短板：改进后 AP@0.5=0.252 虽较基线提升 14%（相对），但绝对水平仍显著低于 Dent（0.461）与 Hole（0.494）。其根源在于锈蚀标注的固有主观模糊性——不同标注者对锈蚀边界的判断存在系统性差异，DFL 分布建模只能缓解而非消除该标注噪声。</w:t>
      </w:r>
    </w:p>
    <w:p>
      <w:pPr>
        <w:ind w:firstLine="480"/>
      </w:pPr>
      <w:r>
        <w:rPr>
          <w:rFonts w:ascii="宋体" w:hAnsi="宋体" w:eastAsia="宋体"/>
          <w:b w:val="0"/>
          <w:sz w:val="24"/>
        </w:rPr>
        <w:t>（6）YOLO 方案仅输出边界框级检测，未实现实例级分割；严重程度排序中的类别权重（w_Hole=1.5 &gt; w_Dent=1.0 &gt; w_Rusty=0.8）基于工程经验设定，缺乏从港口运营损失数据出发的严格标定，其取值影响 Top-4 截断时的框保留优先级。</w:t>
      </w:r>
    </w:p>
    <w:p>
      <w:r>
        <w:br w:type="page"/>
      </w:r>
    </w:p>
    <w:p>
      <w:pPr>
        <w:pStyle w:val="Heading1"/>
      </w:pPr>
      <w:r>
        <w:rPr>
          <w:rFonts w:ascii="黑体" w:hAnsi="黑体" w:eastAsia="黑体"/>
          <w:sz w:val="28"/>
        </w:rPr>
        <w:t>6  结论与展望</w:t>
      </w:r>
    </w:p>
    <w:p>
      <w:pPr>
        <w:pStyle w:val="Heading2"/>
      </w:pPr>
      <w:r>
        <w:rPr>
          <w:rFonts w:ascii="黑体" w:hAnsi="黑体" w:eastAsia="黑体"/>
          <w:sz w:val="26"/>
        </w:rPr>
        <w:t>6.1  工作总结</w:t>
      </w:r>
    </w:p>
    <w:p>
      <w:pPr>
        <w:ind w:firstLine="480"/>
      </w:pPr>
      <w:r>
        <w:rPr>
          <w:rFonts w:ascii="宋体" w:hAnsi="宋体" w:eastAsia="宋体"/>
          <w:b w:val="0"/>
          <w:sz w:val="24"/>
        </w:rPr>
        <w:t>本文针对选题D「集装箱破损检测」的三个子问题，遵循「探索—验证—改进」的递进式建模路线：以手工设计图像特征与经典机器学习方法完成图像级分类与 patch 分类，以端到端深度学习检测模型完成残损定位，完成了从特征工程到分类器设计、从阈值决策理论到检测方法论的完整数学建模流程。主要工作成果如下：</w:t>
      </w:r>
    </w:p>
    <w:p>
      <w:pPr>
        <w:ind w:firstLine="480"/>
      </w:pPr>
      <w:r>
        <w:rPr>
          <w:rFonts w:ascii="宋体" w:hAnsi="宋体" w:eastAsia="宋体"/>
          <w:b w:val="0"/>
          <w:sz w:val="24"/>
        </w:rPr>
        <w:t>（1）问题1（图像级二分类——判断集装箱图像是否存在残损）：设计了 51 维全局图像特征体系（GLCM+HSV+Sobel+HOG_PCA+LBP），使用 L2 正则化逻辑回归实现二分类。特征重要性分析表明 LBP 局部纹理特征是判别力最强的单一模块（|w| Top-8 均为 LBP 维度）。通过系统比较 Neyman-Pearson 假设检验与贝叶斯最小风险决策两种阈值选择框架，以 KS 检验严格证明了 NP 框架在当前数据上的统计前提不成立（p≈10^{-9}），进而引入贝叶斯框架实现代价可控的对称错误控制。最终在验证集上达到 F2=0.9985、Precision=0.9985、Recall=0.9985、AUC=1.0000，仅 1 例误报和 1 例漏检，实现了接近完美的图像级残损判定性能。</w:t>
      </w:r>
    </w:p>
    <w:p>
      <w:pPr>
        <w:ind w:firstLine="480"/>
      </w:pPr>
      <w:r>
        <w:rPr>
          <w:rFonts w:ascii="宋体" w:hAnsi="宋体" w:eastAsia="宋体"/>
          <w:b w:val="0"/>
          <w:sz w:val="24"/>
        </w:rPr>
        <w:t>（2）问题2（残损检测与分类）：将问题分解为 patch 分类和检测定位两个阶段。在 patch 分类阶段，基于问题1 的 51 维特征体系增强至 72 维（+RGB+LAB+RustRatio+R_hist），采用 LightGBM 梯度提升集成学习器（n=1000, num_leaves=63, lr=0.1, class_weight='balanced'）实现 4 分类（Dent/Hole/Rusty/Background），在验证集上达到 89.72% 的 Overall Accuracy 和 0.855 的 Macro F1。Background 类 F1=0.956、BG→Damage 仅 21 例（1.9%），验证了硬负样本混合策略对误报抑制的有效性。在检测定位阶段，先采用 5 尺度滑动窗口 + LightGBM 分类 + NMS 的完整管线，系统分析并证明了其根本性局限——训练 patch（bbox 中心裁剪）与推理 patch（规则网格采样）之间的系统性分布偏移，导致 Prec/Rec 均低于 15%；随后转向端到端深度学习方案，构建 YOLOv8s-P2 + Wise-IoU + SlideLoss 检测模型：以 Anchor-Free 公式化与 TAL 任务对齐标签分配为理论基础，针对本任务「大框中心定位难、正样本难度不均、小目标检测粒度不足」三大特性，分别引入 Wise-IoU 距离注意力损失、SlideLoss 软性难例加权与 P2 高分辨率检测层三项改进，在验证集上达到 mAP@0.5=0.403、mAP@0.5:0.95=0.199、Precision=0.559、Recall=0.427，其中 Wise-IoU 使最难的 Rusty 类 AP@0.5 提升 3.1 个百分点（相对提升 14%），并生成符合题目格式的提交文件 test_result.csv（413 图 775 框）。</w:t>
      </w:r>
    </w:p>
    <w:p>
      <w:pPr>
        <w:ind w:firstLine="480"/>
      </w:pPr>
      <w:r>
        <w:rPr>
          <w:rFonts w:ascii="宋体" w:hAnsi="宋体" w:eastAsia="宋体"/>
          <w:b w:val="0"/>
          <w:sz w:val="24"/>
        </w:rPr>
        <w:t>（3）问题3（模型评估）：从分类性能、特征有效性、阈值选择框架、特征消融、计算效率、方法对比、适用场景等多个维度，对问题1和问题2的模型进行了系统评估。核心发现是：手工特征方法在全局判别（问题1 F2=0.9985）和局部区域分类（问题2 patch 分类 89.72%）两个层次均取得了有竞争力的性能，性能退化仅出现在空间定位层次——该瓶颈源于滑动窗口策略本身而非特征判别力不足；端到端 YOLO 方案以 mAP@0.5=0.403 完成定位任务，定量验证了「可微分边界框回归从机制上规避分布偏移」的方法论判断，并将性能瓶颈转移至 Rusty 类的判别上限。</w:t>
      </w:r>
    </w:p>
    <w:p>
      <w:pPr>
        <w:pStyle w:val="Heading2"/>
      </w:pPr>
      <w:r>
        <w:rPr>
          <w:rFonts w:ascii="黑体" w:hAnsi="黑体" w:eastAsia="黑体"/>
          <w:sz w:val="26"/>
        </w:rPr>
        <w:t>6.2  创新点</w:t>
      </w:r>
    </w:p>
    <w:p>
      <w:pPr>
        <w:ind w:firstLine="480"/>
      </w:pPr>
      <w:r>
        <w:rPr>
          <w:rFonts w:ascii="宋体" w:hAnsi="宋体" w:eastAsia="宋体"/>
          <w:b w:val="0"/>
          <w:sz w:val="24"/>
        </w:rPr>
        <w:t>（1）构建了 51 维多模态手工特征体系（GLCM+HSV+Sobel+HOG_PCA+LBP），将纹理分析、颜色统计、边缘检测、梯度方向直方图和局部二值模式五大类经典特征有机融合。在只使用逻辑回归（52 个参数）的极简分类器配置下，实现了 F2=0.9985 的近乎完美性能，证明了经典特征+线性模型的组合在特定视觉任务上仍有强大的竞争力。</w:t>
      </w:r>
    </w:p>
    <w:p>
      <w:pPr>
        <w:ind w:firstLine="480"/>
      </w:pPr>
      <w:r>
        <w:rPr>
          <w:rFonts w:ascii="宋体" w:hAnsi="宋体" w:eastAsia="宋体"/>
          <w:b w:val="0"/>
          <w:sz w:val="24"/>
        </w:rPr>
        <w:t>（2）系统比较了 Neyman-Pearson 假设检验与贝叶斯最小风险决策两种阈值选择框架，以严格的 KS 拟合优度检验证明了 NP 框架在当前数据上的统计前提不成立，进而引入贝叶斯框架推导出闭合形式的最优阈值 τ=λ/(1+λ)，实现了方法论层面的正确选择。该分析过程可作为数学建模竞赛中假设检验框架选择的范例。</w:t>
      </w:r>
    </w:p>
    <w:p>
      <w:pPr>
        <w:ind w:firstLine="480"/>
      </w:pPr>
      <w:r>
        <w:rPr>
          <w:rFonts w:ascii="宋体" w:hAnsi="宋体" w:eastAsia="宋体"/>
          <w:b w:val="0"/>
          <w:sz w:val="24"/>
        </w:rPr>
        <w:t>（3）将问题1 的特征体系增强至 72 维并引入 LightGBM 梯度提升集成学习器，在 4 分类任务上达到 89.72% 准确率。新增的 RustRatio（锈蚀色彩占比）和 LAB a* 统计是典型的领域知识驱动特征——将「铁锈呈红褐色」的物理知识编码为可计算的数值量，展示了特征工程中领域知识与机器学习方法的有机结合。</w:t>
      </w:r>
    </w:p>
    <w:p>
      <w:pPr>
        <w:ind w:firstLine="480"/>
      </w:pPr>
      <w:r>
        <w:rPr>
          <w:rFonts w:ascii="宋体" w:hAnsi="宋体" w:eastAsia="宋体"/>
          <w:b w:val="0"/>
          <w:sz w:val="24"/>
        </w:rPr>
        <w:t>（4）深入分析了滑动窗口检测方法在非结构化目标检测任务上的方法论局限——系统记录了训练-推理分布偏移、窗口-目标尺度不匹配、标注语义歧义等根本性问题，并提供了完整的改进尝试记录（5 种方法及其效果），为后续研究提供了诚实且有价值的反面经验参考。</w:t>
      </w:r>
    </w:p>
    <w:p>
      <w:pPr>
        <w:ind w:firstLine="480"/>
      </w:pPr>
      <w:r>
        <w:rPr>
          <w:rFonts w:ascii="宋体" w:hAnsi="宋体" w:eastAsia="宋体"/>
          <w:b w:val="0"/>
          <w:sz w:val="24"/>
        </w:rPr>
        <w:t>（5）针对集装箱破损检测的任务特性，对 YOLOv8 提出三项数学机理驱动的改进：Wise-IoU 距离注意力损失（以真实框尺度归一化的中心距指数因子 R_WIoU = exp(ρ²/c²) ∈ [1,e)，实现「大目标容忍中心偏差、小目标严格中心对准」的尺度自适应回归）、SlideLoss 软性难例加权（以批次前景对齐分数均值 μ 为基准的 tanh 平滑权重函数，实现无额外开销的在线难例挖掘）、P2 高分辨率检测层（stride=4，将最小可检测目标从 8×8 扩展至 4×4 像素）。三项改进使 mAP@0.5:0.95 较同规模基线提升 3.7%，其中 Rusty 类 AP@0.5 提升 3.1 个百分点（相对 +14%），验证了「针对任务特性的损失与结构设计」优于「盲目增大模型容量」（n→s 仅 +1.2% mAP@0.5）。</w:t>
      </w:r>
    </w:p>
    <w:p>
      <w:pPr>
        <w:pStyle w:val="Heading2"/>
      </w:pPr>
      <w:r>
        <w:rPr>
          <w:rFonts w:ascii="黑体" w:hAnsi="黑体" w:eastAsia="黑体"/>
          <w:sz w:val="26"/>
        </w:rPr>
        <w:t>6.3  展望</w:t>
      </w:r>
    </w:p>
    <w:p>
      <w:pPr>
        <w:ind w:firstLine="480"/>
      </w:pPr>
      <w:r>
        <w:rPr>
          <w:rFonts w:ascii="宋体" w:hAnsi="宋体" w:eastAsia="宋体"/>
          <w:b w:val="0"/>
          <w:sz w:val="24"/>
        </w:rPr>
        <w:t>（1）Rusty 类检测能力提升：当前 Rusty 类 AP@0.5=0.252 是检测性能的主要短板，其根源在于锈蚀标注的固有主观模糊性。未来可从三个方向突破：① 标注侧——引入多标注者投票与 IoU 一致性过滤，降低标注噪声；② 数据侧——对锈蚀样本做 Copy-Paste 增广与合成锈蚀纹理注入，缓解类内方差大导致的欠拟合；③ 模型侧——在检测头引入回归不确定性估计（如 Gaussian YOLO），使损失函数显式建模 Rusty 类边界模糊性。</w:t>
      </w:r>
    </w:p>
    <w:p>
      <w:pPr>
        <w:ind w:firstLine="480"/>
      </w:pPr>
      <w:r>
        <w:rPr>
          <w:rFonts w:ascii="宋体" w:hAnsi="宋体" w:eastAsia="宋体"/>
          <w:b w:val="0"/>
          <w:sz w:val="24"/>
        </w:rPr>
        <w:t>（2）实例级分割与损伤量化：当前方案输出边界框级检测，无法精确刻画不规则锈蚀/凹陷的像素级范围。未来可将检测头升级为实例分割头（如 YOLOv8-seg 或 Mask R-CNN），输出损伤区域的像素级掩膜，进而计算损伤面积占比、长宽比、圆度等几何量，为港口维修决策提供更精细的量化依据。</w:t>
      </w:r>
    </w:p>
    <w:p>
      <w:pPr>
        <w:ind w:firstLine="480"/>
      </w:pPr>
      <w:r>
        <w:rPr>
          <w:rFonts w:ascii="宋体" w:hAnsi="宋体" w:eastAsia="宋体"/>
          <w:b w:val="0"/>
          <w:sz w:val="24"/>
        </w:rPr>
        <w:t>（3）严重程度权重的数据驱动标定：当前 Top-4 排序的类别权重（w_Hole=1.5 &gt; w_Dent=1.0 &gt; w_Rusty=0.8）基于工程经验。未来可结合港口维修记录（维修成本、停运时长）建立损伤严重程度的效用模型，通过贝叶斯推断标定各损伤类型对运营损失的影响系数，使检测输出的排序直接对齐运营优先级。</w:t>
      </w:r>
    </w:p>
    <w:p>
      <w:pPr>
        <w:ind w:firstLine="480"/>
      </w:pPr>
      <w:r>
        <w:rPr>
          <w:rFonts w:ascii="宋体" w:hAnsi="宋体" w:eastAsia="宋体"/>
          <w:b w:val="0"/>
          <w:sz w:val="24"/>
        </w:rPr>
        <w:t>（4）Hole 类数据扩充：Hole 类仅 788 个训练样本且类内方差大，是 patch 分类的性能瓶颈（F1=0.724）。可考虑使用 CutMix、Copy-Paste 等数据增强策略，或使用生成式模型（如 Stable Diffusion Inpainting）合成更多样的 Hole 训练样本。</w:t>
      </w:r>
    </w:p>
    <w:p>
      <w:pPr>
        <w:ind w:firstLine="480"/>
      </w:pPr>
      <w:r>
        <w:rPr>
          <w:rFonts w:ascii="宋体" w:hAnsi="宋体" w:eastAsia="宋体"/>
          <w:b w:val="0"/>
          <w:sz w:val="24"/>
        </w:rPr>
        <w:t>（5）软标签与标注不确定性建模：Dent↔Rusty 混淆（120 例）反映了真实世界中两类损伤的共存与语义重叠。未来可探索软标签训练（label smoothing）或标签分布学习（Label Distribution Learning），将「Dent 还是 Rusty」从硬分类转为程度估计。</w:t>
      </w:r>
    </w:p>
    <w:p>
      <w:pPr>
        <w:ind w:firstLine="480"/>
      </w:pPr>
      <w:r>
        <w:rPr>
          <w:rFonts w:ascii="宋体" w:hAnsi="宋体" w:eastAsia="宋体"/>
          <w:b w:val="0"/>
          <w:sz w:val="24"/>
        </w:rPr>
        <w:t>（6）工程部署：51 维特征 + 逻辑回归模型仅 52 个参数（&lt;1KB），适合导出为 ONNX 格式在 Jetson Nano / K230 等边缘设备上运行；YOLOv8s-P2 经 ONNX 导出 + INT8 量化后可压缩至 ~6MB，在 CPU 或边缘 NPU 上实现检测推理，两者可组成「快速初筛 + 精确复检」的边缘部署流水线。</w:t>
      </w:r>
    </w:p>
    <w:p>
      <w:r>
        <w:br w:type="page"/>
      </w:r>
    </w:p>
    <w:p>
      <w:pPr>
        <w:pStyle w:val="Heading1"/>
      </w:pPr>
      <w:r>
        <w:rPr>
          <w:rFonts w:ascii="黑体" w:hAnsi="黑体" w:eastAsia="黑体"/>
          <w:sz w:val="28"/>
        </w:rPr>
        <w:t>参考文献</w:t>
      </w:r>
    </w:p>
    <w:p>
      <w:r>
        <w:rPr>
          <w:rFonts w:ascii="宋体" w:hAnsi="宋体" w:eastAsia="宋体"/>
          <w:b w:val="0"/>
          <w:sz w:val="24"/>
        </w:rPr>
        <w:t>[1] Haralick R M, Shanmugam K, Dinstein I. Textural features for image classification[J]. IEEE SMC, 1973, 6(3): 610-621.</w:t>
      </w:r>
    </w:p>
    <w:p>
      <w:r>
        <w:rPr>
          <w:rFonts w:ascii="宋体" w:hAnsi="宋体" w:eastAsia="宋体"/>
          <w:b w:val="0"/>
          <w:sz w:val="24"/>
        </w:rPr>
        <w:t>[2] Dalal N, Triggs B. Histograms of oriented gradients for human detection[C]. IEEE CVPR, 2005: 886-893.</w:t>
      </w:r>
    </w:p>
    <w:p>
      <w:r>
        <w:rPr>
          <w:rFonts w:ascii="宋体" w:hAnsi="宋体" w:eastAsia="宋体"/>
          <w:b w:val="0"/>
          <w:sz w:val="24"/>
        </w:rPr>
        <w:t>[3] Ojala T, Pietikäinen M, Mäenpää T. Multiresolution gray-scale and rotation invariant texture classification with local binary patterns[J]. IEEE TPAMI, 2002, 24(7): 971-987.</w:t>
      </w:r>
    </w:p>
    <w:p>
      <w:r>
        <w:rPr>
          <w:rFonts w:ascii="宋体" w:hAnsi="宋体" w:eastAsia="宋体"/>
          <w:b w:val="0"/>
          <w:sz w:val="24"/>
        </w:rPr>
        <w:t>[4] Breiman L. Random forests[J]. Machine Learning, 2001, 45(1): 5-32.</w:t>
      </w:r>
    </w:p>
    <w:p>
      <w:r>
        <w:rPr>
          <w:rFonts w:ascii="宋体" w:hAnsi="宋体" w:eastAsia="宋体"/>
          <w:b w:val="0"/>
          <w:sz w:val="24"/>
        </w:rPr>
        <w:t>[5] Jolliffe I T. Principal Component Analysis, 2nd Ed[M]. Springer, 2002.</w:t>
      </w:r>
    </w:p>
    <w:p>
      <w:r>
        <w:rPr>
          <w:rFonts w:ascii="宋体" w:hAnsi="宋体" w:eastAsia="宋体"/>
          <w:b w:val="0"/>
          <w:sz w:val="24"/>
        </w:rPr>
        <w:t>[6] Bishop C M. Pattern Recognition and Machine Learning[M]. Springer, 2006.</w:t>
      </w:r>
    </w:p>
    <w:p>
      <w:r>
        <w:rPr>
          <w:rFonts w:ascii="宋体" w:hAnsi="宋体" w:eastAsia="宋体"/>
          <w:b w:val="0"/>
          <w:sz w:val="24"/>
        </w:rPr>
        <w:t>[7] Neyman J, Pearson E S. On the problem of the most efficient tests of statistical hypotheses[J]. Phil. Trans. R. Soc. A, 1933, 231: 289-337.</w:t>
      </w:r>
    </w:p>
    <w:p>
      <w:r>
        <w:rPr>
          <w:rFonts w:ascii="宋体" w:hAnsi="宋体" w:eastAsia="宋体"/>
          <w:b w:val="0"/>
          <w:sz w:val="24"/>
        </w:rPr>
        <w:t>[8] Jocher G, et al. Ultralytics YOLOv8[CP/OL]. https://github.com/ultralytics/ultralytics, 2023.</w:t>
      </w:r>
    </w:p>
    <w:p>
      <w:r>
        <w:rPr>
          <w:rFonts w:ascii="宋体" w:hAnsi="宋体" w:eastAsia="宋体"/>
          <w:b w:val="0"/>
          <w:sz w:val="24"/>
        </w:rPr>
        <w:t>[9] Ren S, He K, Girshick R, et al. Faster R-CNN[J]. IEEE TPAMI, 2017, 39(6): 1137-1149.</w:t>
      </w:r>
    </w:p>
    <w:p>
      <w:r>
        <w:rPr>
          <w:rFonts w:ascii="宋体" w:hAnsi="宋体" w:eastAsia="宋体"/>
          <w:b w:val="0"/>
          <w:sz w:val="24"/>
        </w:rPr>
        <w:t>[10] Lin T Y, Goyal P, Girshick R, et al. Focal loss for dense object detection[C]. IEEE ICCV, 2017: 2980-2988.</w:t>
      </w:r>
    </w:p>
    <w:p>
      <w:r>
        <w:rPr>
          <w:rFonts w:ascii="宋体" w:hAnsi="宋体" w:eastAsia="宋体"/>
          <w:b w:val="0"/>
          <w:sz w:val="24"/>
        </w:rPr>
        <w:t>[11] Zheng Z, Wang P, Liu W, et al. Distance-IoU loss[C]. AAAI, 2020: 12993-13000.</w:t>
      </w:r>
    </w:p>
    <w:p>
      <w:r>
        <w:rPr>
          <w:rFonts w:ascii="宋体" w:hAnsi="宋体" w:eastAsia="宋体"/>
          <w:b w:val="0"/>
          <w:sz w:val="24"/>
        </w:rPr>
        <w:t>[12] Tong Z, Chen Y, Xu Z, et al. Wise-IoU: Bounding box regression loss with dynamic focusing mechanism[EB/OL]. arXiv:2301.10051, 2023.</w:t>
      </w:r>
    </w:p>
    <w:p>
      <w:r>
        <w:rPr>
          <w:rFonts w:ascii="宋体" w:hAnsi="宋体" w:eastAsia="宋体"/>
          <w:b w:val="0"/>
          <w:sz w:val="24"/>
        </w:rPr>
        <w:t>[13] Yu Z, Huang H, Chen W, et al. YOLO-FaceV2: A scale and occlusion aware face detector[EB/OL]. arXiv:2208.02019, 2022.</w:t>
      </w:r>
    </w:p>
    <w:p>
      <w:r>
        <w:rPr>
          <w:rFonts w:ascii="宋体" w:hAnsi="宋体" w:eastAsia="宋体"/>
          <w:b w:val="0"/>
          <w:sz w:val="24"/>
        </w:rPr>
        <w:t>[14] Li X, Wang W, Wu L, et al. Generalized focal loss: Learning qualified and distributed bounding boxes for dense object detection[C]. NeurIPS, 2020.</w:t>
      </w:r>
    </w:p>
    <w:p>
      <w:r>
        <w:rPr>
          <w:rFonts w:ascii="宋体" w:hAnsi="宋体" w:eastAsia="宋体"/>
          <w:b w:val="0"/>
          <w:sz w:val="24"/>
        </w:rPr>
        <w:t>[15] Feng C, Zhong Y, Gao Y, et al. TOOD: Task-aligned one-stage object detection[C]. IEEE ICCV, 2021: 3490-3499.</w:t>
      </w:r>
    </w:p>
    <w:p>
      <w:r>
        <w:rPr>
          <w:rFonts w:ascii="宋体" w:hAnsi="宋体" w:eastAsia="宋体"/>
          <w:b w:val="0"/>
          <w:sz w:val="24"/>
        </w:rPr>
        <w:t>[16] Ke G, Meng Q, Finley T, et al. LightGBM: A highly efficient gradient boosting decision tree[C]. NeurIPS, 2017: 3146-3154.</w:t>
      </w:r>
    </w:p>
    <w:p>
      <w:r>
        <w:rPr>
          <w:rFonts w:ascii="宋体" w:hAnsi="宋体" w:eastAsia="宋体"/>
          <w:b w:val="0"/>
          <w:sz w:val="24"/>
        </w:rPr>
        <w:t>[17] Friedman J H. Greedy function approximation: a gradient boosting machine[J]. Annals of Statistics, 2001, 29(5): 1189-1232.</w:t>
      </w:r>
    </w:p>
    <w:p>
      <w:r>
        <w:br w:type="page"/>
      </w:r>
    </w:p>
    <w:p>
      <w:pPr>
        <w:pStyle w:val="Heading1"/>
      </w:pPr>
      <w:r>
        <w:rPr>
          <w:rFonts w:ascii="黑体" w:hAnsi="黑体" w:eastAsia="黑体"/>
          <w:sz w:val="28"/>
        </w:rPr>
        <w:t>附录</w:t>
      </w:r>
    </w:p>
    <w:p>
      <w:pPr>
        <w:ind w:firstLine="480"/>
      </w:pPr>
      <w:r>
        <w:rPr>
          <w:rFonts w:ascii="宋体" w:hAnsi="宋体" w:eastAsia="宋体"/>
          <w:b/>
          <w:sz w:val="24"/>
        </w:rPr>
        <w:t>【待填写】</w:t>
      </w:r>
    </w:p>
    <w:p>
      <w:pPr>
        <w:pStyle w:val="Heading2"/>
      </w:pPr>
      <w:r>
        <w:rPr>
          <w:rFonts w:ascii="黑体" w:hAnsi="黑体" w:eastAsia="黑体"/>
          <w:sz w:val="26"/>
        </w:rPr>
        <w:t>附录A  核心代码</w:t>
      </w:r>
    </w:p>
    <w:p>
      <w:pPr>
        <w:ind w:firstLine="480"/>
      </w:pPr>
      <w:r>
        <w:rPr>
          <w:rFonts w:ascii="宋体" w:hAnsi="宋体" w:eastAsia="宋体"/>
          <w:b w:val="0"/>
          <w:sz w:val="24"/>
        </w:rPr>
        <w:t>GLCM 特征提取、逻辑回归梯度下降、NMS 算法、滑动窗口生成、Beta 分布 MLE 拟合等。</w:t>
      </w:r>
    </w:p>
    <w:p>
      <w:pPr>
        <w:pStyle w:val="Heading2"/>
      </w:pPr>
      <w:r>
        <w:rPr>
          <w:rFonts w:ascii="黑体" w:hAnsi="黑体" w:eastAsia="黑体"/>
          <w:sz w:val="26"/>
        </w:rPr>
        <w:t>附录B  补充图表</w:t>
      </w:r>
    </w:p>
    <w:p>
      <w:pPr>
        <w:ind w:firstLine="480"/>
      </w:pPr>
      <w:r>
        <w:rPr>
          <w:rFonts w:ascii="宋体" w:hAnsi="宋体" w:eastAsia="宋体"/>
          <w:b w:val="0"/>
          <w:sz w:val="24"/>
        </w:rPr>
        <w:t>补充的统计数据图、更多样本可视化、特征分布对比图等。</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