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F(x)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Random effects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Tmin (C)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Topt (C)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Tmax (C)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Biting rate (a)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2.1e-04 (9.5e-05–3.2e-04)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 (5.7–15.2)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31.1 (26.2–35.6)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36.9 (30.8–42.8)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moderate-case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Vector competence (bc)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3.1e-03 (1.8e-03–5.5e-03)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(-3.3–6.5)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 (15.7–20.1)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34.1 (31.1–38.6)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worst-case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Mosquito adult lifespan (lf)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 (0.2–0.9)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 (2.4–15.3)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20.2 (15.7–25.6)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32.0 (25.9–39.5)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best-case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Pathogen development rate (PDR)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9.1e-05 (5.3e-05–1.7e-04)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11.4 (8.5–15.0)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(23.3–40.4)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34.6 (27.1–48.8)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best-case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Eggs per female per gonotrophic cycle (EFGC)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 (0.1–0.5)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 (1.1–15.1)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24.6 (19.2–28.1)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39.6 (32.3–44.6)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moderate-case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Egg viability (EV)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1.7e-03 (1.2e-03–3.0e-03)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 (0.05–5.1)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24.9 (16.6–28.6)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48.9 (41.4–56.5)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best-case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Larval-to-adult survival (pLA)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3.5e-03 (1.7e-03–6.8e-03)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 (6.4–12.7)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23.4 (20.8–28.0)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37.2 (32.5–46.6)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best-case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Mosquito development rate (MDR)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3.8e-04 (2.5e-04–6.1e-04)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 (5.0–9.7)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23.6 (21.6–25.9)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39.7 (34.9–44.6)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best-case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2026-06-25T17:14:37Z</dcterms:modified>
  <cp:category/>
</cp:coreProperties>
</file>