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F(x)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Random 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Tmin (C)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Topt (C)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Tmax (C)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Biting rate (a)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2.1e-04 (9.5e-05–3.2e-04)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12.8 (5.7–15.2)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 (26.2–35.6)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 (30.8–42.8)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moderate-case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Vector competence (bc)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3.1e-03 (1.8e-03–5.5e-03)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(0.6–10.4)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 (19.6–23.9)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 (35.0–42.5)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worst-case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Mosquito adult lifespan (lf)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(0.2–0.9)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 (2.4–15.3)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 (15.7–25.6)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 (25.9–39.5)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best-case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Pathogen development rate (PDR)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9.1e-05 (5.3e-05–1.7e-04)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 (8.5–15.0)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 (23.3–40.4)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 (27.1–48.8)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best-case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Eggs per female per gonotrophic cycle (EFGC)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(0.1–0.5)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 (1.1–15.1)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 (19.2–28.1)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 (32.3–44.6)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moderate-case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Egg viability (EV)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1.7e-03 (1.2e-03–3.0e-03)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 (0.05–5.1)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 (16.6–28.6)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 (41.4–56.5)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best-case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Larval-to-adult survival (pLA)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3.5e-03 (1.7e-03–6.8e-03)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 (6.4–12.7)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 (20.8–28.0)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 (32.5–46.6)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best-case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Mosquito development rate (MDR)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3.8e-04 (2.5e-04–6.1e-04)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 (5.0–9.7)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 (21.6–25.9)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 (34.9–44.6)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best-case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2026-07-05T17:52:52Z</dcterms:modified>
  <cp:category/>
</cp:coreProperties>
</file>