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S4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Briere_Uniform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Briere_Informed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Quadratic_Uniform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Quadratic_Informed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Biting rate (a)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Vector competence (bc)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 lifespan (lf)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380.5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Pathogen development rate (PDR)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-33.3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Eggs per female per gonotrophic cycle (EFGC)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Egg viability (EV)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Larval-to-adult survival (pLA)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Mosquito development rate (MDR)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-249.0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-246.0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2026-07-13T18:58:51Z</dcterms:modified>
  <cp:category/>
</cp:coreProperties>
</file>