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00"/><w:jc w:val="center"/></w:pPr><w:r><w:rPr><w:b/><w:bCs/><w:color w:val="1F3864"/><w:sz w:val="36"/><w:szCs w:val="36"/></w:rPr><w:t xml:space="preserve">AGERO GROUP PTY LTD</w:t></w:r></w:p><w:p><w:pPr><w:spacing w:after="100"/><w:jc w:val="center"/></w:pPr><w:r><w:rPr><w:b/><w:bCs/><w:color w:val="1F3864"/><w:sz w:val="44"/><w:szCs w:val="44"/></w:rPr><w:t xml:space="preserve">Agero Safety — Sprint S1</w:t></w:r></w:p><w:p><w:pPr><w:spacing w:after="50"/><w:jc w:val="center"/></w:pPr><w:r><w:rPr><w:color w:val="2E75B6"/><w:sz w:val="32"/><w:szCs w:val="32"/></w:rPr><w:t xml:space="preserve">Project Safety Readiness Framework</w:t></w:r></w:p><w:p><w:pPr><w:spacing w:after="400"/><w:jc w:val="center"/></w:pPr><w:r><w:rPr><w:i/><w:iCs/><w:color w:val="595959"/><w:sz w:val="24"/><w:szCs w:val="24"/></w:rPr><w:t xml:space="preserve">Claude Code Build Instructions  |  June 2026</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500"/><w:gridCol w:w="6526"/></w:tblGrid><w:tr><w:tc><w:tcPr><w:tcW w:type="dxa" w:w="25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Sprint</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w:bCs/><w:color w:val="FFFFFF"/></w:rPr><w:t xml:space="preserve">S1</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Title</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Project Safety Readiness Framework</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App</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apps/safety</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Schema</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public (Safety Prisma) + projects (ERP Prisma)</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Production</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safety.agero.com.au</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Staging</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safety.agero.com.au (staging branch)</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Prerequisites</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Sprints 1-14, X.1, X.1.1, X.1.2, A, A.1, A.3 complete. Safety SMS working. ERP live at app.agero.com.au.</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Prepared</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June 2026</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Repo</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github.com/Bernie-Fernandez/agero</w:t></w:r></w:p></w:tc></w:tr><w:tr><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color w:val="000000"/></w:rPr><w:t xml:space="preserve">Local Path</w:t></w:r></w:p></w:tc><w:tc><w:tcPr><w:tcW w:type="dxa" w:w="6526"/><w:tcBorders><w:top w:val="single" w:color="CCCCCC" w:sz="1"/><w:left w:val="single" w:color="CCCCCC" w:sz="1"/><w:bottom w:val="single" w:color="CCCCCC" w:sz="1"/><w:right w:val="single" w:color="CCCCCC" w:sz="1"/></w:tcBorders><w:tcMar><w:top w:type="dxa" w:w="80"/><w:left w:type="dxa" w:w="120"/><w:bottom w:type="dxa" w:w="80"/><w:right w:type="dxa" w:w="120"/></w:tcMar></w:tcPr><w:p><w:r><w:rPr><w:b w:val="false"/><w:bCs w:val="false"/><w:color w:val="000000"/></w:rPr><w:t xml:space="preserve">C:\Dev\agero</w:t></w:r></w:p></w:tc></w:tr></w:tbl><w:p><w:r><w:t xml:space="preserve"></w:t></w:r></w:p><w:p><w:pPr><w:pStyle w:val="Heading1"/></w:pPr><w:r><w:rPr><w:b/><w:bCs/><w:color w:val="1F3864"/></w:rPr><w:t xml:space="preserve">Standing Build Rules</w:t></w:r></w:p><w:p><w:r><w:rPr><w:b/><w:bCs/><w:color w:val="C00000"/></w:rPr><w:t xml:space="preserve">⚠ NEVER run npx prisma migrate — ALWAYS use npx prisma db push</w:t></w:r></w:p><w:p><w:r><w:rPr><w:b/><w:bCs/><w:color w:val="C00000"/></w:rPr><w:t xml:space="preserve">⚠ NEVER touch the public schema in Supabase WITHOUT explicit instruction in this document</w:t></w:r></w:p><w:p><w:r><w:rPr><w:b/><w:bCs/><w:color w:val="C00000"/></w:rPr><w:t xml:space="preserve">⚠ NEVER modify the ERP (apps/projects) pages without explicit instruction</w:t></w:r></w:p><w:p><w:r><w:rPr><w:b/><w:bCs/><w:color w:val="C00000"/></w:rPr><w:t xml:space="preserve">⚠ NEVER use &amp;&amp; in PowerShell — one command at a time</w:t></w:r></w:p><w:p><w:r><w:rPr><w:b/><w:bCs/><w:color w:val="C00000"/></w:rPr><w:t xml:space="preserve">⚠ NEVER deploy to production without staging passing first</w:t></w:r></w:p><w:p><w:r><w:rPr><w:b/><w:bCs/><w:color w:val="C00000"/></w:rPr><w:t xml:space="preserve">⚠ Safety public schema changes MUST be backwards compatible — existing worker, induction, attendance tables must not break</w:t></w:r></w:p><w:p><w:r><w:rPr><w:b/><w:bCs/><w:color w:val="C00000"/></w:rPr><w:t xml:space="preserve">⚠ All new ERP-side tables go in the projects schema</w:t></w:r></w:p><w:p><w:r><w:t xml:space="preserve"></w:t></w:r></w:p><w:p><w:pPr><w:pStyle w:val="Heading1"/></w:pPr><w:r><w:rPr><w:b/><w:bCs/><w:color w:val="1F3864"/></w:rPr><w:t xml:space="preserve">1. Current System Context</w:t></w:r></w:p><w:p><w:r><w:t xml:space="preserve">Read Agero_ERP_BuildHandoff_v2.0.docx before writing any code. The following describes the current state:</w:t></w:r></w:p><w:p><w:r><w:t xml:space="preserve"></w:t></w:r></w:p><w:p><w:r><w:rPr><w:i w:val="false"/><w:iCs w:val="false"/></w:rPr><w:t xml:space="preserve">The Safety app (apps/safety) is live at safety.agero.com.au. Workers sign in via SMS OTP, complete generic and site-specific inductions, scan a QR code to sign in to a project, and their attendance is recorded. The app uses the Supabase public schema. The ERP (apps/projects) is live at app.agero.com.au with CRM, Finance, Estimating, and User Management modules.</w:t></w:r></w:p><w:p><w:r><w:t xml:space="preserve"></w:t></w:r></w:p><w:p><w:r><w:t xml:space="preserve">The two systems currently share the same Supabase instance but operate from separate schemas. The Safety app reads its own project records from the public schema. The ERP has a Project table in the projects schema. There is no live connection between the two — a project created in the ERP does not automatically appear in Safety.</w:t></w:r></w:p><w:p><w:r><w:t xml:space="preserve"></w:t></w:r></w:p><w:p><w:r><w:t xml:space="preserve">This sprint establishes three things: (1) the Project Safety Readiness Framework with a three-layer progress dashboard and mobilisation gate; (2) a connection between the ERP project record and Safety so project data flows from the ERP into Safety; (3) the organisation scoping foundation (multi-tenancy groundwork) so all Safety data is scoped to an Organisation record. This is the foundation sprint that enables Safety to scale as a SaaS product.</w:t></w:r></w:p><w:p><w:r><w:t xml:space="preserve"></w:t></w:r></w:p><w:p><w:pPr><w:pStyle w:val="Heading1"/></w:pPr><w:r><w:rPr><w:b/><w:bCs/><w:color w:val="1F3864"/></w:rPr><w:t xml:space="preserve">2. Sprint Overview</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500"/><w:gridCol w:w="2500"/><w:gridCol w:w="6026"/></w:tblGrid><w:tr><w:tc><w:tcPr><w:tcW w:type="dxa" w:w="5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w:t></w:r></w:p></w:tc><w:tc><w:tcPr><w:tcW w:type="dxa" w:w="25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Area</w:t></w:r></w:p></w:tc><w:tc><w:tcPr><w:tcW w:type="dxa" w:w="6026"/><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What gets built</w:t></w:r></w:p></w:tc></w:tr><w:tr><w:tc><w:tcPr><w:tcW w:type="dxa" w:w="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A</w:t></w:r></w:p></w:tc><w:tc><w:tcPr><w:tcW w:type="dxa" w:w="2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Organisation scoping</w:t></w:r></w:p></w:tc><w:tc><w:tcPr><w:tcW w:type="dxa" w:w="6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Add organisation_id to all Safety public schema tables. Seed Agero Group as Organisation 1. Ensure all queries are scoped by organisation. This is the multi-tenancy foundation.</w:t></w:r></w:p></w:tc></w:tr><w:tr><w:tc><w:tcPr><w:tcW w:type="dxa" w:w="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B</w:t></w:r></w:p></w:tc><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ERP-Safety project bridge</w:t></w:r></w:p></w:tc><w:tc><w:tcPr><w:tcW w:type="dxa" w:w="6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When a project is created or updated in the ERP (projects schema), it syncs to a SafetyProject record in the public schema. Safety reads project data from this bridge table rather than its own legacy project table.</w:t></w:r></w:p></w:tc></w:tr><w:tr><w:tc><w:tcPr><w:tcW w:type="dxa" w:w="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C</w:t></w:r></w:p></w:tc><w:tc><w:tcPr><w:tcW w:type="dxa" w:w="2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Pre-Start Risk Assessment</w:t></w:r></w:p></w:tc><w:tc><w:tcPr><w:tcW w:type="dxa" w:w="6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Full digital pre-start form aligned to Victorian OHS Regulations 2017 and ISO 45001 Clause 8.1.4.2. Covers 17 high-risk work classifications, psychosocial hazard identification (new December 2025 Victorian legal requirement), consultation record, and sign-off. Auto-generates required sub-forms based on identified risks.</w:t></w:r></w:p></w:tc></w:tr><w:tr><w:tc><w:tcPr><w:tcW w:type="dxa" w:w="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D</w:t></w:r></w:p></w:tc><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Site Preparation Checklist</w:t></w:r></w:p></w:tc><w:tc><w:tcPr><w:tcW w:type="dxa" w:w="6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Digital version of the 50+ item site preparation checklist. Mobile-optimised with photo evidence per item, manager sign-off, and PDF export. Linked to project record.</w:t></w:r></w:p></w:tc></w:tr><w:tr><w:tc><w:tcPr><w:tcW w:type="dxa" w:w="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E</w:t></w:r></w:p></w:tc><w:tc><w:tcPr><w:tcW w:type="dxa" w:w="2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Three-layer Readiness Dashboard</w:t></w:r></w:p></w:tc><w:tc><w:tcPr><w:tcW w:type="dxa" w:w="6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Project safety readiness progress bar with three layers: Agero obligations, subcontractor obligations per company, and worker obligations per individual. Mobilisation gate — QR sign-in locked until all three layers reach 100% for that worker.</w:t></w:r></w:p></w:tc></w:tr><w:tr><w:tc><w:tcPr><w:tcW w:type="dxa" w:w="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F</w:t></w:r></w:p></w:tc><w:tc><w:tcPr><w:tcW w:type="dxa" w:w="25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rPr><w:b/><w:bCs/></w:rPr><w:t xml:space="preserve">Worker data capture upgrades</w:t></w:r></w:p></w:tc><w:tc><w:tcPr><w:tcW w:type="dxa" w:w="6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Add white card number, white card expiry, and next of kin fields to worker profile. These are legally required by the Victorian OHS Act 2004 and Agero&apos;s own WHS Plan.</w:t></w:r></w:p></w:tc></w:tr><w:tr><w:tc><w:tcPr><w:tcW w:type="dxa" w:w="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G</w:t></w:r></w:p></w:tc><w:tc><w:tcPr><w:tcW w:type="dxa" w:w="25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b/><w:bCs/></w:rPr><w:t xml:space="preserve">Building management induction tracking</w:t></w:r></w:p></w:tc><w:tc><w:tcPr><w:tcW w:type="dxa" w:w="6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Flag per project indicating which trades require a separate building management induction. Track completion per worker per project.</w:t></w:r></w:p></w:tc></w:tr></w:tbl><w:p><w:r><w:t xml:space="preserve"></w:t></w:r></w:p><w:p><w:pPr><w:pStyle w:val="Heading1"/></w:pPr><w:r><w:rPr><w:b/><w:bCs/><w:color w:val="1F3864"/></w:rPr><w:t xml:space="preserve">3. Prisma Schema Changes</w:t></w:r></w:p><w:p><w:pPr><w:pStyle w:val="Heading2"/></w:pPr><w:r><w:rPr><w:b/><w:bCs/></w:rPr><w:t xml:space="preserve">3.1 Public Schema — Safety</w:t></w:r></w:p><w:p><w:r><w:t xml:space="preserve">Add the following to packages/db/prisma/schema.prisma in the public schema section. Run npx prisma db push after changes. NEVER npx prisma migrate.</w:t></w:r></w:p><w:p><w:r><w:t xml:space="preserve"></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200"/><w:gridCol w:w="1600"/><w:gridCol w:w="1200"/><w:gridCol w:w="4026"/></w:tblGrid><w:tr><w:tc><w:tcPr><w:tcW w:type="dxa" w:w="22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Model / Field</w:t></w:r></w:p></w:tc><w:tc><w:tcPr><w:tcW w:type="dxa" w:w="22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Type</w:t></w:r></w:p></w:tc><w:tc><w:tcPr><w:tcW w:type="dxa" w:w="22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Required</w:t></w:r></w:p></w:tc><w:tc><w:tcPr><w:tcW w:type="dxa" w:w="22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Notes</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Organisation</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New model</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@@schema(&quot;public&quot;). Fields: id (UUID PK), name (String), abn (String?), logo_url (String?), is_active (Boolean default true), created_at, updated_at</w:t></w:r></w:p></w:tc></w:tr><w:tr><w:tc><w:tcPr><w:tcW w:type="dxa" w:w="2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Worker.organisation_id</w:t></w:r></w:p></w:tc><w:tc><w:tcPr><w:tcW w:type="dxa" w:w="16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String</w:t></w:r></w:p></w:tc><w:tc><w:tcPr><w:tcW w:type="dxa" w:w="1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No (migrate to Yes)</w:t></w:r></w:p></w:tc><w:tc><w:tcPr><w:tcW w:type="dxa" w:w="4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FK Organisation. Add with default pointing to seeded Agero org. Backfill all existing workers.</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Worker.white_card_no</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String?</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No</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Construction induction (white card) number</w:t></w:r></w:p></w:tc></w:tr><w:tr><w:tc><w:tcPr><w:tcW w:type="dxa" w:w="2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Worker.white_card_expiry</w:t></w:r></w:p></w:tc><w:tc><w:tcPr><w:tcW w:type="dxa" w:w="16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DateTime?</w:t></w:r></w:p></w:tc><w:tc><w:tcPr><w:tcW w:type="dxa" w:w="1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No</w:t></w:r></w:p></w:tc><w:tc><w:tcPr><w:tcW w:type="dxa" w:w="4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White card expiry date. Alert 60 days prior.</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Worker.nok_name</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String?</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No</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Next of kin full name. Required for site access per WHS Plan.</w:t></w:r></w:p></w:tc></w:tr><w:tr><w:tc><w:tcPr><w:tcW w:type="dxa" w:w="2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Worker.nok_phone</w:t></w:r></w:p></w:tc><w:tc><w:tcPr><w:tcW w:type="dxa" w:w="16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String?</w:t></w:r></w:p></w:tc><w:tc><w:tcPr><w:tcW w:type="dxa" w:w="1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No</w:t></w:r></w:p></w:tc><w:tc><w:tcPr><w:tcW w:type="dxa" w:w="4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Next of kin phone number.</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Worker.nok_relationship</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String?</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No</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Next of kin relationship.</w:t></w:r></w:p></w:tc></w:tr><w:tr><w:tc><w:tcPr><w:tcW w:type="dxa" w:w="2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SafetyProject</w:t></w:r></w:p></w:tc><w:tc><w:tcPr><w:tcW w:type="dxa" w:w="16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New model</w:t></w:r></w:p></w:tc><w:tc><w:tcPr><w:tcW w:type="dxa" w:w="1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t></w:r></w:p></w:tc><w:tc><w:tcPr><w:tcW w:type="dxa" w:w="4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@@schema(&quot;public&quot;). Bridge table synced from ERP. Fields: id (UUID PK), erp_project_id (String unique — FK to projects schema Project.id), organisation_id (String FK Organisation), name, address, status (Enum: SETUP | ACTIVE | COMPLETE), qr_token (String unique), building_mgmt_induction_required (Boolean default false), created_at, updated_at</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PreStartAssessment</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New model</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@@schema(&quot;public&quot;). One per project per date. Fields: id, project_id (FK SafetyProject), completed_by_id (FK Worker), assessment_date, high_risk_flags (Json — array of identified risks), psychosocial_flags (Json — array of psychosocial hazards identified), consultation_record (String?), sign_off_name, sign_off_at, pdf_url (String?), created_at</w:t></w:r></w:p></w:tc></w:tr><w:tr><w:tc><w:tcPr><w:tcW w:type="dxa" w:w="2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SitePreparationChecklist</w:t></w:r></w:p></w:tc><w:tc><w:tcPr><w:tcW w:type="dxa" w:w="16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New model</w:t></w:r></w:p></w:tc><w:tc><w:tcPr><w:tcW w:type="dxa" w:w="12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w:t></w:r></w:p></w:tc><w:tc><w:tcPr><w:tcW w:type="dxa" w:w="4026"/><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r><w:t xml:space="preserve">@@schema(&quot;public&quot;). Fields: id, project_id (FK SafetyProject), completed_by_id, completion_date, items (Json — array of {item_id, label, status: YES|NO|NA, photo_url?, note?}), manager_sign_off_name, manager_sign_off_at, pdf_url?, created_at</w:t></w:r></w:p></w:tc></w:tr><w:tr><w:tc><w:tcPr><w:tcW w:type="dxa" w:w="2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BuildingMgmtInduction</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New model</w:t></w:r></w:p></w:tc><w:tc><w:tcPr><w:tcW w:type="dxa" w:w="12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w:t></w:r></w:p></w:tc><w:tc><w:tcPr><w:tcW w:type="dxa" w:w="4026"/><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t xml:space="preserve">@@schema(&quot;public&quot;). Fields: id, project_id (FK SafetyProject), worker_id (FK Worker), completed_at, completed_by_name, created_at</w:t></w:r></w:p></w:tc></w:tr></w:tbl><w:p><w:r><w:t xml:space="preserve"></w:t></w:r></w:p><w:p><w:pPr><w:pStyle w:val="Heading2"/></w:pPr><w:r><w:rPr><w:b/><w:bCs/></w:rPr><w:t xml:space="preserve">3.2 Projects Schema — ERP sync trigger</w:t></w:r></w:p><w:p><w:r><w:t xml:space="preserve">Add a server action in apps/projects that writes to the SafetyProject bridge table whenever an ERP Project record is created or updated. This is a write from apps/projects into the public schema — use the Supabase service role key, not the Prisma client for the projects schema, to cross schema boundaries safely.</w:t></w:r></w:p><w:p><w:r><w:t xml:space="preserve"></w:t></w:r></w:p><w:p><w:pPr><w:pStyle w:val="Heading1"/></w:pPr><w:r><w:rPr><w:b/><w:bCs/><w:color w:val="1F3864"/></w:rPr><w:t xml:space="preserve">4. Organisation Scoping Foundation</w:t></w:r></w:p><w:p><w:r><w:t xml:space="preserve">Seed a single Organisation record for Agero Group in the public schema with a hardcoded UUID (generate one now and use it consistently). All existing Worker, Project (legacy), Induction, and Attendance records must be backfilled with this organisation_id. The seed script must be idempotent — safe to run multiple times.</w:t></w:r></w:p><w:p><w:r><w:t xml:space="preserve"></w:t></w:r></w:p><w:p><w:r><w:t xml:space="preserve">Every server-side query in apps/safety must filter by organisation_id. No query should return records from a different organisation. This is the foundation for future multi-tenant SaaS — when a second client onboards, they get a new Organisation record and see only their data.</w:t></w:r></w:p><w:p><w:r><w:t xml:space="preserve"></w:t></w:r></w:p><w:p><w:pPr><w:pStyle w:val="Heading1"/></w:pPr><w:r><w:rPr><w:b/><w:bCs/><w:color w:val="1F3864"/></w:rPr><w:t xml:space="preserve">5. ERP-Safety Project Bridge</w:t></w:r></w:p><w:p><w:r><w:t xml:space="preserve">When a Project is created in the ERP (apps/projects), a corresponding SafetyProject record must be created in the public schema. When the ERP project name or address changes, the SafetyProject record must update. The existing QR token from the legacy Safety Project table must be preserved for the L16/350 Queen Street test project (cb712753-3563-4a21-bdda-27bc20fd1426).</w:t></w:r></w:p><w:p><w:r><w:t xml:space="preserve"></w:t></w:r></w:p><w:p><w:r><w:t xml:space="preserve">The legacy Safety project table (if separate from SafetyProject) should remain but be deprecated — existing data migrates to SafetyProject, existing QR codes continue to work. Do not break any existing worker sign-in flows.</w:t></w:r></w:p><w:p><w:r><w:t xml:space="preserve"></w:t></w:r></w:p><w:p><w:pPr><w:pStyle w:val="Heading1"/></w:pPr><w:r><w:rPr><w:b/><w:bCs/><w:color w:val="1F3864"/></w:rPr><w:t xml:space="preserve">6. Pre-Start Risk Assessment</w:t></w:r></w:p><w:p><w:r><w:t xml:space="preserve">The pre-start risk assessment is completed by the Site Manager one week prior to site establishment. It is a legal requirement under the Victorian OHS Regulations 2017 and ISO 45001 Clause 8.1.4.2. It must be completed and signed off before the Site Preparation Checklist can be started, which in turn must be completed before any worker can sign in.</w:t></w:r></w:p><w:p><w:r><w:t xml:space="preserve"></w:t></w:r></w:p><w:p><w:pPr><w:pStyle w:val="Heading2"/></w:pPr><w:r><w:rPr><w:b/><w:bCs/></w:rPr><w:t xml:space="preserve">6.1 High-Risk Work Classifications</w:t></w:r></w:p><w:p><w:r><w:t xml:space="preserve">The form presents all 17 high-risk work classifications from Schedule 1 of the Victorian OHS Regulations 2017. For each, the manager answers Yes/No. A Yes response auto-generates a flag and displays the required actions. Classifications:</w:t></w:r></w:p><w:p><w:pPr><w:pStyle w:val="ListParagraph"/><w:numPr><w:ilvl w:val="0"/><w:numId w:val="2"/></w:numPr></w:pPr><w:r><w:t xml:space="preserve">Person falling more than 2 metres</w:t></w:r></w:p><w:p><w:pPr><w:pStyle w:val="ListParagraph"/><w:numPr><w:ilvl w:val="0"/><w:numId w:val="2"/></w:numPr></w:pPr><w:r><w:t xml:space="preserve">Likely asbestos</w:t></w:r></w:p><w:p><w:pPr><w:pStyle w:val="ListParagraph"/><w:numPr><w:ilvl w:val="0"/><w:numId w:val="2"/></w:numPr></w:pPr><w:r><w:t xml:space="preserve">Work near shaft or trench deeper than 1.5m</w:t></w:r></w:p><w:p><w:pPr><w:pStyle w:val="ListParagraph"/><w:numPr><w:ilvl w:val="0"/><w:numId w:val="2"/></w:numPr></w:pPr><w:r><w:t xml:space="preserve">Work on or near chemical, fuel or refrigerant lines</w:t></w:r></w:p><w:p><w:pPr><w:pStyle w:val="ListParagraph"/><w:numPr><w:ilvl w:val="0"/><w:numId w:val="2"/></w:numPr></w:pPr><w:r><w:t xml:space="preserve">Tilt-up or precast concrete</w:t></w:r></w:p><w:p><w:pPr><w:pStyle w:val="ListParagraph"/><w:numPr><w:ilvl w:val="0"/><w:numId w:val="2"/></w:numPr></w:pPr><w:r><w:t xml:space="preserve">Work in areas with artificial extremes of temperature</w:t></w:r></w:p><w:p><w:pPr><w:pStyle w:val="ListParagraph"/><w:numPr><w:ilvl w:val="0"/><w:numId w:val="2"/></w:numPr></w:pPr><w:r><w:t xml:space="preserve">Work on telecommunications towers</w:t></w:r></w:p><w:p><w:pPr><w:pStyle w:val="ListParagraph"/><w:numPr><w:ilvl w:val="0"/><w:numId w:val="2"/></w:numPr></w:pPr><w:r><w:t xml:space="preserve">Temporary load-bearing support for structural alterations</w:t></w:r></w:p><w:p><w:pPr><w:pStyle w:val="ListParagraph"/><w:numPr><w:ilvl w:val="0"/><w:numId w:val="2"/></w:numPr></w:pPr><w:r><w:t xml:space="preserve">Use of explosives</w:t></w:r></w:p><w:p><w:pPr><w:pStyle w:val="ListParagraph"/><w:numPr><w:ilvl w:val="0"/><w:numId w:val="2"/></w:numPr></w:pPr><w:r><w:t xml:space="preserve">Work on or near electrical installations</w:t></w:r></w:p><w:p><w:pPr><w:pStyle w:val="ListParagraph"/><w:numPr><w:ilvl w:val="0"/><w:numId w:val="2"/></w:numPr></w:pPr><w:r><w:t xml:space="preserve">Work adjacent to road, railway or traffic corridor</w:t></w:r></w:p><w:p><w:pPr><w:pStyle w:val="ListParagraph"/><w:numPr><w:ilvl w:val="0"/><w:numId w:val="2"/></w:numPr></w:pPr><w:r><w:t xml:space="preserve">Work on or near water with drowning risk</w:t></w:r></w:p><w:p><w:pPr><w:pStyle w:val="ListParagraph"/><w:numPr><w:ilvl w:val="0"/><w:numId w:val="2"/></w:numPr></w:pPr><w:r><w:t xml:space="preserve">Demolition of load-bearing structure</w:t></w:r></w:p><w:p><w:pPr><w:pStyle w:val="ListParagraph"/><w:numPr><w:ilvl w:val="0"/><w:numId w:val="2"/></w:numPr></w:pPr><w:r><w:t xml:space="preserve">Work in or near confined space</w:t></w:r></w:p><w:p><w:pPr><w:pStyle w:val="ListParagraph"/><w:numPr><w:ilvl w:val="0"/><w:numId w:val="2"/></w:numPr></w:pPr><w:r><w:t xml:space="preserve">Work on or near pressurised gas mains</w:t></w:r></w:p><w:p><w:pPr><w:pStyle w:val="ListParagraph"/><w:numPr><w:ilvl w:val="0"/><w:numId w:val="2"/></w:numPr></w:pPr><w:r><w:t xml:space="preserve">Work in area with contaminated or flammable atmosphere</w:t></w:r></w:p><w:p><w:pPr><w:pStyle w:val="ListParagraph"/><w:numPr><w:ilvl w:val="0"/><w:numId w:val="2"/></w:numPr></w:pPr><w:r><w:t xml:space="preserve">Work in area with movement of powered mobile plant</w:t></w:r></w:p><w:p><w:r><w:t xml:space="preserve"></w:t></w:r></w:p><w:p><w:pPr><w:pStyle w:val="Heading2"/></w:pPr><w:r><w:rPr><w:b/><w:bCs/></w:rPr><w:t xml:space="preserve">6.2 Psychosocial Hazard Identification</w:t></w:r></w:p><w:p><w:r><w:t xml:space="preserve">LEGALLY REQUIRED from 1 December 2025 under the Victorian Occupational Health and Safety (Psychological Health) Regulations 2025. The form includes a psychosocial hazard checklist covering all five mandated categories requiring prevention plans:</w:t></w:r></w:p><w:p><w:pPr><w:pStyle w:val="ListParagraph"/><w:numPr><w:ilvl w:val="0"/><w:numId w:val="2"/></w:numPr></w:pPr><w:r><w:t xml:space="preserve">Bullying (repeated unreasonable behaviour)</w:t></w:r></w:p><w:p><w:pPr><w:pStyle w:val="ListParagraph"/><w:numPr><w:ilvl w:val="0"/><w:numId w:val="2"/></w:numPr></w:pPr><w:r><w:t xml:space="preserve">Sexual harassment</w:t></w:r></w:p><w:p><w:pPr><w:pStyle w:val="ListParagraph"/><w:numPr><w:ilvl w:val="0"/><w:numId w:val="2"/></w:numPr></w:pPr><w:r><w:t xml:space="preserve">Aggression or violence</w:t></w:r></w:p><w:p><w:pPr><w:pStyle w:val="ListParagraph"/><w:numPr><w:ilvl w:val="0"/><w:numId w:val="2"/></w:numPr></w:pPr><w:r><w:t xml:space="preserve">Exposure to traumatic content or events</w:t></w:r></w:p><w:p><w:pPr><w:pStyle w:val="ListParagraph"/><w:numPr><w:ilvl w:val="0"/><w:numId w:val="2"/></w:numPr></w:pPr><w:r><w:t xml:space="preserve">High job demands (schedule pressure, overtime, fatigue risk)</w:t></w:r></w:p><w:p><w:r><w:t xml:space="preserve"></w:t></w:r></w:p><w:p><w:r><w:t xml:space="preserve">For each identified psychosocial hazard, the manager must record the control measure applied. The system enforces at least one control measure per flagged hazard before the form can be submitted. Controls must follow the hierarchy: eliminate first, then substitute/engineering, then administrative — information/training cannot be the only control.</w:t></w:r></w:p><w:p><w:r><w:t xml:space="preserve"></w:t></w:r></w:p><w:p><w:pPr><w:pStyle w:val="Heading2"/></w:pPr><w:r><w:rPr><w:b/><w:bCs/></w:rPr><w:t xml:space="preserve">6.3 Consultation Record</w:t></w:r></w:p><w:p><w:r><w:t xml:space="preserve">The form includes a formal consultation record: who was consulted (list of names and roles), what was raised, and what decision was made. This satisfies the Victorian OHS Act Section 35 consultation obligation. This field is mandatory before submission.</w:t></w:r></w:p><w:p><w:r><w:t xml:space="preserve"></w:t></w:r></w:p><w:p><w:pPr><w:pStyle w:val="Heading2"/></w:pPr><w:r><w:rPr><w:b/><w:bCs/></w:rPr><w:t xml:space="preserve">6.4 Auto-generated sub-forms</w:t></w:r></w:p><w:p><w:r><w:t xml:space="preserve">When a Yes is recorded against certain high-risk classifications, the system creates a task in the project readiness checklist requiring the relevant sub-form to be completed. Examples: asbestos risk → Asbestos Management sub-form required; road/traffic → Traffic Management Review Checklist required; powered mobile plant → Plant Register entry required. These sub-forms are built in Sprint S3.</w:t></w:r></w:p><w:p><w:r><w:t xml:space="preserve"></w:t></w:r></w:p><w:p><w:pPr><w:pStyle w:val="Heading2"/></w:pPr><w:r><w:rPr><w:b/><w:bCs/></w:rPr><w:t xml:space="preserve">6.5 Sign-off and PDF</w:t></w:r></w:p><w:p><w:r><w:t xml:space="preserve">The completed pre-start assessment is signed digitally (name + timestamp). A PDF is generated and stored in Supabase Storage. The PDF is emailed to the Director (bfernandez@agero.com.au) and the Project Manager via Resend. ISO 45001 Clause mapping is printed on the PDF: Clause 8.1.4.2 (Contractor management), Clause 6.1 (Risk assessment).</w:t></w:r></w:p><w:p><w:r><w:t xml:space="preserve"></w:t></w:r></w:p><w:p><w:pPr><w:pStyle w:val="Heading1"/></w:pPr><w:r><w:rPr><w:b/><w:bCs/><w:color w:val="1F3864"/></w:rPr><w:t xml:space="preserve">7. Site Preparation Checklist</w:t></w:r></w:p><w:p><w:r><w:t xml:space="preserve">The site preparation checklist is completed on the first day of site establishment, after the pre-start assessment is signed. It cannot be started until the pre-start is complete. It is completed on a mobile phone or tablet by the Site Manager, on site.</w:t></w:r></w:p><w:p><w:r><w:t xml:space="preserve"></w:t></w:r></w:p><w:p><w:r><w:t xml:space="preserve">The checklist contains 52 items grouped into 10 categories matching Agero&apos;s existing paper form: Sanitary Facilities, Dining Facilities, Drinking Facilities, Site Manager Desk, First Aid, Sign-in Desk, White Folder, Temp Board, Entrance, Debris and Storage Areas, Egress Routes, Lobby and Elevator Protection, Signage, Floor Protection, Site Manager Box.</w:t></w:r></w:p><w:p><w:r><w:t xml:space="preserve"></w:t></w:r></w:p><w:p><w:r><w:t xml:space="preserve">For each item: the manager taps Yes, No, or N/A. If No is tapped, a note field and photo capture are required before proceeding. Photo is taken directly in the browser using the device camera. Each photo is uploaded to Supabase Storage and linked to that checklist item.</w:t></w:r></w:p><w:p><w:r><w:t xml:space="preserve"></w:t></w:r></w:p><w:p><w:r><w:t xml:space="preserve">On completion: digital signature captured, PDF generated showing all items with status, photos embedded, manager name and timestamp. PDF stored and emailed. The completion of this checklist unlocks the Worker Readiness layer of the Readiness Dashboard.</w:t></w:r></w:p><w:p><w:r><w:t xml:space="preserve"></w:t></w:r></w:p><w:p><w:pPr><w:pStyle w:val="Heading1"/></w:pPr><w:r><w:rPr><w:b/><w:bCs/><w:color w:val="1F3864"/></w:rPr><w:t xml:space="preserve">8. Three-Layer Readiness Dashboard</w:t></w:r></w:p><w:p><w:pPr><w:pStyle w:val="Heading2"/></w:pPr><w:r><w:rPr><w:b/><w:bCs/></w:rPr><w:t xml:space="preserve">8.1 Project Safety Readiness page</w:t></w:r></w:p><w:p><w:r><w:t xml:space="preserve">Every project in Safety has a Readiness page accessible to the Site Manager and Director. It shows three progress bars — one per layer — and an overall percentage. The page is mobile-optimised.</w:t></w:r></w:p><w:p><w:r><w:t xml:space="preserve"></w:t></w:r></w:p><w:p><w:pPr><w:pStyle w:val="Heading2"/></w:pPr><w:r><w:rPr><w:b/><w:bCs/></w:rPr><w:t xml:space="preserve">8.2 Layer 1 — Agero obligations</w:t></w:r></w:p><w:p><w:r><w:t xml:space="preserve">Required items: Pre-start risk assessment completed and signed. Site preparation checklist completed and signed. Site-specific induction published and live. QR code generated and confirmed printed. Emergency procedures documented (hospital, assembly point). Site supervisor assigned. Each item shows green (complete), amber (in progress), or red (not started). Layer 1 must be 100% before Layer 2 is active.</w:t></w:r></w:p><w:p><w:r><w:t xml:space="preserve"></w:t></w:r></w:p><w:p><w:pPr><w:pStyle w:val="Heading2"/></w:pPr><w:r><w:rPr><w:b/><w:bCs/></w:rPr><w:t xml:space="preserve">8.3 Layer 2 — Subcontractor obligations (per company)</w:t></w:r></w:p><w:p><w:r><w:t xml:space="preserve">For each subcontractor company engaged on the project: Company registered in Safety. Public Liability Insurance current. Workers Compensation Insurance current. SWMS uploaded and approved for their trade. Company representative has completed generic induction. Each company shows its own mini progress bar. Layer 2 must be 100% per company before that company&apos;s workers can access Layer 3.</w:t></w:r></w:p><w:p><w:r><w:t xml:space="preserve"></w:t></w:r></w:p><w:p><w:pPr><w:pStyle w:val="Heading2"/></w:pPr><w:r><w:rPr><w:b/><w:bCs/></w:rPr><w:t xml:space="preserve">8.4 Layer 3 — Worker obligations (per individual)</w:t></w:r></w:p><w:p><w:r><w:t xml:space="preserve">For each worker: Generic induction passed (100%). Site-specific induction passed. White card number recorded. Next of kin recorded. Building management induction completed (if required for this project). Each worker shows their own progress. Layer 3 must be 100% before that worker&apos;s QR sign-in is enabled.</w:t></w:r></w:p><w:p><w:r><w:t xml:space="preserve"></w:t></w:r></w:p><w:p><w:pPr><w:pStyle w:val="Heading2"/></w:pPr><w:r><w:rPr><w:b/><w:bCs/></w:rPr><w:t xml:space="preserve">8.5 Mobilisation gate</w:t></w:r></w:p><w:p><w:r><w:t xml:space="preserve">The QR sign-in confirmation step checks Layer 3 completeness for the scanning worker in real time. If any Layer 3 item is incomplete, the sign-in is blocked and the worker sees a clear message stating exactly what is missing and how to complete it. This check happens server-side — it cannot be bypassed.</w:t></w:r></w:p><w:p><w:r><w:t xml:space="preserve"></w:t></w:r></w:p><w:p><w:pPr><w:pStyle w:val="Heading1"/></w:pPr><w:r><w:rPr><w:b/><w:bCs/><w:color w:val="1F3864"/></w:rPr><w:t xml:space="preserve">9. Build Order</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400"/><w:gridCol w:w="2000"/><w:gridCol w:w="4626"/><w:gridCol w:w="2000"/></w:tblGrid><w:tr><w:tc><w:tcPr><w:tcW w:type="dxa" w:w="4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w:t></w:r></w:p></w:tc><w:tc><w:tcPr><w:tcW w:type="dxa" w:w="20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Task</w:t></w:r></w:p></w:tc><w:tc><w:tcPr><w:tcW w:type="dxa" w:w="4626"/><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Detail</w:t></w:r></w:p></w:tc><w:tc><w:tcPr><w:tcW w:type="dxa" w:w="2000"/><w:tcBorders><w:top w:val="single" w:color="CCCCCC" w:sz="1"/><w:left w:val="single" w:color="CCCCCC" w:sz="1"/><w:bottom w:val="single" w:color="CCCCCC" w:sz="1"/><w:right w:val="single" w:color="CCCCCC" w:sz="1"/></w:tcBorders><w:shd w:fill="1F3864" w:val="clear"/><w:tcMar><w:top w:type="dxa" w:w="80"/><w:left w:type="dxa" w:w="120"/><w:bottom w:type="dxa" w:w="80"/><w:right w:type="dxa" w:w="120"/></w:tcMar></w:tcPr><w:p><w:r><w:rPr><w:b/><w:bCs/><w:color w:val="FFFFFF"/></w:rPr><w:t xml:space="preserve">Verification</w:t></w:r></w:p></w:tc></w:tr><w:tr><0/></w:tr><w:tr><0/></w:tr><w:tr><0/></w:tr><w:tr><0/></w:tr><w:tr><0/></w:tr><w:tr><0/></w:tr><w:tr><0/></w:tr><w:tr><0/></w:tr><w:tr><0/></w:tr><w:tr><0/></w:tr><w:tr><0/></w:tr><w:tr><0/></w:tr><w:tr><0/></w:tr><w:tr><0/></w:tr><w:tr><0/></w:tr><w:tr><0/></w:tr></w:tbl><w:p><w:r><w:t xml:space="preserve"></w:t></w:r></w:p><w:p><w:pPr><w:pStyle w:val="Heading1"/></w:pPr><w:r><w:rPr><w:b/><w:bCs/><w:color w:val="1F3864"/></w:rPr><w:t xml:space="preserve">10. Environment Variables</w:t></w:r></w:p><w:p><w:r><w:t xml:space="preserve">No new environment variables required. Confirm the following are set in Vercel agero-safety project (Production and Preview):</w:t></w:r></w:p><w:p><w:pPr><w:pStyle w:val="ListParagraph"/><w:numPr><w:ilvl w:val="0"/><w:numId w:val="2"/></w:numPr></w:pPr><w:r><w:t xml:space="preserve">TWILIO_ACCOUNT_SID</w:t></w:r></w:p><w:p><w:pPr><w:pStyle w:val="ListParagraph"/><w:numPr><w:ilvl w:val="0"/><w:numId w:val="2"/></w:numPr></w:pPr><w:r><w:t xml:space="preserve">TWILIO_AUTH_TOKEN</w:t></w:r></w:p><w:p><w:pPr><w:pStyle w:val="ListParagraph"/><w:numPr><w:ilvl w:val="0"/><w:numId w:val="2"/></w:numPr></w:pPr><w:r><w:t xml:space="preserve">TWILIO_PHONE_NUMBER (= AgeroSafety)</w:t></w:r></w:p><w:p><w:pPr><w:pStyle w:val="ListParagraph"/><w:numPr><w:ilvl w:val="0"/><w:numId w:val="2"/></w:numPr></w:pPr><w:r><w:t xml:space="preserve">NEXT_PUBLIC_SUPABASE_URL</w:t></w:r></w:p><w:p><w:pPr><w:pStyle w:val="ListParagraph"/><w:numPr><w:ilvl w:val="0"/><w:numId w:val="2"/></w:numPr></w:pPr><w:r><w:t xml:space="preserve">SUPABASE_SERVICE_ROLE_KEY</w:t></w:r></w:p><w:p><w:pPr><w:pStyle w:val="ListParagraph"/><w:numPr><w:ilvl w:val="0"/><w:numId w:val="2"/></w:numPr></w:pPr><w:r><w:t xml:space="preserve">NEXT_PUBLIC_CLERK_PUBLISHABLE_KEY</w:t></w:r></w:p><w:p><w:pPr><w:pStyle w:val="ListParagraph"/><w:numPr><w:ilvl w:val="0"/><w:numId w:val="2"/></w:numPr></w:pPr><w:r><w:t xml:space="preserve">CLERK_SECRET_KEY</w:t></w:r></w:p><w:p><w:pPr><w:pStyle w:val="ListParagraph"/><w:numPr><w:ilvl w:val="0"/><w:numId w:val="2"/></w:numPr></w:pPr><w:r><w:t xml:space="preserve">RESEND_API_KEY</w:t></w:r></w:p><w:p><w:pPr><w:pStyle w:val="ListParagraph"/><w:numPr><w:ilvl w:val="0"/><w:numId w:val="2"/></w:numPr></w:pPr><w:r><w:t xml:space="preserve">NEXT_PUBLIC_APP_URL (= https://safety.agero.com.au)</w:t></w:r></w:p><w:p><w:r><w:t xml:space="preserve"></w:t></w:r></w:p><w:p><w:pPr><w:pStyle w:val="Heading1"/></w:pPr><w:r><w:rPr><w:b/><w:bCs/><w:color w:val="1F3864"/></w:rPr><w:t xml:space="preserve">11. Acceptance Criteria</w:t></w:r></w:p><w:p><w:r><w:t xml:space="preserve">Sprint S1 is complete when ALL of the following are true:</w:t></w:r></w:p><w:p><w:pPr><w:pStyle w:val="ListParagraph"/><w:numPr><w:ilvl w:val="0"/><w:numId w:val="2"/></w:numPr></w:pPr><w:r><w:t xml:space="preserve">Organisation model exists in public schema. Agero Group is seeded as Organisation 1. All existing records have organisation_id populated.</w:t></w:r></w:p><w:p><w:pPr><w:pStyle w:val="ListParagraph"/><w:numPr><w:ilvl w:val="0"/><w:numId w:val="2"/></w:numPr></w:pPr><w:r><w:t xml:space="preserve">SafetyProject bridge table exists. Creating an ERP project creates a corresponding SafetyProject. L16/350 Queen Street QR token is preserved.</w:t></w:r></w:p><w:p><w:pPr><w:pStyle w:val="ListParagraph"/><w:numPr><w:ilvl w:val="0"/><w:numId w:val="2"/></w:numPr></w:pPr><w:r><w:t xml:space="preserve">Worker profile has white card and next of kin fields. Fields save correctly.</w:t></w:r></w:p><w:p><w:pPr><w:pStyle w:val="ListParagraph"/><w:numPr><w:ilvl w:val="0"/><w:numId w:val="2"/></w:numPr></w:pPr><w:r><w:t xml:space="preserve">Pre-start risk assessment form is complete: 17 high-risk classifications, psychosocial hazard section (all 5 categories per Victorian 2025 Regulations), consultation record, sign-off.</w:t></w:r></w:p><w:p><w:pPr><w:pStyle w:val="ListParagraph"/><w:numPr><w:ilvl w:val="0"/><w:numId w:val="2"/></w:numPr></w:pPr><w:r><w:t xml:space="preserve">Pre-start generates a PDF with ISO 45001 clause mapping and emails to Director and PM.</w:t></w:r></w:p><w:p><w:pPr><w:pStyle w:val="ListParagraph"/><w:numPr><w:ilvl w:val="0"/><w:numId w:val="2"/></w:numPr></w:pPr><w:r><w:t xml:space="preserve">Site preparation checklist has all 52 items in correct groups. Photo capture works. Locked until pre-start is signed.</w:t></w:r></w:p><w:p><w:pPr><w:pStyle w:val="ListParagraph"/><w:numPr><w:ilvl w:val="0"/><w:numId w:val="2"/></w:numPr></w:pPr><w:r><w:t xml:space="preserve">Site preparation generates a PDF and emails to Director and PM.</w:t></w:r></w:p><w:p><w:pPr><w:pStyle w:val="ListParagraph"/><w:numPr><w:ilvl w:val="0"/><w:numId w:val="2"/></w:numPr></w:pPr><w:r><w:t xml:space="preserve">Readiness dashboard shows three progress bars with correct percentages per layer.</w:t></w:r></w:p><w:p><w:pPr><w:pStyle w:val="ListParagraph"/><w:numPr><w:ilvl w:val="0"/><w:numId w:val="2"/></w:numPr></w:pPr><w:r><w:t xml:space="preserve">Mobilisation gate blocks worker sign-in when Layer 3 is incomplete. Error message is specific.</w:t></w:r></w:p><w:p><w:pPr><w:pStyle w:val="ListParagraph"/><w:numPr><w:ilvl w:val="0"/><w:numId w:val="2"/></w:numPr></w:pPr><w:r><w:t xml:space="preserve">All queries are scoped by organisation_id. No cross-organisation data leakage.</w:t></w:r></w:p><w:p><w:pPr><w:pStyle w:val="ListParagraph"/><w:numPr><w:ilvl w:val="0"/><w:numId w:val="2"/></w:numPr></w:pPr><w:r><w:t xml:space="preserve">All existing Safety features (induction, QR sign-in, attendance, SWMS, subcontractor docs) work identically.</w:t></w:r></w:p><w:p><w:pPr><w:pStyle w:val="ListParagraph"/><w:numPr><w:ilvl w:val="0"/><w:numId w:val="2"/></w:numPr></w:pPr><w:r><w:t xml:space="preserve">Staging build is green. Bernie has reviewed and signed off.</w:t></w:r></w:p><w:p><w:pPr><w:pStyle w:val="ListParagraph"/><w:numPr><w:ilvl w:val="0"/><w:numId w:val="2"/></w:numPr></w:pPr><w:r><w:t xml:space="preserve">Production build is green after deploy.</w:t></w:r></w:p><w:p><w: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2026-06-07T03:33:51.342Z</dcterms:created>
  <dcterms:modified xsi:type="dcterms:W3CDTF">2026-06-07T03:33:51.343Z</dcterms:modified>
</cp:coreProperties>
</file>

<file path=docProps/custom.xml><?xml version="1.0" encoding="utf-8"?>
<Properties xmlns="http://schemas.openxmlformats.org/officeDocument/2006/custom-properties" xmlns:vt="http://schemas.openxmlformats.org/officeDocument/2006/docPropsVTypes"/>
</file>