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30F" w:rsidRDefault="00691FA4" w:rsidP="00691FA4">
      <w:pPr>
        <w:autoSpaceDE w:val="0"/>
        <w:autoSpaceDN w:val="0"/>
        <w:adjustRightInd w:val="0"/>
        <w:spacing w:after="0" w:line="360" w:lineRule="auto"/>
        <w:jc w:val="both"/>
        <w:rPr>
          <w:rFonts w:ascii="Times New Roman" w:hAnsi="Times New Roman" w:cs="Times New Roman"/>
          <w:sz w:val="24"/>
          <w:szCs w:val="24"/>
        </w:rPr>
      </w:pPr>
      <w:r w:rsidRPr="00691FA4">
        <w:rPr>
          <w:rFonts w:ascii="Times New Roman" w:hAnsi="Times New Roman" w:cs="Times New Roman"/>
          <w:sz w:val="24"/>
          <w:szCs w:val="24"/>
        </w:rPr>
        <w:t>Dès 2014, le ministère</w:t>
      </w:r>
      <w:r>
        <w:rPr>
          <w:rFonts w:ascii="Times New Roman" w:hAnsi="Times New Roman" w:cs="Times New Roman"/>
          <w:sz w:val="24"/>
          <w:szCs w:val="24"/>
        </w:rPr>
        <w:t xml:space="preserve"> </w:t>
      </w:r>
      <w:r w:rsidRPr="00691FA4">
        <w:rPr>
          <w:rFonts w:ascii="Times New Roman" w:hAnsi="Times New Roman" w:cs="Times New Roman"/>
          <w:sz w:val="24"/>
          <w:szCs w:val="24"/>
        </w:rPr>
        <w:t>des Mines a estimé à plus d’un million le nombre d’orpailleurs artisanaux.</w:t>
      </w:r>
      <w:r>
        <w:rPr>
          <w:rFonts w:ascii="Times New Roman" w:hAnsi="Times New Roman" w:cs="Times New Roman"/>
          <w:sz w:val="24"/>
          <w:szCs w:val="24"/>
        </w:rPr>
        <w:t xml:space="preserve"> </w:t>
      </w:r>
      <w:r w:rsidRPr="00691FA4">
        <w:rPr>
          <w:rFonts w:ascii="Times New Roman" w:hAnsi="Times New Roman" w:cs="Times New Roman"/>
          <w:sz w:val="24"/>
          <w:szCs w:val="24"/>
        </w:rPr>
        <w:t>L’orpaillage a été encouragé par l’État à la recherche de rente après la partition</w:t>
      </w:r>
      <w:r>
        <w:rPr>
          <w:rFonts w:ascii="Times New Roman" w:hAnsi="Times New Roman" w:cs="Times New Roman"/>
          <w:sz w:val="24"/>
          <w:szCs w:val="24"/>
        </w:rPr>
        <w:t xml:space="preserve"> </w:t>
      </w:r>
      <w:r w:rsidRPr="00691FA4">
        <w:rPr>
          <w:rFonts w:ascii="Times New Roman" w:hAnsi="Times New Roman" w:cs="Times New Roman"/>
          <w:sz w:val="24"/>
          <w:szCs w:val="24"/>
        </w:rPr>
        <w:t>de 2011. Alors qu’en 2009 l’or contribuait à 1 % des exportations du pays, il en</w:t>
      </w:r>
      <w:r>
        <w:rPr>
          <w:rFonts w:ascii="Times New Roman" w:hAnsi="Times New Roman" w:cs="Times New Roman"/>
          <w:sz w:val="24"/>
          <w:szCs w:val="24"/>
        </w:rPr>
        <w:t xml:space="preserve"> </w:t>
      </w:r>
      <w:r w:rsidRPr="00691FA4">
        <w:rPr>
          <w:rFonts w:ascii="Times New Roman" w:hAnsi="Times New Roman" w:cs="Times New Roman"/>
          <w:sz w:val="24"/>
          <w:szCs w:val="24"/>
        </w:rPr>
        <w:t>fournit plus de la moitié aujourd’hui, dépassant en valeur la contribution du pétrole</w:t>
      </w:r>
      <w:r>
        <w:rPr>
          <w:rFonts w:ascii="Times New Roman" w:hAnsi="Times New Roman" w:cs="Times New Roman"/>
          <w:sz w:val="24"/>
          <w:szCs w:val="24"/>
        </w:rPr>
        <w:t xml:space="preserve"> </w:t>
      </w:r>
      <w:r w:rsidRPr="00691FA4">
        <w:rPr>
          <w:rFonts w:ascii="Times New Roman" w:hAnsi="Times New Roman" w:cs="Times New Roman"/>
          <w:sz w:val="24"/>
          <w:szCs w:val="24"/>
        </w:rPr>
        <w:t>dont les gisements sont massivement situés dans le sud du pays qui a fait sécession</w:t>
      </w:r>
      <w:r>
        <w:rPr>
          <w:rFonts w:ascii="Times New Roman" w:hAnsi="Times New Roman" w:cs="Times New Roman"/>
          <w:sz w:val="24"/>
          <w:szCs w:val="24"/>
        </w:rPr>
        <w:t xml:space="preserve"> </w:t>
      </w:r>
      <w:r w:rsidRPr="00691FA4">
        <w:rPr>
          <w:rFonts w:ascii="Times New Roman" w:hAnsi="Times New Roman" w:cs="Times New Roman"/>
          <w:sz w:val="24"/>
          <w:szCs w:val="24"/>
        </w:rPr>
        <w:t>et dont les cours se sont contractés en 2008-2009 puis entre 2014 et 2016.</w:t>
      </w:r>
      <w:r>
        <w:rPr>
          <w:rFonts w:ascii="Times New Roman" w:hAnsi="Times New Roman" w:cs="Times New Roman"/>
          <w:sz w:val="24"/>
          <w:szCs w:val="24"/>
        </w:rPr>
        <w:t xml:space="preserve"> </w:t>
      </w:r>
      <w:r w:rsidRPr="00691FA4">
        <w:rPr>
          <w:rFonts w:ascii="Times New Roman" w:hAnsi="Times New Roman" w:cs="Times New Roman"/>
          <w:sz w:val="24"/>
          <w:szCs w:val="24"/>
        </w:rPr>
        <w:t>Doublant le Mali, le Soudan serait devenu en 2014 le troisième exportateur</w:t>
      </w:r>
      <w:r>
        <w:rPr>
          <w:rFonts w:ascii="Times New Roman" w:hAnsi="Times New Roman" w:cs="Times New Roman"/>
          <w:sz w:val="24"/>
          <w:szCs w:val="24"/>
        </w:rPr>
        <w:t xml:space="preserve"> </w:t>
      </w:r>
      <w:r w:rsidRPr="00691FA4">
        <w:rPr>
          <w:rFonts w:ascii="Times New Roman" w:hAnsi="Times New Roman" w:cs="Times New Roman"/>
          <w:sz w:val="24"/>
          <w:szCs w:val="24"/>
        </w:rPr>
        <w:t>d’Afrique et peut-être le deuxième aujourd’hui devant le Ghana (107 t annoncées</w:t>
      </w:r>
      <w:r>
        <w:rPr>
          <w:rFonts w:ascii="Times New Roman" w:hAnsi="Times New Roman" w:cs="Times New Roman"/>
          <w:sz w:val="24"/>
          <w:szCs w:val="24"/>
        </w:rPr>
        <w:t xml:space="preserve"> </w:t>
      </w:r>
      <w:r w:rsidRPr="00691FA4">
        <w:rPr>
          <w:rFonts w:ascii="Times New Roman" w:hAnsi="Times New Roman" w:cs="Times New Roman"/>
          <w:sz w:val="24"/>
          <w:szCs w:val="24"/>
        </w:rPr>
        <w:t>en 2017, ce qui en ferait le neuvième mondial) 9 [Chevrillon-Guibert, 2016].</w:t>
      </w:r>
    </w:p>
    <w:p w:rsidR="00BB3FFA" w:rsidRPr="00BB3FFA" w:rsidRDefault="00BB3FFA" w:rsidP="00BB3FFA">
      <w:pPr>
        <w:autoSpaceDE w:val="0"/>
        <w:autoSpaceDN w:val="0"/>
        <w:adjustRightInd w:val="0"/>
        <w:spacing w:after="0" w:line="360" w:lineRule="auto"/>
        <w:jc w:val="both"/>
        <w:rPr>
          <w:rFonts w:ascii="Times New Roman" w:hAnsi="Times New Roman" w:cs="Times New Roman"/>
          <w:sz w:val="24"/>
          <w:szCs w:val="24"/>
        </w:rPr>
      </w:pPr>
    </w:p>
    <w:p w:rsidR="00BB3FFA" w:rsidRDefault="00BB3FFA" w:rsidP="00BB3FFA">
      <w:pPr>
        <w:autoSpaceDE w:val="0"/>
        <w:autoSpaceDN w:val="0"/>
        <w:adjustRightInd w:val="0"/>
        <w:spacing w:after="0" w:line="360" w:lineRule="auto"/>
        <w:jc w:val="both"/>
        <w:rPr>
          <w:rFonts w:ascii="Times New Roman" w:hAnsi="Times New Roman" w:cs="Times New Roman"/>
          <w:sz w:val="24"/>
          <w:szCs w:val="24"/>
        </w:rPr>
      </w:pPr>
      <w:r w:rsidRPr="00BB3FFA">
        <w:rPr>
          <w:rFonts w:ascii="Times New Roman" w:hAnsi="Times New Roman" w:cs="Times New Roman"/>
          <w:sz w:val="24"/>
          <w:szCs w:val="24"/>
        </w:rPr>
        <w:t>Une</w:t>
      </w:r>
      <w:r>
        <w:rPr>
          <w:rFonts w:ascii="Times New Roman" w:hAnsi="Times New Roman" w:cs="Times New Roman"/>
          <w:sz w:val="24"/>
          <w:szCs w:val="24"/>
        </w:rPr>
        <w:t xml:space="preserve"> </w:t>
      </w:r>
      <w:r w:rsidRPr="00BB3FFA">
        <w:rPr>
          <w:rFonts w:ascii="Times New Roman" w:hAnsi="Times New Roman" w:cs="Times New Roman"/>
          <w:sz w:val="24"/>
          <w:szCs w:val="24"/>
        </w:rPr>
        <w:t>raffinerie d’or a été inaugurée en 2012 10, tandis que, selon le ministère des Mines,</w:t>
      </w:r>
      <w:r>
        <w:rPr>
          <w:rFonts w:ascii="Times New Roman" w:hAnsi="Times New Roman" w:cs="Times New Roman"/>
          <w:sz w:val="24"/>
          <w:szCs w:val="24"/>
        </w:rPr>
        <w:t xml:space="preserve"> </w:t>
      </w:r>
      <w:r w:rsidRPr="00BB3FFA">
        <w:rPr>
          <w:rFonts w:ascii="Times New Roman" w:hAnsi="Times New Roman" w:cs="Times New Roman"/>
          <w:sz w:val="24"/>
          <w:szCs w:val="24"/>
        </w:rPr>
        <w:t>plus de 400 sociétés aurifères seraient enregistrées fin 2017.</w:t>
      </w:r>
    </w:p>
    <w:p w:rsidR="00DD62CB" w:rsidRDefault="00DD62CB" w:rsidP="00DD62CB">
      <w:pPr>
        <w:autoSpaceDE w:val="0"/>
        <w:autoSpaceDN w:val="0"/>
        <w:adjustRightInd w:val="0"/>
        <w:spacing w:after="0" w:line="360" w:lineRule="auto"/>
        <w:jc w:val="both"/>
        <w:rPr>
          <w:rFonts w:ascii="Times New Roman" w:hAnsi="Times New Roman" w:cs="Times New Roman"/>
          <w:sz w:val="24"/>
          <w:szCs w:val="24"/>
        </w:rPr>
      </w:pPr>
      <w:r w:rsidRPr="00DD62CB">
        <w:rPr>
          <w:rFonts w:ascii="Times New Roman" w:hAnsi="Times New Roman" w:cs="Times New Roman"/>
          <w:sz w:val="24"/>
          <w:szCs w:val="24"/>
        </w:rPr>
        <w:t>La levée de</w:t>
      </w:r>
      <w:r>
        <w:rPr>
          <w:rFonts w:ascii="Times New Roman" w:hAnsi="Times New Roman" w:cs="Times New Roman"/>
          <w:sz w:val="24"/>
          <w:szCs w:val="24"/>
        </w:rPr>
        <w:t xml:space="preserve"> </w:t>
      </w:r>
      <w:r w:rsidRPr="00DD62CB">
        <w:rPr>
          <w:rFonts w:ascii="Times New Roman" w:hAnsi="Times New Roman" w:cs="Times New Roman"/>
          <w:sz w:val="24"/>
          <w:szCs w:val="24"/>
        </w:rPr>
        <w:t>l’embargo américain fin 2017 et l’intérêt de certains investisseu</w:t>
      </w:r>
      <w:r>
        <w:rPr>
          <w:rFonts w:ascii="Times New Roman" w:hAnsi="Times New Roman" w:cs="Times New Roman"/>
          <w:sz w:val="24"/>
          <w:szCs w:val="24"/>
        </w:rPr>
        <w:t xml:space="preserve">rs non occidentaux </w:t>
      </w:r>
      <w:r w:rsidRPr="00DD62CB">
        <w:rPr>
          <w:rFonts w:ascii="Times New Roman" w:hAnsi="Times New Roman" w:cs="Times New Roman"/>
          <w:sz w:val="24"/>
          <w:szCs w:val="24"/>
        </w:rPr>
        <w:t>pour un pays comme le Soudan (turcs, chinois, marocains, russes) pourraient</w:t>
      </w:r>
      <w:r>
        <w:rPr>
          <w:rFonts w:ascii="Times New Roman" w:hAnsi="Times New Roman" w:cs="Times New Roman"/>
          <w:sz w:val="24"/>
          <w:szCs w:val="24"/>
        </w:rPr>
        <w:t xml:space="preserve"> </w:t>
      </w:r>
      <w:r w:rsidRPr="00DD62CB">
        <w:rPr>
          <w:rFonts w:ascii="Times New Roman" w:hAnsi="Times New Roman" w:cs="Times New Roman"/>
          <w:sz w:val="24"/>
          <w:szCs w:val="24"/>
        </w:rPr>
        <w:t>conduire au développement de nouveaux grands projets industriels. Certaines</w:t>
      </w:r>
      <w:r>
        <w:rPr>
          <w:rFonts w:ascii="Times New Roman" w:hAnsi="Times New Roman" w:cs="Times New Roman"/>
          <w:sz w:val="24"/>
          <w:szCs w:val="24"/>
        </w:rPr>
        <w:t xml:space="preserve"> </w:t>
      </w:r>
      <w:r w:rsidRPr="00DD62CB">
        <w:rPr>
          <w:rFonts w:ascii="Times New Roman" w:hAnsi="Times New Roman" w:cs="Times New Roman"/>
          <w:sz w:val="24"/>
          <w:szCs w:val="24"/>
        </w:rPr>
        <w:t>entreprises canadiennes se sont aussi lancées dans l’aventure, même si la crise</w:t>
      </w:r>
      <w:r>
        <w:rPr>
          <w:rFonts w:ascii="Times New Roman" w:hAnsi="Times New Roman" w:cs="Times New Roman"/>
          <w:sz w:val="24"/>
          <w:szCs w:val="24"/>
        </w:rPr>
        <w:t xml:space="preserve"> </w:t>
      </w:r>
      <w:r w:rsidRPr="00DD62CB">
        <w:rPr>
          <w:rFonts w:ascii="Times New Roman" w:hAnsi="Times New Roman" w:cs="Times New Roman"/>
          <w:sz w:val="24"/>
          <w:szCs w:val="24"/>
        </w:rPr>
        <w:t>économique et monétaire dramatique qui frappe le pays et un régime prédateur</w:t>
      </w:r>
      <w:r>
        <w:rPr>
          <w:rFonts w:ascii="Times New Roman" w:hAnsi="Times New Roman" w:cs="Times New Roman"/>
          <w:sz w:val="24"/>
          <w:szCs w:val="24"/>
        </w:rPr>
        <w:t xml:space="preserve"> </w:t>
      </w:r>
      <w:r w:rsidRPr="00DD62CB">
        <w:rPr>
          <w:rFonts w:ascii="Times New Roman" w:hAnsi="Times New Roman" w:cs="Times New Roman"/>
          <w:sz w:val="24"/>
          <w:szCs w:val="24"/>
        </w:rPr>
        <w:t>conduisent les opérateurs à une grande prudence.</w:t>
      </w:r>
    </w:p>
    <w:p w:rsidR="00604168" w:rsidRDefault="00604168" w:rsidP="00DD62CB">
      <w:pPr>
        <w:autoSpaceDE w:val="0"/>
        <w:autoSpaceDN w:val="0"/>
        <w:adjustRightInd w:val="0"/>
        <w:spacing w:after="0" w:line="360" w:lineRule="auto"/>
        <w:jc w:val="both"/>
        <w:rPr>
          <w:rFonts w:ascii="Times New Roman" w:hAnsi="Times New Roman" w:cs="Times New Roman"/>
          <w:sz w:val="24"/>
          <w:szCs w:val="24"/>
        </w:rPr>
      </w:pPr>
    </w:p>
    <w:p w:rsidR="00604168" w:rsidRDefault="00604168" w:rsidP="00DD62C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Guibert</w:t>
      </w:r>
    </w:p>
    <w:p w:rsidR="00D47F25" w:rsidRDefault="00D47F25" w:rsidP="00DD62CB">
      <w:pPr>
        <w:autoSpaceDE w:val="0"/>
        <w:autoSpaceDN w:val="0"/>
        <w:adjustRightInd w:val="0"/>
        <w:spacing w:after="0" w:line="360" w:lineRule="auto"/>
        <w:jc w:val="both"/>
        <w:rPr>
          <w:rFonts w:ascii="Times New Roman" w:hAnsi="Times New Roman" w:cs="Times New Roman"/>
          <w:sz w:val="24"/>
        </w:rPr>
      </w:pPr>
      <w:r w:rsidRPr="00F92BB1">
        <w:rPr>
          <w:rFonts w:ascii="Times New Roman" w:hAnsi="Times New Roman" w:cs="Times New Roman"/>
          <w:sz w:val="24"/>
        </w:rPr>
        <w:t xml:space="preserve">Dans les années 2000, alors que la production nationale de pétrole atteignait son maximum, la rente pétrolière ne représentait qu’une faible part du PIB national. Mais elle jouait un rôle déterminant dans l’économie soudanaise puisqu’elle apportait l’essentiel des devises étrangères et représentait plus de la moitié des revenus du gouvernement central. Grâce à cette manne précieuse, le régime a multiplié les projets de développement (routes, ponts, barrages) pendant plus d’une décennie et créé de nombreuses subventions, s’affirmant comme un « État développeur » aux yeux des populations (Jones et </w:t>
      </w:r>
      <w:proofErr w:type="gramStart"/>
      <w:r w:rsidRPr="00F92BB1">
        <w:rPr>
          <w:rFonts w:ascii="Times New Roman" w:hAnsi="Times New Roman" w:cs="Times New Roman"/>
          <w:sz w:val="24"/>
        </w:rPr>
        <w:t>al.,</w:t>
      </w:r>
      <w:proofErr w:type="gramEnd"/>
      <w:r w:rsidRPr="00F92BB1">
        <w:rPr>
          <w:rFonts w:ascii="Times New Roman" w:hAnsi="Times New Roman" w:cs="Times New Roman"/>
          <w:sz w:val="24"/>
        </w:rPr>
        <w:t xml:space="preserve"> 2013). Cette rente lucrative a également permis au régime de s’assurer différents soutiens. Sa perte a plongé le pays dans une terrible crise économique qui n’a épargné aucun acteur et a constitué un véritable défi pour le régime.</w:t>
      </w:r>
    </w:p>
    <w:p w:rsidR="00F92BB1" w:rsidRPr="00F92BB1" w:rsidRDefault="00F92BB1" w:rsidP="00DD62CB">
      <w:pPr>
        <w:autoSpaceDE w:val="0"/>
        <w:autoSpaceDN w:val="0"/>
        <w:adjustRightInd w:val="0"/>
        <w:spacing w:after="0" w:line="360" w:lineRule="auto"/>
        <w:jc w:val="both"/>
        <w:rPr>
          <w:rFonts w:ascii="Times New Roman" w:hAnsi="Times New Roman" w:cs="Times New Roman"/>
          <w:sz w:val="28"/>
          <w:szCs w:val="24"/>
        </w:rPr>
      </w:pPr>
    </w:p>
    <w:p w:rsidR="00604168" w:rsidRDefault="00604168" w:rsidP="00604168">
      <w:pPr>
        <w:autoSpaceDE w:val="0"/>
        <w:autoSpaceDN w:val="0"/>
        <w:adjustRightInd w:val="0"/>
        <w:spacing w:after="0" w:line="360" w:lineRule="auto"/>
        <w:jc w:val="both"/>
        <w:rPr>
          <w:rFonts w:ascii="Times New Roman" w:hAnsi="Times New Roman" w:cs="Times New Roman"/>
          <w:color w:val="000000"/>
          <w:sz w:val="24"/>
          <w:szCs w:val="18"/>
          <w:shd w:val="clear" w:color="auto" w:fill="FFFFFF"/>
        </w:rPr>
      </w:pPr>
      <w:r w:rsidRPr="00604168">
        <w:rPr>
          <w:rFonts w:ascii="Times New Roman" w:hAnsi="Times New Roman" w:cs="Times New Roman"/>
          <w:color w:val="000000"/>
          <w:sz w:val="24"/>
          <w:szCs w:val="18"/>
          <w:shd w:val="clear" w:color="auto" w:fill="FFFFFF"/>
        </w:rPr>
        <w:t>Compte tenu de l’effondrement concomitant des cours du pétrole, le gouvernement de Khartoum a subi une considérable perte de revenus. En 2010, le Soudan déclarait exporter pour USD 9,69 milliards de produits pétroliers contre seulement USD 627 millions en 2015</w:t>
      </w:r>
    </w:p>
    <w:p w:rsidR="00F92BB1" w:rsidRPr="00604168" w:rsidRDefault="00F92BB1" w:rsidP="00604168">
      <w:pPr>
        <w:autoSpaceDE w:val="0"/>
        <w:autoSpaceDN w:val="0"/>
        <w:adjustRightInd w:val="0"/>
        <w:spacing w:after="0" w:line="360" w:lineRule="auto"/>
        <w:jc w:val="both"/>
        <w:rPr>
          <w:rFonts w:ascii="Times New Roman" w:hAnsi="Times New Roman" w:cs="Times New Roman"/>
          <w:sz w:val="36"/>
          <w:szCs w:val="24"/>
        </w:rPr>
      </w:pPr>
      <w:bookmarkStart w:id="0" w:name="_GoBack"/>
      <w:bookmarkEnd w:id="0"/>
    </w:p>
    <w:sectPr w:rsidR="00F92BB1" w:rsidRPr="006041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FA4"/>
    <w:rsid w:val="00604168"/>
    <w:rsid w:val="00691FA4"/>
    <w:rsid w:val="00705C43"/>
    <w:rsid w:val="00BB3FFA"/>
    <w:rsid w:val="00CD430F"/>
    <w:rsid w:val="00D47F25"/>
    <w:rsid w:val="00DD62CB"/>
    <w:rsid w:val="00F92B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4932FF-D965-4188-B020-3851C2AB4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378</Words>
  <Characters>2080</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2021-03-31T06:53:00Z</dcterms:created>
  <dcterms:modified xsi:type="dcterms:W3CDTF">2021-03-31T12:27:00Z</dcterms:modified>
</cp:coreProperties>
</file>