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14972" w:rsidRPr="00214972" w:rsidRDefault="00214972" w:rsidP="00214972">
      <w:pPr>
        <w:pStyle w:val="Paragraphedeliste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4972">
        <w:rPr>
          <w:rFonts w:ascii="Times New Roman" w:hAnsi="Times New Roman" w:cs="Times New Roman"/>
          <w:sz w:val="24"/>
          <w:szCs w:val="24"/>
        </w:rPr>
        <w:t>Quelles sont à ce jour, la totalité des sommes transférées aux collectivités (conseils régionaux et communes) dans le cadre des répartitions du FMDL ?</w:t>
      </w:r>
    </w:p>
    <w:p w:rsidR="00214972" w:rsidRPr="00214972" w:rsidRDefault="00214972" w:rsidP="00214972">
      <w:pPr>
        <w:pStyle w:val="Paragraphedeliste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4972">
        <w:rPr>
          <w:rFonts w:ascii="Times New Roman" w:hAnsi="Times New Roman" w:cs="Times New Roman"/>
          <w:sz w:val="24"/>
          <w:szCs w:val="24"/>
        </w:rPr>
        <w:t xml:space="preserve">Quels sont des cas d’exemple </w:t>
      </w:r>
      <w:r w:rsidR="00BC7AE1">
        <w:rPr>
          <w:rFonts w:ascii="Times New Roman" w:hAnsi="Times New Roman" w:cs="Times New Roman"/>
          <w:sz w:val="24"/>
          <w:szCs w:val="24"/>
        </w:rPr>
        <w:t xml:space="preserve">de bonne innovation en matière d’investissement et de bonne gouvernance locale impulsée par la gestion local du FMDL ? </w:t>
      </w:r>
    </w:p>
    <w:sectPr w:rsidR="00214972" w:rsidRPr="0021497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E35EEC"/>
    <w:multiLevelType w:val="hybridMultilevel"/>
    <w:tmpl w:val="8E06EEB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94252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972"/>
    <w:rsid w:val="00214972"/>
    <w:rsid w:val="00B4425F"/>
    <w:rsid w:val="00BC7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A3B2C3"/>
  <w15:chartTrackingRefBased/>
  <w15:docId w15:val="{189B43CA-6F65-4F48-9D51-1DDBAD153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149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46</Words>
  <Characters>254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2023-04-30T09:17:00Z</dcterms:created>
  <dcterms:modified xsi:type="dcterms:W3CDTF">2023-04-30T09:21:00Z</dcterms:modified>
</cp:coreProperties>
</file>