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E8E" w:rsidRDefault="00D76FD4" w:rsidP="00D76FD4">
      <w:pPr>
        <w:jc w:val="center"/>
        <w:rPr>
          <w:rFonts w:ascii="Times New Roman" w:hAnsi="Times New Roman" w:cs="Times New Roman"/>
          <w:b/>
          <w:sz w:val="24"/>
        </w:rPr>
      </w:pPr>
      <w:r w:rsidRPr="00D76FD4">
        <w:rPr>
          <w:rFonts w:ascii="Times New Roman" w:hAnsi="Times New Roman" w:cs="Times New Roman"/>
          <w:b/>
          <w:sz w:val="24"/>
        </w:rPr>
        <w:t>Niger</w:t>
      </w:r>
      <w:r w:rsidR="00BF4DEB">
        <w:rPr>
          <w:rFonts w:ascii="Times New Roman" w:hAnsi="Times New Roman" w:cs="Times New Roman"/>
          <w:b/>
          <w:sz w:val="24"/>
        </w:rPr>
        <w:t xml:space="preserve"> : </w:t>
      </w:r>
      <w:r w:rsidRPr="00D76FD4">
        <w:rPr>
          <w:rFonts w:ascii="Times New Roman" w:hAnsi="Times New Roman" w:cs="Times New Roman"/>
          <w:b/>
          <w:sz w:val="24"/>
        </w:rPr>
        <w:t xml:space="preserve">La quête </w:t>
      </w:r>
      <w:r w:rsidR="00BF4DEB" w:rsidRPr="00D76FD4">
        <w:rPr>
          <w:rFonts w:ascii="Times New Roman" w:hAnsi="Times New Roman" w:cs="Times New Roman"/>
          <w:b/>
          <w:sz w:val="24"/>
        </w:rPr>
        <w:t>d’un</w:t>
      </w:r>
      <w:r w:rsidRPr="00D76FD4">
        <w:rPr>
          <w:rFonts w:ascii="Times New Roman" w:hAnsi="Times New Roman" w:cs="Times New Roman"/>
          <w:b/>
          <w:sz w:val="24"/>
        </w:rPr>
        <w:t xml:space="preserve"> développement dans un contexte adverse</w:t>
      </w:r>
    </w:p>
    <w:p w:rsidR="002F3A05" w:rsidRDefault="002F3A05" w:rsidP="002F3A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3A05">
        <w:rPr>
          <w:rFonts w:ascii="Times New Roman" w:hAnsi="Times New Roman" w:cs="Times New Roman"/>
          <w:sz w:val="24"/>
          <w:szCs w:val="24"/>
        </w:rPr>
        <w:t>Rafael Aguirre Unceta</w:t>
      </w:r>
      <w:r w:rsidR="00DA2186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11544F" w:rsidRPr="0011544F" w:rsidRDefault="0011544F" w:rsidP="001154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776E6B"/>
          <w:sz w:val="24"/>
          <w:szCs w:val="24"/>
        </w:rPr>
      </w:pPr>
      <w:r w:rsidRPr="0011544F">
        <w:rPr>
          <w:rFonts w:ascii="Times New Roman" w:hAnsi="Times New Roman" w:cs="Times New Roman"/>
          <w:b/>
          <w:bCs/>
          <w:color w:val="776E6B"/>
          <w:sz w:val="24"/>
          <w:szCs w:val="24"/>
        </w:rPr>
        <w:t>Résumé</w:t>
      </w:r>
    </w:p>
    <w:p w:rsidR="009622E7" w:rsidRDefault="0011544F" w:rsidP="001154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1544F">
        <w:rPr>
          <w:rFonts w:ascii="Times New Roman" w:hAnsi="Times New Roman" w:cs="Times New Roman"/>
          <w:color w:val="000000"/>
          <w:sz w:val="24"/>
          <w:szCs w:val="24"/>
        </w:rPr>
        <w:t>Le Niger, pays parmi les plus pauvres du monde, est confronté à des risques et défis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544F">
        <w:rPr>
          <w:rFonts w:ascii="Times New Roman" w:hAnsi="Times New Roman" w:cs="Times New Roman"/>
          <w:color w:val="000000"/>
          <w:sz w:val="24"/>
          <w:szCs w:val="24"/>
        </w:rPr>
        <w:t>nombreux et divers : insécurité alimentaire, extrême vulnérabilité sociale, escalade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544F">
        <w:rPr>
          <w:rFonts w:ascii="Times New Roman" w:hAnsi="Times New Roman" w:cs="Times New Roman"/>
          <w:color w:val="000000"/>
          <w:sz w:val="24"/>
          <w:szCs w:val="24"/>
        </w:rPr>
        <w:t>démographique, menaces terroristes…La présente analyse dégage les modalités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544F">
        <w:rPr>
          <w:rFonts w:ascii="Times New Roman" w:hAnsi="Times New Roman" w:cs="Times New Roman"/>
          <w:color w:val="000000"/>
          <w:sz w:val="24"/>
          <w:szCs w:val="24"/>
        </w:rPr>
        <w:t>selon lesquelles la politique budgétaire du Niger a cherché à relever ces différents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544F">
        <w:rPr>
          <w:rFonts w:ascii="Times New Roman" w:hAnsi="Times New Roman" w:cs="Times New Roman"/>
          <w:color w:val="000000"/>
          <w:sz w:val="24"/>
          <w:szCs w:val="24"/>
        </w:rPr>
        <w:t>défis, dans un cadre financier public un peu amélioré depuis quelques années en dépit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544F">
        <w:rPr>
          <w:rFonts w:ascii="Times New Roman" w:hAnsi="Times New Roman" w:cs="Times New Roman"/>
          <w:color w:val="000000"/>
          <w:sz w:val="24"/>
          <w:szCs w:val="24"/>
        </w:rPr>
        <w:t>d’une détérioration récente. Au-delà de la mobilisation des ressources financières,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544F">
        <w:rPr>
          <w:rFonts w:ascii="Times New Roman" w:hAnsi="Times New Roman" w:cs="Times New Roman"/>
          <w:color w:val="000000"/>
          <w:sz w:val="24"/>
          <w:szCs w:val="24"/>
        </w:rPr>
        <w:t>les enjeux essentiels proviennent de leur utilisation et gestion par les politiques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544F">
        <w:rPr>
          <w:rFonts w:ascii="Times New Roman" w:hAnsi="Times New Roman" w:cs="Times New Roman"/>
          <w:color w:val="000000"/>
          <w:sz w:val="24"/>
          <w:szCs w:val="24"/>
        </w:rPr>
        <w:t>publiques.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622E7" w:rsidRDefault="009622E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11544F" w:rsidRDefault="009622E7" w:rsidP="001154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2E7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:rsidR="00F42A82" w:rsidRDefault="005A0B61" w:rsidP="009434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9434C8">
        <w:rPr>
          <w:rFonts w:ascii="Times New Roman" w:hAnsi="Times New Roman" w:cs="Times New Roman"/>
          <w:color w:val="FF0000"/>
          <w:sz w:val="24"/>
          <w:szCs w:val="24"/>
        </w:rPr>
        <w:t>Enclavé dans la partie Sud du Sahara, le Niger est l'un des pays les plus pauvres du monde. Son indice</w:t>
      </w:r>
      <w:r w:rsidR="009434C8" w:rsidRPr="009434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434C8">
        <w:rPr>
          <w:rFonts w:ascii="Times New Roman" w:hAnsi="Times New Roman" w:cs="Times New Roman"/>
          <w:color w:val="FF0000"/>
          <w:sz w:val="24"/>
          <w:szCs w:val="24"/>
        </w:rPr>
        <w:t>de développement humain (IDH) le place aux dernières positions. Dans sa quête de développement, le</w:t>
      </w:r>
      <w:r w:rsidR="009434C8" w:rsidRPr="009434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434C8">
        <w:rPr>
          <w:rFonts w:ascii="Times New Roman" w:hAnsi="Times New Roman" w:cs="Times New Roman"/>
          <w:color w:val="FF0000"/>
          <w:sz w:val="24"/>
          <w:szCs w:val="24"/>
        </w:rPr>
        <w:t>pays fait face à des défis majeurs</w:t>
      </w:r>
      <w:r w:rsidRPr="005A0B61">
        <w:rPr>
          <w:rFonts w:ascii="Times New Roman" w:hAnsi="Times New Roman" w:cs="Times New Roman"/>
          <w:color w:val="212121"/>
          <w:sz w:val="24"/>
          <w:szCs w:val="24"/>
        </w:rPr>
        <w:t>. Le premier concerne l'insécurité alimentaire de sa population. Avec</w:t>
      </w:r>
      <w:r w:rsidR="009434C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5A0B61">
        <w:rPr>
          <w:rFonts w:ascii="Times New Roman" w:hAnsi="Times New Roman" w:cs="Times New Roman"/>
          <w:color w:val="212121"/>
          <w:sz w:val="24"/>
          <w:szCs w:val="24"/>
        </w:rPr>
        <w:t>une agriculture fragile, tributaire d’une pluviométrie irrégulière et des terres arables limitées, le Niger</w:t>
      </w:r>
      <w:r w:rsidR="009434C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5A0B61">
        <w:rPr>
          <w:rFonts w:ascii="Times New Roman" w:hAnsi="Times New Roman" w:cs="Times New Roman"/>
          <w:color w:val="212121"/>
          <w:sz w:val="24"/>
          <w:szCs w:val="24"/>
        </w:rPr>
        <w:t>continue de souffrir des graves crises alimentaires (2005, 2010, 2012). Une croissance démographique</w:t>
      </w:r>
      <w:r w:rsidR="009434C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5A0B61">
        <w:rPr>
          <w:rFonts w:ascii="Times New Roman" w:hAnsi="Times New Roman" w:cs="Times New Roman"/>
          <w:color w:val="212121"/>
          <w:sz w:val="24"/>
          <w:szCs w:val="24"/>
        </w:rPr>
        <w:t xml:space="preserve">très élevée aggrave les difficultés. </w:t>
      </w:r>
      <w:r w:rsidRPr="009434C8">
        <w:rPr>
          <w:rFonts w:ascii="Times New Roman" w:hAnsi="Times New Roman" w:cs="Times New Roman"/>
          <w:color w:val="FF0000"/>
          <w:sz w:val="24"/>
          <w:szCs w:val="24"/>
        </w:rPr>
        <w:t>Ces dernières années une autre menace est apparue, avec le</w:t>
      </w:r>
      <w:r w:rsidR="009434C8" w:rsidRPr="009434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434C8">
        <w:rPr>
          <w:rFonts w:ascii="Times New Roman" w:hAnsi="Times New Roman" w:cs="Times New Roman"/>
          <w:color w:val="FF0000"/>
          <w:sz w:val="24"/>
          <w:szCs w:val="24"/>
        </w:rPr>
        <w:t>terrorisme des groupes djihadistes : le Niger se retrouve à la jonction de divers foyers d'insécurité (Mali</w:t>
      </w:r>
      <w:r w:rsidR="009434C8" w:rsidRPr="009434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434C8">
        <w:rPr>
          <w:rFonts w:ascii="Times New Roman" w:hAnsi="Times New Roman" w:cs="Times New Roman"/>
          <w:color w:val="FF0000"/>
          <w:sz w:val="24"/>
          <w:szCs w:val="24"/>
        </w:rPr>
        <w:t>et Libye au Nord et à l’Ouest, Nigeria au Sud-Est)</w:t>
      </w:r>
      <w:r w:rsidRPr="005A0B61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D36926" w:rsidRDefault="00272FA0" w:rsidP="0021058F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D36926">
        <w:rPr>
          <w:rFonts w:ascii="Times New Roman" w:hAnsi="Times New Roman" w:cs="Times New Roman"/>
          <w:color w:val="FF0000"/>
          <w:sz w:val="24"/>
          <w:szCs w:val="24"/>
        </w:rPr>
        <w:t>Répondre à ces défis nécessite des moyens considérables dans un pays à faibles ressources financières,</w:t>
      </w:r>
      <w:r w:rsidR="0021058F" w:rsidRPr="00D369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36926">
        <w:rPr>
          <w:rFonts w:ascii="Times New Roman" w:hAnsi="Times New Roman" w:cs="Times New Roman"/>
          <w:color w:val="FF0000"/>
          <w:sz w:val="24"/>
          <w:szCs w:val="24"/>
        </w:rPr>
        <w:t>qui doit simultanément relever d'autres défis sociaux et économiques vitaux</w:t>
      </w:r>
      <w:r w:rsidRPr="00272FA0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:rsidR="00525DBC" w:rsidRDefault="00D36926" w:rsidP="0021058F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26">
        <w:rPr>
          <w:rFonts w:ascii="Times New Roman" w:hAnsi="Times New Roman" w:cs="Times New Roman"/>
          <w:b/>
          <w:color w:val="212121"/>
          <w:sz w:val="24"/>
          <w:szCs w:val="24"/>
        </w:rPr>
        <w:t>Objectif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r w:rsidR="00272FA0" w:rsidRPr="00272FA0">
        <w:rPr>
          <w:rFonts w:ascii="Times New Roman" w:hAnsi="Times New Roman" w:cs="Times New Roman"/>
          <w:color w:val="212121"/>
          <w:sz w:val="24"/>
          <w:szCs w:val="24"/>
        </w:rPr>
        <w:t>La présente analyse</w:t>
      </w:r>
      <w:r w:rsidR="0021058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272FA0" w:rsidRPr="00272FA0">
        <w:rPr>
          <w:rFonts w:ascii="Times New Roman" w:hAnsi="Times New Roman" w:cs="Times New Roman"/>
          <w:color w:val="212121"/>
          <w:sz w:val="24"/>
          <w:szCs w:val="24"/>
        </w:rPr>
        <w:t>recherche comment les politiques publiques ont tenté de répondre à ces différents défis, dans un</w:t>
      </w:r>
      <w:r w:rsidR="0021058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272FA0" w:rsidRPr="00272FA0">
        <w:rPr>
          <w:rFonts w:ascii="Times New Roman" w:hAnsi="Times New Roman" w:cs="Times New Roman"/>
          <w:color w:val="212121"/>
          <w:sz w:val="24"/>
          <w:szCs w:val="24"/>
        </w:rPr>
        <w:t>contexte devenu depuis quelques années un peu plus favorable, en raison de la progression des recettes</w:t>
      </w:r>
      <w:r w:rsidR="0021058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272FA0" w:rsidRPr="00272FA0">
        <w:rPr>
          <w:rFonts w:ascii="Times New Roman" w:hAnsi="Times New Roman" w:cs="Times New Roman"/>
          <w:color w:val="000000"/>
          <w:sz w:val="24"/>
          <w:szCs w:val="24"/>
        </w:rPr>
        <w:t>pétrolières, d’une meilleure gestion budgétaire et du retour de l’aide extérieure après la crise politique</w:t>
      </w:r>
      <w:r w:rsidR="00210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72FA0" w:rsidRPr="00272FA0">
        <w:rPr>
          <w:rFonts w:ascii="Times New Roman" w:hAnsi="Times New Roman" w:cs="Times New Roman"/>
          <w:color w:val="000000"/>
          <w:sz w:val="24"/>
          <w:szCs w:val="24"/>
        </w:rPr>
        <w:t>en 2009-2010 ; l’investissement public a plus que triplé entre 2011 et 2015 et le secteur de l’éducation</w:t>
      </w:r>
      <w:r w:rsidR="00210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72FA0" w:rsidRPr="00272FA0">
        <w:rPr>
          <w:rFonts w:ascii="Times New Roman" w:hAnsi="Times New Roman" w:cs="Times New Roman"/>
          <w:color w:val="000000"/>
          <w:sz w:val="24"/>
          <w:szCs w:val="24"/>
        </w:rPr>
        <w:t>a fait l’objet d’un effort particulier (6,6% du PIB en moyenne 2014-15).</w:t>
      </w:r>
    </w:p>
    <w:p w:rsidR="00D36926" w:rsidRPr="00B00169" w:rsidRDefault="00B00169" w:rsidP="0021058F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0169">
        <w:rPr>
          <w:rFonts w:ascii="Times New Roman" w:hAnsi="Times New Roman" w:cs="Times New Roman"/>
          <w:b/>
          <w:color w:val="000000"/>
          <w:sz w:val="24"/>
          <w:szCs w:val="24"/>
        </w:rPr>
        <w:t>Une conjoncture défavorable !</w:t>
      </w:r>
    </w:p>
    <w:p w:rsidR="00B00169" w:rsidRDefault="00B00169" w:rsidP="00A013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0169">
        <w:rPr>
          <w:rFonts w:ascii="Times New Roman" w:hAnsi="Times New Roman" w:cs="Times New Roman"/>
          <w:color w:val="000000"/>
          <w:sz w:val="24"/>
          <w:szCs w:val="24"/>
        </w:rPr>
        <w:t>Cependant, ce contexte financier plus favorable a été récemment affecté par la hausse des dépenses</w:t>
      </w:r>
      <w:r w:rsidR="00A01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169">
        <w:rPr>
          <w:rFonts w:ascii="Times New Roman" w:hAnsi="Times New Roman" w:cs="Times New Roman"/>
          <w:color w:val="000000"/>
          <w:sz w:val="24"/>
          <w:szCs w:val="24"/>
        </w:rPr>
        <w:t xml:space="preserve">sécuritaires, ainsi que par un déclin des recettes publiques provenant des </w:t>
      </w:r>
      <w:r w:rsidRPr="00B00169">
        <w:rPr>
          <w:rFonts w:ascii="Times New Roman" w:hAnsi="Times New Roman" w:cs="Times New Roman"/>
          <w:color w:val="212121"/>
          <w:sz w:val="24"/>
          <w:szCs w:val="24"/>
        </w:rPr>
        <w:t>secteurs extractifs (uranium,</w:t>
      </w:r>
      <w:r w:rsidR="00A013F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B00169">
        <w:rPr>
          <w:rFonts w:ascii="Times New Roman" w:hAnsi="Times New Roman" w:cs="Times New Roman"/>
          <w:color w:val="000000"/>
          <w:sz w:val="24"/>
          <w:szCs w:val="24"/>
        </w:rPr>
        <w:t>pétrole) en raison de l'évolution défavorable des marchés internationaux respectifs. Le déficit</w:t>
      </w:r>
      <w:r w:rsidR="00A01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169">
        <w:rPr>
          <w:rFonts w:ascii="Times New Roman" w:hAnsi="Times New Roman" w:cs="Times New Roman"/>
          <w:color w:val="000000"/>
          <w:sz w:val="24"/>
          <w:szCs w:val="24"/>
        </w:rPr>
        <w:t>budgétaire s’est aggravé et la progression des dépenses et investissements dans des secteurs clés</w:t>
      </w:r>
      <w:r w:rsidR="00A01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0169">
        <w:rPr>
          <w:rFonts w:ascii="Times New Roman" w:hAnsi="Times New Roman" w:cs="Times New Roman"/>
          <w:color w:val="000000"/>
          <w:sz w:val="24"/>
          <w:szCs w:val="24"/>
        </w:rPr>
        <w:t>(sociaux, développement rural…) a été freinée.</w:t>
      </w:r>
      <w:r w:rsidR="00A01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40ECF" w:rsidRDefault="00040ECF" w:rsidP="00040ECF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40ECF">
        <w:rPr>
          <w:rFonts w:ascii="Times New Roman" w:hAnsi="Times New Roman" w:cs="Times New Roman"/>
          <w:b/>
          <w:color w:val="000000"/>
          <w:sz w:val="24"/>
          <w:szCs w:val="24"/>
        </w:rPr>
        <w:t>Pistes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et perspectives</w:t>
      </w:r>
      <w:r w:rsidRPr="00040ECF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="00B26AE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 l’étude </w:t>
      </w:r>
      <w:r w:rsidRPr="00040E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? </w:t>
      </w:r>
    </w:p>
    <w:p w:rsidR="00B26AE8" w:rsidRPr="00D85ABF" w:rsidRDefault="00F174CA" w:rsidP="00D85AB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5ABF">
        <w:rPr>
          <w:rFonts w:ascii="Times New Roman" w:hAnsi="Times New Roman" w:cs="Times New Roman"/>
          <w:sz w:val="24"/>
          <w:szCs w:val="24"/>
        </w:rPr>
        <w:t xml:space="preserve">dégager les voies d’un élargissement viable de l’espace budgétaire nigérien. </w:t>
      </w:r>
    </w:p>
    <w:p w:rsidR="00D85ABF" w:rsidRPr="00D85ABF" w:rsidRDefault="00F174CA" w:rsidP="00D85AB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5ABF">
        <w:rPr>
          <w:rFonts w:ascii="Times New Roman" w:hAnsi="Times New Roman" w:cs="Times New Roman"/>
          <w:sz w:val="24"/>
          <w:szCs w:val="24"/>
        </w:rPr>
        <w:t>augmenter la mobilisation des ressources, en évitant une trop forte dépendance</w:t>
      </w:r>
      <w:r w:rsidR="001545DC" w:rsidRPr="00D85ABF">
        <w:rPr>
          <w:rFonts w:ascii="Times New Roman" w:hAnsi="Times New Roman" w:cs="Times New Roman"/>
          <w:sz w:val="24"/>
          <w:szCs w:val="24"/>
        </w:rPr>
        <w:t xml:space="preserve"> </w:t>
      </w:r>
      <w:r w:rsidRPr="00D85ABF">
        <w:rPr>
          <w:rFonts w:ascii="Times New Roman" w:hAnsi="Times New Roman" w:cs="Times New Roman"/>
          <w:sz w:val="24"/>
          <w:szCs w:val="24"/>
        </w:rPr>
        <w:t xml:space="preserve">du financement extérieur, en particulier sous forme d’emprunt. </w:t>
      </w:r>
    </w:p>
    <w:p w:rsidR="007865FB" w:rsidRPr="007865FB" w:rsidRDefault="00F174CA" w:rsidP="007865FB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865FB">
        <w:rPr>
          <w:rFonts w:ascii="Times New Roman" w:hAnsi="Times New Roman" w:cs="Times New Roman"/>
          <w:sz w:val="24"/>
          <w:szCs w:val="24"/>
        </w:rPr>
        <w:t>examine</w:t>
      </w:r>
      <w:r w:rsidR="00D85ABF" w:rsidRPr="007865FB">
        <w:rPr>
          <w:rFonts w:ascii="Times New Roman" w:hAnsi="Times New Roman" w:cs="Times New Roman"/>
          <w:sz w:val="24"/>
          <w:szCs w:val="24"/>
        </w:rPr>
        <w:t>r</w:t>
      </w:r>
      <w:r w:rsidRPr="007865FB">
        <w:rPr>
          <w:rFonts w:ascii="Times New Roman" w:hAnsi="Times New Roman" w:cs="Times New Roman"/>
          <w:sz w:val="24"/>
          <w:szCs w:val="24"/>
        </w:rPr>
        <w:t xml:space="preserve"> l’évolution de la</w:t>
      </w:r>
      <w:r w:rsidR="001545DC" w:rsidRPr="007865FB">
        <w:rPr>
          <w:rFonts w:ascii="Times New Roman" w:hAnsi="Times New Roman" w:cs="Times New Roman"/>
          <w:sz w:val="24"/>
          <w:szCs w:val="24"/>
        </w:rPr>
        <w:t xml:space="preserve"> </w:t>
      </w:r>
      <w:r w:rsidRPr="007865FB">
        <w:rPr>
          <w:rFonts w:ascii="Times New Roman" w:hAnsi="Times New Roman" w:cs="Times New Roman"/>
          <w:sz w:val="24"/>
          <w:szCs w:val="24"/>
        </w:rPr>
        <w:t>pression fiscale au Niger et la position relative du pays en matière d’effort fiscal : il s’agit d’évaluer la</w:t>
      </w:r>
      <w:r w:rsidR="001545DC" w:rsidRPr="007865FB">
        <w:rPr>
          <w:rFonts w:ascii="Times New Roman" w:hAnsi="Times New Roman" w:cs="Times New Roman"/>
          <w:sz w:val="24"/>
          <w:szCs w:val="24"/>
        </w:rPr>
        <w:t xml:space="preserve"> </w:t>
      </w:r>
      <w:r w:rsidRPr="007865FB">
        <w:rPr>
          <w:rFonts w:ascii="Times New Roman" w:hAnsi="Times New Roman" w:cs="Times New Roman"/>
          <w:sz w:val="24"/>
          <w:szCs w:val="24"/>
        </w:rPr>
        <w:t xml:space="preserve">possibilité d’une mobilisation additionnelle de ressources internes. </w:t>
      </w:r>
    </w:p>
    <w:p w:rsidR="000D44EF" w:rsidRPr="000D44EF" w:rsidRDefault="00F174CA" w:rsidP="007865F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865FB">
        <w:rPr>
          <w:rFonts w:ascii="Times New Roman" w:hAnsi="Times New Roman" w:cs="Times New Roman"/>
          <w:sz w:val="24"/>
          <w:szCs w:val="24"/>
        </w:rPr>
        <w:lastRenderedPageBreak/>
        <w:t>améliorer la performance des dépenses, ainsi qu’adapter sa composition intersectorielle et intrasectorielle</w:t>
      </w:r>
      <w:r w:rsidR="001545DC" w:rsidRPr="007865FB">
        <w:rPr>
          <w:rFonts w:ascii="Times New Roman" w:hAnsi="Times New Roman" w:cs="Times New Roman"/>
          <w:sz w:val="24"/>
          <w:szCs w:val="24"/>
        </w:rPr>
        <w:t xml:space="preserve"> </w:t>
      </w:r>
      <w:r w:rsidRPr="007865FB">
        <w:rPr>
          <w:rFonts w:ascii="Times New Roman" w:hAnsi="Times New Roman" w:cs="Times New Roman"/>
          <w:sz w:val="24"/>
          <w:szCs w:val="24"/>
        </w:rPr>
        <w:t>: cette voie contribue auss</w:t>
      </w:r>
      <w:r w:rsidR="00FD19EF">
        <w:rPr>
          <w:rFonts w:ascii="Times New Roman" w:hAnsi="Times New Roman" w:cs="Times New Roman"/>
          <w:sz w:val="24"/>
          <w:szCs w:val="24"/>
        </w:rPr>
        <w:t>i à élargir l’espace budgétaire</w:t>
      </w:r>
      <w:r w:rsidR="00FD19EF">
        <w:rPr>
          <w:rStyle w:val="Appelnotedebasdep"/>
          <w:rFonts w:ascii="Times New Roman" w:hAnsi="Times New Roman" w:cs="Times New Roman"/>
          <w:sz w:val="24"/>
          <w:szCs w:val="24"/>
        </w:rPr>
        <w:footnoteReference w:id="1"/>
      </w:r>
      <w:r w:rsidRPr="007865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0ECF" w:rsidRPr="001E59A9" w:rsidRDefault="000D44EF" w:rsidP="000D44E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évaluer</w:t>
      </w:r>
      <w:r w:rsidR="001545DC" w:rsidRPr="000D44EF">
        <w:rPr>
          <w:rFonts w:ascii="Times New Roman" w:hAnsi="Times New Roman" w:cs="Times New Roman"/>
          <w:sz w:val="24"/>
          <w:szCs w:val="24"/>
        </w:rPr>
        <w:t xml:space="preserve"> </w:t>
      </w:r>
      <w:r w:rsidR="00F174CA" w:rsidRPr="000D44EF">
        <w:rPr>
          <w:rFonts w:ascii="Times New Roman" w:hAnsi="Times New Roman" w:cs="Times New Roman"/>
          <w:sz w:val="24"/>
          <w:szCs w:val="24"/>
        </w:rPr>
        <w:t>l’opportunité d’une rapide progression de l’investissement public physique (infrastructures)</w:t>
      </w:r>
      <w:r w:rsidR="00AB7A9B" w:rsidRPr="000D44EF">
        <w:rPr>
          <w:rFonts w:ascii="Times New Roman" w:hAnsi="Times New Roman" w:cs="Times New Roman"/>
          <w:sz w:val="24"/>
          <w:szCs w:val="24"/>
        </w:rPr>
        <w:t xml:space="preserve"> </w:t>
      </w:r>
      <w:r w:rsidR="00F174CA" w:rsidRPr="000D44EF">
        <w:rPr>
          <w:rFonts w:ascii="Times New Roman" w:hAnsi="Times New Roman" w:cs="Times New Roman"/>
          <w:sz w:val="24"/>
          <w:szCs w:val="24"/>
        </w:rPr>
        <w:t>relativement à des besoins cruciaux (pauvreté, sécurité alimentaire), ainsi que l'importance des</w:t>
      </w:r>
      <w:r w:rsidR="00AB7A9B" w:rsidRPr="000D44EF">
        <w:rPr>
          <w:rFonts w:ascii="Times New Roman" w:hAnsi="Times New Roman" w:cs="Times New Roman"/>
          <w:sz w:val="24"/>
          <w:szCs w:val="24"/>
        </w:rPr>
        <w:t xml:space="preserve"> </w:t>
      </w:r>
      <w:r w:rsidR="00F174CA" w:rsidRPr="000D44EF">
        <w:rPr>
          <w:rFonts w:ascii="Times New Roman" w:hAnsi="Times New Roman" w:cs="Times New Roman"/>
          <w:sz w:val="24"/>
          <w:szCs w:val="24"/>
        </w:rPr>
        <w:t>politiques nationales dans des domaines comme la maîtrise démographique, l´éducation et le</w:t>
      </w:r>
      <w:r w:rsidR="00AB7A9B" w:rsidRPr="000D44EF">
        <w:rPr>
          <w:rFonts w:ascii="Times New Roman" w:hAnsi="Times New Roman" w:cs="Times New Roman"/>
          <w:sz w:val="24"/>
          <w:szCs w:val="24"/>
        </w:rPr>
        <w:t xml:space="preserve"> </w:t>
      </w:r>
      <w:r w:rsidR="00F174CA" w:rsidRPr="000D44EF">
        <w:rPr>
          <w:rFonts w:ascii="Times New Roman" w:hAnsi="Times New Roman" w:cs="Times New Roman"/>
          <w:sz w:val="24"/>
          <w:szCs w:val="24"/>
        </w:rPr>
        <w:t xml:space="preserve">renforcement des capacités des services publics. </w:t>
      </w:r>
    </w:p>
    <w:p w:rsidR="001E59A9" w:rsidRDefault="001E59A9" w:rsidP="00EB03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E59A9" w:rsidRDefault="001E59A9" w:rsidP="00EB03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9A9">
        <w:rPr>
          <w:rFonts w:ascii="Times New Roman" w:hAnsi="Times New Roman" w:cs="Times New Roman"/>
          <w:b/>
          <w:sz w:val="24"/>
          <w:szCs w:val="24"/>
        </w:rPr>
        <w:t>PROFIL D’UN PAYS ENDURANT</w:t>
      </w:r>
    </w:p>
    <w:p w:rsidR="001E59A9" w:rsidRDefault="00EB0343" w:rsidP="00EB0343">
      <w:pPr>
        <w:autoSpaceDE w:val="0"/>
        <w:autoSpaceDN w:val="0"/>
        <w:adjustRightInd w:val="0"/>
        <w:spacing w:after="0" w:line="360" w:lineRule="auto"/>
        <w:jc w:val="both"/>
        <w:rPr>
          <w:rFonts w:ascii="Cambria-BoldItalic" w:hAnsi="Cambria-BoldItalic" w:cs="Cambria-BoldItalic"/>
          <w:b/>
          <w:bCs/>
          <w:i/>
          <w:iCs/>
          <w:sz w:val="26"/>
          <w:szCs w:val="26"/>
        </w:rPr>
      </w:pPr>
      <w:r>
        <w:rPr>
          <w:rFonts w:ascii="Cambria-BoldItalic" w:hAnsi="Cambria-BoldItalic" w:cs="Cambria-BoldItalic"/>
          <w:b/>
          <w:bCs/>
          <w:i/>
          <w:iCs/>
          <w:sz w:val="26"/>
          <w:szCs w:val="26"/>
        </w:rPr>
        <w:t>Entraves naturelles, vulnérabilité sociale et contraintes économiques</w:t>
      </w:r>
    </w:p>
    <w:p w:rsidR="00EB0343" w:rsidRDefault="00EB0343" w:rsidP="00EB03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B0343" w:rsidRPr="00EB0343" w:rsidRDefault="00EB0343" w:rsidP="00340E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B0343">
        <w:rPr>
          <w:rFonts w:ascii="Times New Roman" w:hAnsi="Times New Roman" w:cs="Times New Roman"/>
          <w:sz w:val="24"/>
          <w:szCs w:val="24"/>
        </w:rPr>
        <w:t>Le Niger s’étend sur un territoire de 1.267.000 km2, dont les 2/3 sont désertiques et seulement 11 %</w:t>
      </w:r>
      <w:r w:rsidR="004F0359">
        <w:rPr>
          <w:rFonts w:ascii="Times New Roman" w:hAnsi="Times New Roman" w:cs="Times New Roman"/>
          <w:sz w:val="24"/>
          <w:szCs w:val="24"/>
        </w:rPr>
        <w:t xml:space="preserve"> </w:t>
      </w:r>
      <w:r w:rsidRPr="00EB0343">
        <w:rPr>
          <w:rFonts w:ascii="Times New Roman" w:hAnsi="Times New Roman" w:cs="Times New Roman"/>
          <w:sz w:val="24"/>
          <w:szCs w:val="24"/>
        </w:rPr>
        <w:t>sont aptes à l’agriculture ; le port le plus proche, celui de Cotonou, se trouve à plus de 1100 km.</w:t>
      </w:r>
      <w:r w:rsidR="004F0359">
        <w:rPr>
          <w:rFonts w:ascii="Times New Roman" w:hAnsi="Times New Roman" w:cs="Times New Roman"/>
          <w:sz w:val="24"/>
          <w:szCs w:val="24"/>
        </w:rPr>
        <w:t xml:space="preserve"> </w:t>
      </w:r>
      <w:r w:rsidRPr="00EB0343">
        <w:rPr>
          <w:rFonts w:ascii="Times New Roman" w:hAnsi="Times New Roman" w:cs="Times New Roman"/>
          <w:sz w:val="24"/>
          <w:szCs w:val="24"/>
        </w:rPr>
        <w:t>L’environnement naturel est marqué par l’aridité des sols et des conditions climatiques difficiles, avec</w:t>
      </w:r>
      <w:r w:rsidR="004F0359">
        <w:rPr>
          <w:rFonts w:ascii="Times New Roman" w:hAnsi="Times New Roman" w:cs="Times New Roman"/>
          <w:sz w:val="24"/>
          <w:szCs w:val="24"/>
        </w:rPr>
        <w:t xml:space="preserve"> </w:t>
      </w:r>
      <w:r w:rsidRPr="00EB0343">
        <w:rPr>
          <w:rFonts w:ascii="Times New Roman" w:hAnsi="Times New Roman" w:cs="Times New Roman"/>
          <w:sz w:val="24"/>
          <w:szCs w:val="24"/>
        </w:rPr>
        <w:t>des températures élevées et une pluviométrie faible et irrégulière. Ces conditions naturelles adverses</w:t>
      </w:r>
      <w:r w:rsidR="004F0359">
        <w:rPr>
          <w:rFonts w:ascii="Times New Roman" w:hAnsi="Times New Roman" w:cs="Times New Roman"/>
          <w:sz w:val="24"/>
          <w:szCs w:val="24"/>
        </w:rPr>
        <w:t xml:space="preserve"> </w:t>
      </w:r>
      <w:r w:rsidRPr="00EB0343">
        <w:rPr>
          <w:rFonts w:ascii="Times New Roman" w:hAnsi="Times New Roman" w:cs="Times New Roman"/>
          <w:sz w:val="24"/>
          <w:szCs w:val="24"/>
        </w:rPr>
        <w:t>se combinent avec une forte croissance de la population (3,9% par an pour la période 2001-2012),</w:t>
      </w:r>
      <w:r w:rsidR="004F0359">
        <w:rPr>
          <w:rFonts w:ascii="Times New Roman" w:hAnsi="Times New Roman" w:cs="Times New Roman"/>
          <w:sz w:val="24"/>
          <w:szCs w:val="24"/>
        </w:rPr>
        <w:t xml:space="preserve"> </w:t>
      </w:r>
      <w:r w:rsidRPr="00EB0343">
        <w:rPr>
          <w:rFonts w:ascii="Times New Roman" w:hAnsi="Times New Roman" w:cs="Times New Roman"/>
          <w:sz w:val="24"/>
          <w:szCs w:val="24"/>
        </w:rPr>
        <w:t>soutenue par un taux très élevé de fécondité (7,6 enfants par femme)</w:t>
      </w:r>
      <w:r w:rsidR="009B475B">
        <w:rPr>
          <w:rStyle w:val="Appelnotedebasdep"/>
          <w:rFonts w:ascii="Times New Roman" w:hAnsi="Times New Roman" w:cs="Times New Roman"/>
          <w:sz w:val="24"/>
          <w:szCs w:val="24"/>
        </w:rPr>
        <w:footnoteReference w:id="2"/>
      </w:r>
      <w:r w:rsidRPr="00EB0343">
        <w:rPr>
          <w:rFonts w:ascii="Times New Roman" w:hAnsi="Times New Roman" w:cs="Times New Roman"/>
          <w:sz w:val="24"/>
          <w:szCs w:val="24"/>
        </w:rPr>
        <w:t>. Le Niger a dépassé en 2016 les</w:t>
      </w:r>
      <w:r w:rsidR="004F0359">
        <w:rPr>
          <w:rFonts w:ascii="Times New Roman" w:hAnsi="Times New Roman" w:cs="Times New Roman"/>
          <w:sz w:val="24"/>
          <w:szCs w:val="24"/>
        </w:rPr>
        <w:t xml:space="preserve"> </w:t>
      </w:r>
      <w:r w:rsidRPr="00EB0343">
        <w:rPr>
          <w:rFonts w:ascii="Times New Roman" w:hAnsi="Times New Roman" w:cs="Times New Roman"/>
          <w:sz w:val="24"/>
          <w:szCs w:val="24"/>
        </w:rPr>
        <w:t>20 millions d’habitants (11 millions en 2000). Selon les projections de la Division de la Population des</w:t>
      </w:r>
      <w:r w:rsidR="004F0359">
        <w:rPr>
          <w:rFonts w:ascii="Times New Roman" w:hAnsi="Times New Roman" w:cs="Times New Roman"/>
          <w:sz w:val="24"/>
          <w:szCs w:val="24"/>
        </w:rPr>
        <w:t xml:space="preserve"> </w:t>
      </w:r>
      <w:r w:rsidRPr="00EB0343">
        <w:rPr>
          <w:rFonts w:ascii="Times New Roman" w:hAnsi="Times New Roman" w:cs="Times New Roman"/>
          <w:sz w:val="24"/>
          <w:szCs w:val="24"/>
        </w:rPr>
        <w:t>Nations Unies (graphique 1), la croissance démographique restera (horizon 2050) bien au-dessus des</w:t>
      </w:r>
      <w:r w:rsidR="004F0359">
        <w:rPr>
          <w:rFonts w:ascii="Times New Roman" w:hAnsi="Times New Roman" w:cs="Times New Roman"/>
          <w:sz w:val="24"/>
          <w:szCs w:val="24"/>
        </w:rPr>
        <w:t xml:space="preserve"> </w:t>
      </w:r>
      <w:r w:rsidRPr="00EB0343">
        <w:rPr>
          <w:rFonts w:ascii="Times New Roman" w:hAnsi="Times New Roman" w:cs="Times New Roman"/>
          <w:sz w:val="24"/>
          <w:szCs w:val="24"/>
        </w:rPr>
        <w:t>moyennes estimées pour l’Afrique de l’Ouest3 et pour l’Afrique subsaharienne.</w:t>
      </w:r>
    </w:p>
    <w:p w:rsidR="009622E7" w:rsidRDefault="00340E7A" w:rsidP="001154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...</w:t>
      </w:r>
    </w:p>
    <w:p w:rsidR="00340E7A" w:rsidRPr="00340E7A" w:rsidRDefault="00340E7A" w:rsidP="00340E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40E7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Contribution instable des industries extractives</w:t>
      </w:r>
    </w:p>
    <w:p w:rsidR="001936AB" w:rsidRDefault="00340E7A" w:rsidP="001936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E7A">
        <w:rPr>
          <w:rFonts w:ascii="Times New Roman" w:hAnsi="Times New Roman" w:cs="Times New Roman"/>
          <w:sz w:val="24"/>
          <w:szCs w:val="24"/>
        </w:rPr>
        <w:t>Les produits miniers (uranium) et pétroliers procurent encore plus de la moitié de la valeur 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E7A">
        <w:rPr>
          <w:rFonts w:ascii="Times New Roman" w:hAnsi="Times New Roman" w:cs="Times New Roman"/>
          <w:sz w:val="24"/>
          <w:szCs w:val="24"/>
        </w:rPr>
        <w:t xml:space="preserve">exportations totales nigériennes. Les secteurs extractifs, avec un poids croissant du pétrolier, </w:t>
      </w:r>
      <w:r w:rsidRPr="001936AB">
        <w:rPr>
          <w:rFonts w:ascii="Times New Roman" w:hAnsi="Times New Roman" w:cs="Times New Roman"/>
          <w:sz w:val="24"/>
          <w:szCs w:val="24"/>
        </w:rPr>
        <w:t>ont</w:t>
      </w:r>
      <w:r w:rsidR="00DC7B0A" w:rsidRPr="001936AB">
        <w:rPr>
          <w:rFonts w:ascii="Times New Roman" w:hAnsi="Times New Roman" w:cs="Times New Roman"/>
          <w:sz w:val="24"/>
          <w:szCs w:val="24"/>
        </w:rPr>
        <w:t xml:space="preserve"> </w:t>
      </w:r>
      <w:r w:rsidR="001936AB" w:rsidRPr="001936AB">
        <w:rPr>
          <w:rFonts w:ascii="Times New Roman" w:hAnsi="Times New Roman" w:cs="Times New Roman"/>
          <w:sz w:val="24"/>
          <w:szCs w:val="24"/>
        </w:rPr>
        <w:t xml:space="preserve">contribué sur la période 2014-2016 à près de 19% des recettes publiques. </w:t>
      </w:r>
      <w:r w:rsidR="00C2469C" w:rsidRPr="001936AB">
        <w:rPr>
          <w:rFonts w:ascii="Times New Roman" w:hAnsi="Times New Roman" w:cs="Times New Roman"/>
          <w:sz w:val="24"/>
          <w:szCs w:val="24"/>
        </w:rPr>
        <w:t>À</w:t>
      </w:r>
      <w:r w:rsidR="001936AB" w:rsidRPr="001936AB">
        <w:rPr>
          <w:rFonts w:ascii="Times New Roman" w:hAnsi="Times New Roman" w:cs="Times New Roman"/>
          <w:sz w:val="24"/>
          <w:szCs w:val="24"/>
        </w:rPr>
        <w:t xml:space="preserve"> part l’extraction d’uranium</w:t>
      </w:r>
      <w:r w:rsidR="001936AB">
        <w:rPr>
          <w:rFonts w:ascii="Times New Roman" w:hAnsi="Times New Roman" w:cs="Times New Roman"/>
          <w:sz w:val="24"/>
          <w:szCs w:val="24"/>
        </w:rPr>
        <w:t xml:space="preserve"> </w:t>
      </w:r>
      <w:r w:rsidR="001936AB" w:rsidRPr="001936AB">
        <w:rPr>
          <w:rFonts w:ascii="Times New Roman" w:hAnsi="Times New Roman" w:cs="Times New Roman"/>
          <w:sz w:val="24"/>
          <w:szCs w:val="24"/>
        </w:rPr>
        <w:t xml:space="preserve">initiée en 1971 dans le Nord du pays (région d’Agadez) et celle du pétrole à partir </w:t>
      </w:r>
      <w:r w:rsidR="001936AB" w:rsidRPr="001936AB">
        <w:rPr>
          <w:rFonts w:ascii="Times New Roman" w:hAnsi="Times New Roman" w:cs="Times New Roman"/>
          <w:sz w:val="24"/>
          <w:szCs w:val="24"/>
        </w:rPr>
        <w:lastRenderedPageBreak/>
        <w:t>de 2011 à l’Est, le</w:t>
      </w:r>
      <w:r w:rsidR="001936AB">
        <w:rPr>
          <w:rFonts w:ascii="Times New Roman" w:hAnsi="Times New Roman" w:cs="Times New Roman"/>
          <w:sz w:val="24"/>
          <w:szCs w:val="24"/>
        </w:rPr>
        <w:t xml:space="preserve"> </w:t>
      </w:r>
      <w:r w:rsidR="001936AB" w:rsidRPr="001936AB">
        <w:rPr>
          <w:rFonts w:ascii="Times New Roman" w:hAnsi="Times New Roman" w:cs="Times New Roman"/>
          <w:sz w:val="24"/>
          <w:szCs w:val="24"/>
        </w:rPr>
        <w:t>Niger exploite quelques gisements aurifères dans la région du Liptako</w:t>
      </w:r>
      <w:r w:rsidR="00C2469C">
        <w:rPr>
          <w:rStyle w:val="Appelnotedebasdep"/>
          <w:rFonts w:ascii="Times New Roman" w:hAnsi="Times New Roman" w:cs="Times New Roman"/>
          <w:sz w:val="24"/>
          <w:szCs w:val="24"/>
        </w:rPr>
        <w:footnoteReference w:id="3"/>
      </w:r>
      <w:r w:rsidR="001936AB" w:rsidRPr="001936AB">
        <w:rPr>
          <w:rFonts w:ascii="Times New Roman" w:hAnsi="Times New Roman" w:cs="Times New Roman"/>
          <w:sz w:val="24"/>
          <w:szCs w:val="24"/>
        </w:rPr>
        <w:t>, proche du fleuve Niger, ainsi</w:t>
      </w:r>
      <w:r w:rsidR="001936AB">
        <w:rPr>
          <w:rFonts w:ascii="Times New Roman" w:hAnsi="Times New Roman" w:cs="Times New Roman"/>
          <w:sz w:val="24"/>
          <w:szCs w:val="24"/>
        </w:rPr>
        <w:t xml:space="preserve"> </w:t>
      </w:r>
      <w:r w:rsidR="001936AB" w:rsidRPr="001936AB">
        <w:rPr>
          <w:rFonts w:ascii="Times New Roman" w:hAnsi="Times New Roman" w:cs="Times New Roman"/>
          <w:sz w:val="24"/>
          <w:szCs w:val="24"/>
        </w:rPr>
        <w:t xml:space="preserve">que de charbon </w:t>
      </w:r>
      <w:r w:rsidR="00D82656">
        <w:rPr>
          <w:rFonts w:ascii="Times New Roman" w:hAnsi="Times New Roman" w:cs="Times New Roman"/>
          <w:sz w:val="24"/>
          <w:szCs w:val="24"/>
        </w:rPr>
        <w:t>à Anou-Araren (région d’Agadez)</w:t>
      </w:r>
      <w:r w:rsidR="00D82656">
        <w:rPr>
          <w:rStyle w:val="Appelnotedebasdep"/>
          <w:rFonts w:ascii="Times New Roman" w:hAnsi="Times New Roman" w:cs="Times New Roman"/>
          <w:sz w:val="24"/>
          <w:szCs w:val="24"/>
        </w:rPr>
        <w:footnoteReference w:id="4"/>
      </w:r>
      <w:r w:rsidR="001936AB" w:rsidRPr="001936AB">
        <w:rPr>
          <w:rFonts w:ascii="Times New Roman" w:hAnsi="Times New Roman" w:cs="Times New Roman"/>
          <w:sz w:val="24"/>
          <w:szCs w:val="24"/>
        </w:rPr>
        <w:t>.</w:t>
      </w:r>
    </w:p>
    <w:p w:rsidR="003572A6" w:rsidRDefault="003572A6" w:rsidP="003572A6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2A6">
        <w:rPr>
          <w:rFonts w:ascii="Times New Roman" w:hAnsi="Times New Roman" w:cs="Times New Roman"/>
          <w:sz w:val="24"/>
          <w:szCs w:val="24"/>
        </w:rPr>
        <w:t>Des investisseurs étrangers sont largement impliqués dans les industries extractives. L’extraction,</w:t>
      </w:r>
      <w:r w:rsidR="000473FB">
        <w:rPr>
          <w:rFonts w:ascii="Times New Roman" w:hAnsi="Times New Roman" w:cs="Times New Roman"/>
          <w:sz w:val="24"/>
          <w:szCs w:val="24"/>
        </w:rPr>
        <w:t xml:space="preserve"> </w:t>
      </w:r>
      <w:r w:rsidRPr="003572A6">
        <w:rPr>
          <w:rFonts w:ascii="Times New Roman" w:hAnsi="Times New Roman" w:cs="Times New Roman"/>
          <w:sz w:val="24"/>
          <w:szCs w:val="24"/>
        </w:rPr>
        <w:t>fabrication et exportation d’uranium concentré (4.150 tonnes en moyenne 2012-2016) sont réalisées</w:t>
      </w:r>
      <w:r w:rsidR="000473FB">
        <w:rPr>
          <w:rFonts w:ascii="Times New Roman" w:hAnsi="Times New Roman" w:cs="Times New Roman"/>
          <w:sz w:val="24"/>
          <w:szCs w:val="24"/>
        </w:rPr>
        <w:t xml:space="preserve"> </w:t>
      </w:r>
      <w:r w:rsidRPr="003572A6">
        <w:rPr>
          <w:rFonts w:ascii="Times New Roman" w:hAnsi="Times New Roman" w:cs="Times New Roman"/>
          <w:sz w:val="24"/>
          <w:szCs w:val="24"/>
        </w:rPr>
        <w:t>par trois sociétés minières, dont deux contrôlées par la société française AREVA (SOMAÏR ET</w:t>
      </w:r>
      <w:r w:rsidR="000473FB">
        <w:rPr>
          <w:rFonts w:ascii="Times New Roman" w:hAnsi="Times New Roman" w:cs="Times New Roman"/>
          <w:sz w:val="24"/>
          <w:szCs w:val="24"/>
        </w:rPr>
        <w:t xml:space="preserve"> </w:t>
      </w:r>
      <w:r w:rsidRPr="003572A6">
        <w:rPr>
          <w:rFonts w:ascii="Times New Roman" w:hAnsi="Times New Roman" w:cs="Times New Roman"/>
          <w:sz w:val="24"/>
          <w:szCs w:val="24"/>
        </w:rPr>
        <w:t>COMINAK) et une troisième (SOMINA) par la compagnie étatique chinoise China National Nuclear</w:t>
      </w:r>
      <w:r w:rsidR="000473FB">
        <w:rPr>
          <w:rFonts w:ascii="Times New Roman" w:hAnsi="Times New Roman" w:cs="Times New Roman"/>
          <w:sz w:val="24"/>
          <w:szCs w:val="24"/>
        </w:rPr>
        <w:t xml:space="preserve"> </w:t>
      </w:r>
      <w:r w:rsidRPr="003572A6">
        <w:rPr>
          <w:rFonts w:ascii="Times New Roman" w:hAnsi="Times New Roman" w:cs="Times New Roman"/>
          <w:sz w:val="24"/>
          <w:szCs w:val="24"/>
        </w:rPr>
        <w:t>Corporation-CNNC11. L’Etat nigérien, à travers une entité publique (SOPAMIN) détient des parts</w:t>
      </w:r>
      <w:r w:rsidR="000473FB">
        <w:rPr>
          <w:rFonts w:ascii="Times New Roman" w:hAnsi="Times New Roman" w:cs="Times New Roman"/>
          <w:sz w:val="24"/>
          <w:szCs w:val="24"/>
        </w:rPr>
        <w:t xml:space="preserve"> </w:t>
      </w:r>
      <w:r w:rsidRPr="003572A6">
        <w:rPr>
          <w:rFonts w:ascii="Times New Roman" w:hAnsi="Times New Roman" w:cs="Times New Roman"/>
          <w:sz w:val="24"/>
          <w:szCs w:val="24"/>
        </w:rPr>
        <w:t>(entre 30 et 40%) dans le capital de ces sociétés12. L’extraction du pétrole est réalisée par une filiale</w:t>
      </w:r>
      <w:r w:rsidR="000473FB">
        <w:rPr>
          <w:rFonts w:ascii="Times New Roman" w:hAnsi="Times New Roman" w:cs="Times New Roman"/>
          <w:sz w:val="24"/>
          <w:szCs w:val="24"/>
        </w:rPr>
        <w:t xml:space="preserve"> </w:t>
      </w:r>
      <w:r w:rsidRPr="003572A6">
        <w:rPr>
          <w:rFonts w:ascii="Times New Roman" w:hAnsi="Times New Roman" w:cs="Times New Roman"/>
          <w:sz w:val="24"/>
          <w:szCs w:val="24"/>
        </w:rPr>
        <w:t>locale du groupe chinois China National Petroleum Corporation (CNPC), avec un contrat de partage</w:t>
      </w:r>
      <w:r w:rsidR="000473FB">
        <w:rPr>
          <w:rFonts w:ascii="Times New Roman" w:hAnsi="Times New Roman" w:cs="Times New Roman"/>
          <w:sz w:val="24"/>
          <w:szCs w:val="24"/>
        </w:rPr>
        <w:t xml:space="preserve"> </w:t>
      </w:r>
      <w:r w:rsidRPr="003572A6">
        <w:rPr>
          <w:rFonts w:ascii="Times New Roman" w:hAnsi="Times New Roman" w:cs="Times New Roman"/>
          <w:sz w:val="24"/>
          <w:szCs w:val="24"/>
        </w:rPr>
        <w:t xml:space="preserve">de la production assurant un minimum de 40% de </w:t>
      </w:r>
      <w:r w:rsidRPr="003572A6">
        <w:rPr>
          <w:rFonts w:ascii="Times New Roman" w:hAnsi="Times New Roman" w:cs="Times New Roman"/>
          <w:i/>
          <w:iCs/>
          <w:sz w:val="24"/>
          <w:szCs w:val="24"/>
        </w:rPr>
        <w:t xml:space="preserve">tax oil </w:t>
      </w:r>
      <w:r w:rsidRPr="003572A6">
        <w:rPr>
          <w:rFonts w:ascii="Times New Roman" w:hAnsi="Times New Roman" w:cs="Times New Roman"/>
          <w:sz w:val="24"/>
          <w:szCs w:val="24"/>
        </w:rPr>
        <w:t xml:space="preserve">sur le </w:t>
      </w:r>
      <w:r w:rsidRPr="003572A6">
        <w:rPr>
          <w:rFonts w:ascii="Times New Roman" w:hAnsi="Times New Roman" w:cs="Times New Roman"/>
          <w:i/>
          <w:iCs/>
          <w:sz w:val="24"/>
          <w:szCs w:val="24"/>
        </w:rPr>
        <w:t xml:space="preserve">profit oil, </w:t>
      </w:r>
      <w:r w:rsidRPr="003572A6">
        <w:rPr>
          <w:rFonts w:ascii="Times New Roman" w:hAnsi="Times New Roman" w:cs="Times New Roman"/>
          <w:sz w:val="24"/>
          <w:szCs w:val="24"/>
        </w:rPr>
        <w:t>ainsi qu’une participation</w:t>
      </w:r>
      <w:r w:rsidR="000473FB">
        <w:rPr>
          <w:rFonts w:ascii="Times New Roman" w:hAnsi="Times New Roman" w:cs="Times New Roman"/>
          <w:sz w:val="24"/>
          <w:szCs w:val="24"/>
        </w:rPr>
        <w:t xml:space="preserve"> </w:t>
      </w:r>
      <w:r w:rsidRPr="003572A6">
        <w:rPr>
          <w:rFonts w:ascii="Times New Roman" w:hAnsi="Times New Roman" w:cs="Times New Roman"/>
          <w:sz w:val="24"/>
          <w:szCs w:val="24"/>
        </w:rPr>
        <w:t>passive de 15% dans la zone d’exploitation. Le raffinage est opéré près de Zinder par la société</w:t>
      </w:r>
      <w:r w:rsidR="000473FB">
        <w:rPr>
          <w:rFonts w:ascii="Times New Roman" w:hAnsi="Times New Roman" w:cs="Times New Roman"/>
          <w:sz w:val="24"/>
          <w:szCs w:val="24"/>
        </w:rPr>
        <w:t xml:space="preserve"> </w:t>
      </w:r>
      <w:r w:rsidRPr="003572A6">
        <w:rPr>
          <w:rFonts w:ascii="Times New Roman" w:hAnsi="Times New Roman" w:cs="Times New Roman"/>
          <w:sz w:val="24"/>
          <w:szCs w:val="24"/>
        </w:rPr>
        <w:t>SORAZ, détenue par la CNPC (60%) et l’Etat nigérien (40%). Malgré la confirmation de réserves</w:t>
      </w:r>
      <w:r w:rsidR="000473FB">
        <w:rPr>
          <w:rFonts w:ascii="Times New Roman" w:hAnsi="Times New Roman" w:cs="Times New Roman"/>
          <w:sz w:val="24"/>
          <w:szCs w:val="24"/>
        </w:rPr>
        <w:t xml:space="preserve"> </w:t>
      </w:r>
      <w:r w:rsidRPr="003572A6">
        <w:rPr>
          <w:rFonts w:ascii="Times New Roman" w:hAnsi="Times New Roman" w:cs="Times New Roman"/>
          <w:sz w:val="24"/>
          <w:szCs w:val="24"/>
        </w:rPr>
        <w:t>additionnelles, la production pétrolière est pour le moment limitée par la capacité de raffinage</w:t>
      </w:r>
      <w:r w:rsidR="000473FB">
        <w:rPr>
          <w:rFonts w:ascii="Times New Roman" w:hAnsi="Times New Roman" w:cs="Times New Roman"/>
          <w:sz w:val="24"/>
          <w:szCs w:val="24"/>
        </w:rPr>
        <w:t xml:space="preserve"> </w:t>
      </w:r>
      <w:r w:rsidRPr="003572A6">
        <w:rPr>
          <w:rFonts w:ascii="Times New Roman" w:hAnsi="Times New Roman" w:cs="Times New Roman"/>
          <w:sz w:val="24"/>
          <w:szCs w:val="24"/>
        </w:rPr>
        <w:t>(20.000 barils/jour) ; le raccordement (en étude) au pipeline Tchad-Cameroun ou une autre voie</w:t>
      </w:r>
      <w:r w:rsidR="000473FB">
        <w:rPr>
          <w:rFonts w:ascii="Times New Roman" w:hAnsi="Times New Roman" w:cs="Times New Roman"/>
          <w:sz w:val="24"/>
          <w:szCs w:val="24"/>
        </w:rPr>
        <w:t xml:space="preserve"> </w:t>
      </w:r>
      <w:r w:rsidRPr="003572A6">
        <w:rPr>
          <w:rFonts w:ascii="Times New Roman" w:hAnsi="Times New Roman" w:cs="Times New Roman"/>
          <w:sz w:val="24"/>
          <w:szCs w:val="24"/>
        </w:rPr>
        <w:t>d'exportation du brut, permettraient une production additionnelle estimée à 90.000 barils/jour.</w:t>
      </w:r>
      <w:r w:rsidR="000473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4757" w:rsidRPr="003572A6" w:rsidRDefault="00994757" w:rsidP="003572A6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P. 9/60. Dernier para. </w:t>
      </w:r>
      <w:bookmarkStart w:id="0" w:name="_GoBack"/>
      <w:bookmarkEnd w:id="0"/>
    </w:p>
    <w:sectPr w:rsidR="00994757" w:rsidRPr="00357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B20" w:rsidRDefault="00C05B20" w:rsidP="00FD19EF">
      <w:pPr>
        <w:spacing w:after="0" w:line="240" w:lineRule="auto"/>
      </w:pPr>
      <w:r>
        <w:separator/>
      </w:r>
    </w:p>
  </w:endnote>
  <w:endnote w:type="continuationSeparator" w:id="0">
    <w:p w:rsidR="00C05B20" w:rsidRDefault="00C05B20" w:rsidP="00FD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B20" w:rsidRDefault="00C05B20" w:rsidP="00FD19EF">
      <w:pPr>
        <w:spacing w:after="0" w:line="240" w:lineRule="auto"/>
      </w:pPr>
      <w:r>
        <w:separator/>
      </w:r>
    </w:p>
  </w:footnote>
  <w:footnote w:type="continuationSeparator" w:id="0">
    <w:p w:rsidR="00C05B20" w:rsidRDefault="00C05B20" w:rsidP="00FD19EF">
      <w:pPr>
        <w:spacing w:after="0" w:line="240" w:lineRule="auto"/>
      </w:pPr>
      <w:r>
        <w:continuationSeparator/>
      </w:r>
    </w:p>
  </w:footnote>
  <w:footnote w:id="1">
    <w:p w:rsidR="00FD19EF" w:rsidRPr="00FD19EF" w:rsidRDefault="00FD19EF" w:rsidP="00FD19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19EF">
        <w:rPr>
          <w:rStyle w:val="Appelnotedebasdep"/>
          <w:rFonts w:ascii="Times New Roman" w:hAnsi="Times New Roman" w:cs="Times New Roman"/>
          <w:sz w:val="20"/>
          <w:szCs w:val="20"/>
        </w:rPr>
        <w:footnoteRef/>
      </w:r>
      <w:r w:rsidRPr="00FD19EF">
        <w:rPr>
          <w:rFonts w:ascii="Times New Roman" w:hAnsi="Times New Roman" w:cs="Times New Roman"/>
          <w:sz w:val="20"/>
          <w:szCs w:val="20"/>
        </w:rPr>
        <w:t xml:space="preserve"> Les résultats synthétiques de quelques estimations sur l’efficacité des dépenses sociales (éducation 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D19EF">
        <w:rPr>
          <w:rFonts w:ascii="Times New Roman" w:hAnsi="Times New Roman" w:cs="Times New Roman"/>
          <w:sz w:val="20"/>
          <w:szCs w:val="20"/>
        </w:rPr>
        <w:t>santé) au Niger, par rapport à d’autres pays africains, notamment sahéliens, sont expliqués à la sous-section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D19EF">
        <w:rPr>
          <w:rFonts w:ascii="Times New Roman" w:hAnsi="Times New Roman" w:cs="Times New Roman"/>
          <w:sz w:val="20"/>
          <w:szCs w:val="20"/>
        </w:rPr>
        <w:t>4.1.</w:t>
      </w:r>
    </w:p>
  </w:footnote>
  <w:footnote w:id="2">
    <w:p w:rsidR="009B475B" w:rsidRDefault="009B475B" w:rsidP="009B47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B475B">
        <w:rPr>
          <w:rStyle w:val="Appelnotedebasdep"/>
          <w:rFonts w:ascii="Times New Roman" w:hAnsi="Times New Roman" w:cs="Times New Roman"/>
          <w:sz w:val="20"/>
          <w:szCs w:val="20"/>
        </w:rPr>
        <w:footnoteRef/>
      </w:r>
      <w:r w:rsidRPr="009B475B">
        <w:rPr>
          <w:rFonts w:ascii="Times New Roman" w:hAnsi="Times New Roman" w:cs="Times New Roman"/>
          <w:sz w:val="20"/>
          <w:szCs w:val="20"/>
        </w:rPr>
        <w:t xml:space="preserve"> Bien que la croissance démographique semble avoir augmenté au Niger si on compare les résultats du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475B">
        <w:rPr>
          <w:rFonts w:ascii="Times New Roman" w:hAnsi="Times New Roman" w:cs="Times New Roman"/>
          <w:sz w:val="20"/>
          <w:szCs w:val="20"/>
        </w:rPr>
        <w:t>recensement réalisé en 2012 (3,9% pour la période 2001</w:t>
      </w:r>
      <w:r w:rsidRPr="009B475B">
        <w:rPr>
          <w:rFonts w:ascii="Cambria Math" w:hAnsi="Cambria Math" w:cs="Cambria Math"/>
          <w:sz w:val="20"/>
          <w:szCs w:val="20"/>
        </w:rPr>
        <w:t>‐</w:t>
      </w:r>
      <w:r w:rsidRPr="009B475B">
        <w:rPr>
          <w:rFonts w:ascii="Times New Roman" w:hAnsi="Times New Roman" w:cs="Times New Roman"/>
          <w:sz w:val="20"/>
          <w:szCs w:val="20"/>
        </w:rPr>
        <w:t>12, avec une fécondité de 7,6 enfants par femme)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475B">
        <w:rPr>
          <w:rFonts w:ascii="Times New Roman" w:hAnsi="Times New Roman" w:cs="Times New Roman"/>
          <w:sz w:val="20"/>
          <w:szCs w:val="20"/>
        </w:rPr>
        <w:t>avec ceux du recensement réalisé en 2001 (3,3% pour la période 1988</w:t>
      </w:r>
      <w:r w:rsidRPr="009B475B">
        <w:rPr>
          <w:rFonts w:ascii="Cambria Math" w:hAnsi="Cambria Math" w:cs="Cambria Math"/>
          <w:sz w:val="20"/>
          <w:szCs w:val="20"/>
        </w:rPr>
        <w:t>‐</w:t>
      </w:r>
      <w:r w:rsidRPr="009B475B">
        <w:rPr>
          <w:rFonts w:ascii="Times New Roman" w:hAnsi="Times New Roman" w:cs="Times New Roman"/>
          <w:sz w:val="20"/>
          <w:szCs w:val="20"/>
        </w:rPr>
        <w:t>2001, avec une fécondité de 7,1), des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475B">
        <w:rPr>
          <w:rFonts w:ascii="Times New Roman" w:hAnsi="Times New Roman" w:cs="Times New Roman"/>
          <w:sz w:val="20"/>
          <w:szCs w:val="20"/>
        </w:rPr>
        <w:t>enquêtes plus récentes (INS, 2016a) indiquent cependant un apparent recul de la fécondité (7,3 en 2015). 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475B">
        <w:rPr>
          <w:rFonts w:ascii="Times New Roman" w:hAnsi="Times New Roman" w:cs="Times New Roman"/>
          <w:sz w:val="20"/>
          <w:szCs w:val="20"/>
        </w:rPr>
        <w:t>projections de population des Nations Unies utilisent des hypothèses basées sur les tendances plus récentes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475B">
        <w:rPr>
          <w:rFonts w:ascii="Times New Roman" w:hAnsi="Times New Roman" w:cs="Times New Roman"/>
          <w:sz w:val="20"/>
          <w:szCs w:val="20"/>
        </w:rPr>
        <w:t>(fécondité, mortalité…), mais n'anticipent pas des éventuels changements de politique démographique.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340E7A" w:rsidRPr="009B475B" w:rsidRDefault="00340E7A" w:rsidP="009B47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</w:footnote>
  <w:footnote w:id="3">
    <w:p w:rsidR="00C2469C" w:rsidRPr="00C2469C" w:rsidRDefault="00C2469C" w:rsidP="00026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Batang" w:hAnsi="Times New Roman" w:cs="Times New Roman"/>
          <w:sz w:val="20"/>
          <w:szCs w:val="20"/>
        </w:rPr>
      </w:pPr>
      <w:r w:rsidRPr="00C2469C">
        <w:rPr>
          <w:rStyle w:val="Appelnotedebasdep"/>
          <w:rFonts w:ascii="Times New Roman" w:eastAsia="Batang" w:hAnsi="Times New Roman" w:cs="Times New Roman"/>
          <w:sz w:val="20"/>
          <w:szCs w:val="20"/>
        </w:rPr>
        <w:footnoteRef/>
      </w:r>
      <w:r w:rsidRPr="00C2469C">
        <w:rPr>
          <w:rFonts w:ascii="Times New Roman" w:eastAsia="Batang" w:hAnsi="Times New Roman" w:cs="Times New Roman"/>
          <w:sz w:val="20"/>
          <w:szCs w:val="20"/>
        </w:rPr>
        <w:t xml:space="preserve"> La production d’or, en déclin depuis quelques années (moins de 800 kg en 2016), a été gérée par la société</w:t>
      </w:r>
      <w:r w:rsidR="00026058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C2469C">
        <w:rPr>
          <w:rFonts w:ascii="Times New Roman" w:eastAsia="Batang" w:hAnsi="Times New Roman" w:cs="Times New Roman"/>
          <w:sz w:val="20"/>
          <w:szCs w:val="20"/>
        </w:rPr>
        <w:t>publique SOPAMIN après le départ en 2013 de la compagnie canadienne SEM</w:t>
      </w:r>
      <w:r w:rsidR="00026058">
        <w:rPr>
          <w:rFonts w:ascii="Times New Roman" w:eastAsia="Batang" w:hAnsi="Times New Roman" w:cs="Times New Roman"/>
          <w:sz w:val="20"/>
          <w:szCs w:val="20"/>
        </w:rPr>
        <w:t xml:space="preserve">AFO. En 2016, 75% du capital de </w:t>
      </w:r>
      <w:r w:rsidRPr="00C2469C">
        <w:rPr>
          <w:rFonts w:ascii="Times New Roman" w:eastAsia="Batang" w:hAnsi="Times New Roman" w:cs="Times New Roman"/>
          <w:sz w:val="20"/>
          <w:szCs w:val="20"/>
        </w:rPr>
        <w:t>la société qui extrait l’or (SML) a été vendu à un opérateur privé (A Group International).</w:t>
      </w:r>
      <w:r w:rsidR="00026058">
        <w:rPr>
          <w:rFonts w:ascii="Times New Roman" w:eastAsia="Batang" w:hAnsi="Times New Roman" w:cs="Times New Roman"/>
          <w:sz w:val="20"/>
          <w:szCs w:val="20"/>
        </w:rPr>
        <w:t xml:space="preserve"> </w:t>
      </w:r>
    </w:p>
  </w:footnote>
  <w:footnote w:id="4">
    <w:p w:rsidR="00D82656" w:rsidRPr="00755D56" w:rsidRDefault="00D82656" w:rsidP="00803A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Batang" w:hAnsi="Times New Roman" w:cs="Times New Roman"/>
          <w:sz w:val="20"/>
          <w:szCs w:val="20"/>
        </w:rPr>
      </w:pPr>
      <w:r w:rsidRPr="00755D56">
        <w:rPr>
          <w:rStyle w:val="Appelnotedebasdep"/>
          <w:rFonts w:ascii="Times New Roman" w:eastAsia="Batang" w:hAnsi="Times New Roman" w:cs="Times New Roman"/>
          <w:sz w:val="20"/>
          <w:szCs w:val="20"/>
        </w:rPr>
        <w:footnoteRef/>
      </w:r>
      <w:r w:rsidRPr="00755D56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="00755D56" w:rsidRPr="00755D56">
        <w:rPr>
          <w:rFonts w:ascii="Times New Roman" w:eastAsia="Batang" w:hAnsi="Times New Roman" w:cs="Times New Roman"/>
          <w:sz w:val="20"/>
          <w:szCs w:val="20"/>
        </w:rPr>
        <w:t>La production de charbon (autour de 250.000 t) est pour l’essentiel destinée à la génération électrique par</w:t>
      </w:r>
      <w:r w:rsidR="00803AF2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="00755D56" w:rsidRPr="00755D56">
        <w:rPr>
          <w:rFonts w:ascii="Times New Roman" w:eastAsia="Batang" w:hAnsi="Times New Roman" w:cs="Times New Roman"/>
          <w:sz w:val="20"/>
          <w:szCs w:val="20"/>
        </w:rPr>
        <w:t>la même société exploitante (SONICHAR, à participation publique majoritaire); elle fournit les usines de</w:t>
      </w:r>
      <w:r w:rsidR="00803AF2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="00755D56" w:rsidRPr="00755D56">
        <w:rPr>
          <w:rFonts w:ascii="Times New Roman" w:eastAsia="Batang" w:hAnsi="Times New Roman" w:cs="Times New Roman"/>
          <w:sz w:val="20"/>
          <w:szCs w:val="20"/>
        </w:rPr>
        <w:t>traitement d’uranium, ainsi que quelques centres urbains de la région d’Agadez. Une nouvelle extraction</w:t>
      </w:r>
      <w:r w:rsidR="00803AF2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="00755D56" w:rsidRPr="00755D56">
        <w:rPr>
          <w:rFonts w:ascii="Times New Roman" w:eastAsia="Batang" w:hAnsi="Times New Roman" w:cs="Times New Roman"/>
          <w:sz w:val="20"/>
          <w:szCs w:val="20"/>
        </w:rPr>
        <w:t>carbonifère, aussi combinée avec une centrale thermoélectrique, est en phase de développement par une</w:t>
      </w:r>
      <w:r w:rsidR="00803AF2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="00755D56" w:rsidRPr="00755D56">
        <w:rPr>
          <w:rFonts w:ascii="Times New Roman" w:eastAsia="Batang" w:hAnsi="Times New Roman" w:cs="Times New Roman"/>
          <w:sz w:val="20"/>
          <w:szCs w:val="20"/>
        </w:rPr>
        <w:t>compagnie américaine à Salkadamna (région de Tahoua).</w:t>
      </w:r>
      <w:r w:rsidR="00803AF2">
        <w:rPr>
          <w:rFonts w:ascii="Times New Roman" w:eastAsia="Batang" w:hAnsi="Times New Roman" w:cs="Times New Roman"/>
          <w:sz w:val="20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A1811"/>
    <w:multiLevelType w:val="hybridMultilevel"/>
    <w:tmpl w:val="E71E24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D036D"/>
    <w:multiLevelType w:val="hybridMultilevel"/>
    <w:tmpl w:val="5316D7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229A9"/>
    <w:multiLevelType w:val="hybridMultilevel"/>
    <w:tmpl w:val="EDCE88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52E98"/>
    <w:multiLevelType w:val="hybridMultilevel"/>
    <w:tmpl w:val="F94A18C0"/>
    <w:lvl w:ilvl="0" w:tplc="05922AF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D4"/>
    <w:rsid w:val="00026058"/>
    <w:rsid w:val="00040ECF"/>
    <w:rsid w:val="000473FB"/>
    <w:rsid w:val="0006469B"/>
    <w:rsid w:val="000D44EF"/>
    <w:rsid w:val="0011544F"/>
    <w:rsid w:val="001545DC"/>
    <w:rsid w:val="001936AB"/>
    <w:rsid w:val="001E59A9"/>
    <w:rsid w:val="0021058F"/>
    <w:rsid w:val="00245E11"/>
    <w:rsid w:val="00272FA0"/>
    <w:rsid w:val="002F3A05"/>
    <w:rsid w:val="00340E7A"/>
    <w:rsid w:val="003572A6"/>
    <w:rsid w:val="003B4D28"/>
    <w:rsid w:val="004F0359"/>
    <w:rsid w:val="00525DBC"/>
    <w:rsid w:val="0057797B"/>
    <w:rsid w:val="005A0B61"/>
    <w:rsid w:val="00654BEF"/>
    <w:rsid w:val="00755D56"/>
    <w:rsid w:val="007865FB"/>
    <w:rsid w:val="00803AF2"/>
    <w:rsid w:val="00896F0E"/>
    <w:rsid w:val="00932FED"/>
    <w:rsid w:val="009434C8"/>
    <w:rsid w:val="00962149"/>
    <w:rsid w:val="009622E7"/>
    <w:rsid w:val="00994757"/>
    <w:rsid w:val="009B475B"/>
    <w:rsid w:val="00A013F9"/>
    <w:rsid w:val="00AB0E2D"/>
    <w:rsid w:val="00AB7A9B"/>
    <w:rsid w:val="00AB7ED5"/>
    <w:rsid w:val="00AC28E9"/>
    <w:rsid w:val="00AF4E8E"/>
    <w:rsid w:val="00B00169"/>
    <w:rsid w:val="00B064CA"/>
    <w:rsid w:val="00B26AE8"/>
    <w:rsid w:val="00BF4DEB"/>
    <w:rsid w:val="00C00E90"/>
    <w:rsid w:val="00C05B20"/>
    <w:rsid w:val="00C2469C"/>
    <w:rsid w:val="00CD5734"/>
    <w:rsid w:val="00D36926"/>
    <w:rsid w:val="00D76FD4"/>
    <w:rsid w:val="00D82656"/>
    <w:rsid w:val="00D85ABF"/>
    <w:rsid w:val="00DA2186"/>
    <w:rsid w:val="00DC7B0A"/>
    <w:rsid w:val="00DD1D97"/>
    <w:rsid w:val="00EB0343"/>
    <w:rsid w:val="00ED4BD6"/>
    <w:rsid w:val="00F174CA"/>
    <w:rsid w:val="00F42A82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284C8-4D33-416F-8CF3-E7D922F1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6AE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D19E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D19E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D19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F719E-8CFE-4A85-A9E2-C7A1D0084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1001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dcterms:created xsi:type="dcterms:W3CDTF">2022-06-21T16:25:00Z</dcterms:created>
  <dcterms:modified xsi:type="dcterms:W3CDTF">2022-06-21T19:21:00Z</dcterms:modified>
</cp:coreProperties>
</file>